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宋体" w:hAnsi="宋体" w:eastAsia="宋体" w:cs="宋体"/>
          <w:b w:val="0"/>
          <w:bCs w:val="0"/>
          <w:color w:val="auto"/>
          <w:kern w:val="2"/>
          <w:sz w:val="44"/>
          <w:szCs w:val="44"/>
          <w:highlight w:val="none"/>
          <w:lang w:val="en-US" w:eastAsia="zh-CN" w:bidi="ar-SA"/>
        </w:rPr>
      </w:pPr>
      <w:r>
        <w:rPr>
          <w:rFonts w:hint="eastAsia" w:ascii="宋体" w:hAnsi="宋体" w:eastAsia="宋体" w:cs="宋体"/>
          <w:b w:val="0"/>
          <w:bCs w:val="0"/>
          <w:color w:val="auto"/>
          <w:kern w:val="2"/>
          <w:sz w:val="44"/>
          <w:szCs w:val="44"/>
          <w:highlight w:val="none"/>
          <w:lang w:val="en-US" w:eastAsia="zh-CN" w:bidi="ar-SA"/>
        </w:rPr>
        <w:t>石家庄市财政局</w:t>
      </w: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default" w:ascii="宋体" w:hAnsi="宋体" w:eastAsia="宋体" w:cs="宋体"/>
          <w:b w:val="0"/>
          <w:bCs w:val="0"/>
          <w:color w:val="auto"/>
          <w:kern w:val="2"/>
          <w:sz w:val="44"/>
          <w:szCs w:val="44"/>
          <w:highlight w:val="none"/>
          <w:lang w:val="en-US" w:eastAsia="zh-CN" w:bidi="ar-SA"/>
        </w:rPr>
      </w:pPr>
      <w:r>
        <w:rPr>
          <w:rFonts w:hint="eastAsia" w:ascii="宋体" w:hAnsi="宋体" w:eastAsia="宋体" w:cs="宋体"/>
          <w:b w:val="0"/>
          <w:bCs w:val="0"/>
          <w:color w:val="auto"/>
          <w:kern w:val="2"/>
          <w:sz w:val="44"/>
          <w:szCs w:val="44"/>
          <w:highlight w:val="none"/>
          <w:lang w:val="en-US" w:eastAsia="zh-CN" w:bidi="ar-SA"/>
        </w:rPr>
        <w:t>滹沱河生态修复工程PPP项目</w:t>
      </w: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ascii="宋体" w:hAnsi="宋体" w:eastAsia="宋体" w:cs="宋体"/>
          <w:b w:val="0"/>
          <w:bCs w:val="0"/>
          <w:color w:val="auto"/>
          <w:kern w:val="2"/>
          <w:sz w:val="44"/>
          <w:szCs w:val="44"/>
          <w:highlight w:val="none"/>
          <w:lang w:val="en-US" w:bidi="ar-SA"/>
        </w:rPr>
      </w:pPr>
      <w:r>
        <w:rPr>
          <w:rFonts w:hint="eastAsia" w:ascii="宋体" w:hAnsi="宋体" w:eastAsia="宋体" w:cs="宋体"/>
          <w:b w:val="0"/>
          <w:bCs w:val="0"/>
          <w:color w:val="auto"/>
          <w:kern w:val="2"/>
          <w:sz w:val="44"/>
          <w:szCs w:val="44"/>
          <w:highlight w:val="none"/>
          <w:lang w:val="en-US" w:eastAsia="zh-CN" w:bidi="ar-SA"/>
        </w:rPr>
        <w:t>财政监督和</w:t>
      </w:r>
      <w:r>
        <w:rPr>
          <w:rFonts w:hint="eastAsia" w:ascii="宋体" w:hAnsi="宋体" w:eastAsia="宋体" w:cs="宋体"/>
          <w:b w:val="0"/>
          <w:bCs w:val="0"/>
          <w:color w:val="auto"/>
          <w:kern w:val="2"/>
          <w:sz w:val="44"/>
          <w:szCs w:val="44"/>
          <w:highlight w:val="none"/>
          <w:lang w:val="en-US" w:bidi="ar-SA"/>
        </w:rPr>
        <w:t>绩效评价报告</w:t>
      </w:r>
    </w:p>
    <w:p>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rPr>
          <w:rFonts w:ascii="仿宋" w:hAnsi="仿宋" w:eastAsia="仿宋"/>
          <w:color w:val="auto"/>
          <w:sz w:val="32"/>
          <w:szCs w:val="32"/>
          <w:highlight w:val="none"/>
        </w:rPr>
      </w:pPr>
    </w:p>
    <w:p>
      <w:pPr>
        <w:keepNext w:val="0"/>
        <w:keepLines w:val="0"/>
        <w:pageBreakBefore w:val="0"/>
        <w:widowControl w:val="0"/>
        <w:kinsoku/>
        <w:wordWrap/>
        <w:overflowPunct/>
        <w:topLinePunct w:val="0"/>
        <w:bidi w:val="0"/>
        <w:adjustRightInd/>
        <w:snapToGrid/>
        <w:spacing w:line="560" w:lineRule="exact"/>
        <w:ind w:firstLine="640" w:firstLineChars="200"/>
        <w:jc w:val="both"/>
        <w:textAlignment w:val="auto"/>
        <w:rPr>
          <w:rFonts w:hint="eastAsia" w:ascii="仿宋" w:hAnsi="仿宋" w:eastAsia="仿宋" w:cs="仿宋"/>
          <w:bCs/>
          <w:color w:val="auto"/>
          <w:szCs w:val="32"/>
          <w:highlight w:val="none"/>
        </w:rPr>
      </w:pPr>
      <w:r>
        <w:rPr>
          <w:rFonts w:hint="eastAsia" w:ascii="仿宋" w:hAnsi="仿宋" w:eastAsia="仿宋" w:cs="仿宋"/>
          <w:color w:val="auto"/>
          <w:sz w:val="32"/>
          <w:szCs w:val="32"/>
          <w:highlight w:val="none"/>
        </w:rPr>
        <w:t>根据《中华</w:t>
      </w:r>
      <w:r>
        <w:rPr>
          <w:rFonts w:hint="eastAsia" w:ascii="仿宋" w:hAnsi="仿宋" w:eastAsia="仿宋" w:cs="仿宋"/>
          <w:color w:val="auto"/>
          <w:sz w:val="32"/>
          <w:highlight w:val="none"/>
        </w:rPr>
        <w:t>人民共和国预算法》规定、中央</w:t>
      </w:r>
      <w:r>
        <w:rPr>
          <w:rFonts w:hint="eastAsia" w:ascii="仿宋" w:hAnsi="仿宋" w:eastAsia="仿宋" w:cs="仿宋"/>
          <w:color w:val="auto"/>
          <w:sz w:val="32"/>
          <w:highlight w:val="none"/>
          <w:lang w:val="en-US" w:eastAsia="zh-CN"/>
        </w:rPr>
        <w:t>及</w:t>
      </w:r>
      <w:r>
        <w:rPr>
          <w:rFonts w:hint="eastAsia" w:ascii="仿宋" w:hAnsi="仿宋" w:eastAsia="仿宋" w:cs="仿宋"/>
          <w:color w:val="auto"/>
          <w:sz w:val="32"/>
          <w:highlight w:val="none"/>
        </w:rPr>
        <w:t>省、市全面实</w:t>
      </w:r>
      <w:r>
        <w:rPr>
          <w:rFonts w:hint="eastAsia" w:ascii="仿宋" w:hAnsi="仿宋" w:eastAsia="仿宋" w:cs="仿宋"/>
          <w:color w:val="auto"/>
          <w:sz w:val="32"/>
          <w:highlight w:val="none"/>
          <w:lang w:eastAsia="zh-CN"/>
        </w:rPr>
        <w:t>行</w:t>
      </w:r>
      <w:r>
        <w:rPr>
          <w:rFonts w:hint="eastAsia" w:ascii="仿宋" w:hAnsi="仿宋" w:eastAsia="仿宋" w:cs="仿宋"/>
          <w:color w:val="auto"/>
          <w:sz w:val="32"/>
          <w:highlight w:val="none"/>
        </w:rPr>
        <w:t>预算绩效管理的相关文件精神</w:t>
      </w:r>
      <w:r>
        <w:rPr>
          <w:rFonts w:hint="eastAsia" w:ascii="仿宋" w:hAnsi="仿宋" w:eastAsia="仿宋" w:cs="仿宋"/>
          <w:color w:val="auto"/>
          <w:sz w:val="32"/>
          <w:szCs w:val="32"/>
          <w:highlight w:val="none"/>
        </w:rPr>
        <w:t>，</w:t>
      </w:r>
      <w:r>
        <w:rPr>
          <w:rFonts w:hint="eastAsia" w:ascii="仿宋" w:hAnsi="仿宋" w:eastAsia="仿宋" w:cs="仿宋"/>
          <w:color w:val="auto"/>
          <w:sz w:val="32"/>
          <w:highlight w:val="none"/>
        </w:rPr>
        <w:t>按照202</w:t>
      </w:r>
      <w:r>
        <w:rPr>
          <w:rFonts w:hint="eastAsia" w:cs="仿宋"/>
          <w:color w:val="auto"/>
          <w:sz w:val="32"/>
          <w:highlight w:val="none"/>
          <w:lang w:val="en-US" w:eastAsia="zh-CN"/>
        </w:rPr>
        <w:t>2</w:t>
      </w:r>
      <w:r>
        <w:rPr>
          <w:rFonts w:hint="eastAsia" w:ascii="仿宋" w:hAnsi="仿宋" w:eastAsia="仿宋" w:cs="仿宋"/>
          <w:color w:val="auto"/>
          <w:sz w:val="32"/>
          <w:highlight w:val="none"/>
        </w:rPr>
        <w:t>年财政绩效评价工作安排，市财政局绩效评价组于202</w:t>
      </w:r>
      <w:r>
        <w:rPr>
          <w:rFonts w:hint="eastAsia" w:cs="仿宋"/>
          <w:color w:val="auto"/>
          <w:sz w:val="32"/>
          <w:highlight w:val="none"/>
          <w:lang w:val="en-US" w:eastAsia="zh-CN"/>
        </w:rPr>
        <w:t>2</w:t>
      </w:r>
      <w:r>
        <w:rPr>
          <w:rFonts w:hint="eastAsia" w:ascii="仿宋" w:hAnsi="仿宋" w:eastAsia="仿宋" w:cs="仿宋"/>
          <w:color w:val="auto"/>
          <w:sz w:val="32"/>
          <w:highlight w:val="none"/>
        </w:rPr>
        <w:t>年</w:t>
      </w:r>
      <w:r>
        <w:rPr>
          <w:rFonts w:hint="eastAsia" w:cs="仿宋"/>
          <w:color w:val="auto"/>
          <w:sz w:val="32"/>
          <w:highlight w:val="none"/>
          <w:lang w:val="en-US" w:eastAsia="zh-CN"/>
        </w:rPr>
        <w:t>5月至7月</w:t>
      </w:r>
      <w:r>
        <w:rPr>
          <w:rFonts w:hint="eastAsia" w:ascii="仿宋" w:hAnsi="仿宋" w:eastAsia="仿宋" w:cs="仿宋"/>
          <w:color w:val="auto"/>
          <w:sz w:val="32"/>
          <w:highlight w:val="none"/>
        </w:rPr>
        <w:t>对</w:t>
      </w:r>
      <w:r>
        <w:rPr>
          <w:rFonts w:hint="eastAsia" w:ascii="仿宋" w:hAnsi="仿宋" w:eastAsia="仿宋" w:cs="仿宋"/>
          <w:color w:val="auto"/>
          <w:sz w:val="32"/>
          <w:highlight w:val="none"/>
          <w:lang w:val="en-US" w:eastAsia="zh-CN"/>
        </w:rPr>
        <w:t>滹沱河生态修复工程PPP项目（以下简称</w:t>
      </w:r>
      <w:r>
        <w:rPr>
          <w:rFonts w:hint="eastAsia" w:cs="仿宋"/>
          <w:color w:val="auto"/>
          <w:sz w:val="32"/>
          <w:highlight w:val="none"/>
          <w:lang w:val="en-US" w:eastAsia="zh-CN"/>
        </w:rPr>
        <w:t>本</w:t>
      </w:r>
      <w:r>
        <w:rPr>
          <w:rFonts w:hint="eastAsia" w:ascii="仿宋" w:hAnsi="仿宋" w:eastAsia="仿宋" w:cs="仿宋"/>
          <w:color w:val="auto"/>
          <w:sz w:val="32"/>
          <w:highlight w:val="none"/>
          <w:lang w:val="en-US" w:eastAsia="zh-CN"/>
        </w:rPr>
        <w:t>项目）</w:t>
      </w:r>
      <w:r>
        <w:rPr>
          <w:rFonts w:hint="eastAsia" w:ascii="仿宋" w:hAnsi="仿宋" w:eastAsia="仿宋" w:cs="仿宋"/>
          <w:color w:val="auto"/>
          <w:sz w:val="32"/>
          <w:highlight w:val="none"/>
        </w:rPr>
        <w:t>进行了财政监督和绩效评价。石家庄市</w:t>
      </w:r>
      <w:r>
        <w:rPr>
          <w:rFonts w:hint="eastAsia" w:ascii="仿宋" w:hAnsi="仿宋" w:eastAsia="仿宋" w:cs="仿宋"/>
          <w:color w:val="auto"/>
          <w:sz w:val="32"/>
          <w:highlight w:val="none"/>
          <w:lang w:val="en-US" w:eastAsia="zh-CN"/>
        </w:rPr>
        <w:t>水利局</w:t>
      </w:r>
      <w:r>
        <w:rPr>
          <w:rFonts w:hint="eastAsia" w:ascii="仿宋" w:hAnsi="仿宋" w:eastAsia="仿宋" w:cs="仿宋"/>
          <w:color w:val="auto"/>
          <w:kern w:val="2"/>
          <w:sz w:val="32"/>
          <w:szCs w:val="32"/>
          <w:highlight w:val="none"/>
          <w:lang w:val="en-US" w:eastAsia="zh-CN" w:bidi="ar-SA"/>
        </w:rPr>
        <w:t>（以下简称“市水利局”）</w:t>
      </w:r>
      <w:r>
        <w:rPr>
          <w:rFonts w:hint="eastAsia" w:ascii="仿宋" w:hAnsi="仿宋" w:eastAsia="仿宋" w:cs="仿宋"/>
          <w:color w:val="auto"/>
          <w:sz w:val="32"/>
          <w:highlight w:val="none"/>
          <w:lang w:val="en-US" w:eastAsia="zh-CN"/>
        </w:rPr>
        <w:t>、</w:t>
      </w:r>
      <w:r>
        <w:rPr>
          <w:rFonts w:hint="eastAsia" w:ascii="仿宋" w:hAnsi="仿宋" w:eastAsia="仿宋" w:cs="仿宋"/>
          <w:color w:val="auto"/>
          <w:kern w:val="2"/>
          <w:sz w:val="32"/>
          <w:szCs w:val="24"/>
          <w:highlight w:val="none"/>
          <w:lang w:val="en-US" w:eastAsia="zh-CN" w:bidi="ar-SA"/>
        </w:rPr>
        <w:t>石家庄市滹沱河综合整治开发有限公司</w:t>
      </w:r>
      <w:r>
        <w:rPr>
          <w:rFonts w:hint="eastAsia" w:ascii="仿宋" w:hAnsi="仿宋" w:eastAsia="仿宋" w:cs="仿宋"/>
          <w:color w:val="auto"/>
          <w:sz w:val="32"/>
          <w:highlight w:val="none"/>
          <w:lang w:val="en-US" w:eastAsia="zh-CN"/>
        </w:rPr>
        <w:t>、</w:t>
      </w:r>
      <w:r>
        <w:rPr>
          <w:rFonts w:hint="eastAsia" w:ascii="仿宋" w:hAnsi="仿宋" w:eastAsia="仿宋" w:cs="仿宋"/>
          <w:color w:val="auto"/>
          <w:kern w:val="2"/>
          <w:sz w:val="32"/>
          <w:szCs w:val="24"/>
          <w:highlight w:val="none"/>
          <w:lang w:val="en-US" w:eastAsia="zh-CN" w:bidi="ar-SA"/>
        </w:rPr>
        <w:t>石家庄润石生态保护管理服务有限公司</w:t>
      </w:r>
      <w:r>
        <w:rPr>
          <w:rFonts w:hint="eastAsia" w:ascii="仿宋" w:hAnsi="仿宋" w:eastAsia="仿宋" w:cs="仿宋"/>
          <w:color w:val="auto"/>
          <w:sz w:val="32"/>
          <w:highlight w:val="none"/>
          <w:lang w:val="en-US" w:eastAsia="zh-CN"/>
        </w:rPr>
        <w:t>、</w:t>
      </w:r>
      <w:r>
        <w:rPr>
          <w:rFonts w:hint="eastAsia" w:ascii="仿宋" w:hAnsi="仿宋" w:eastAsia="仿宋" w:cs="仿宋"/>
          <w:color w:val="auto"/>
          <w:kern w:val="2"/>
          <w:sz w:val="32"/>
          <w:szCs w:val="24"/>
          <w:highlight w:val="none"/>
          <w:lang w:val="en-US" w:eastAsia="zh-CN" w:bidi="ar-SA"/>
        </w:rPr>
        <w:t>石家庄云际生态保护管理服务有限公司</w:t>
      </w:r>
      <w:r>
        <w:rPr>
          <w:rFonts w:hint="eastAsia" w:ascii="仿宋" w:hAnsi="仿宋" w:eastAsia="仿宋" w:cs="仿宋"/>
          <w:color w:val="auto"/>
          <w:sz w:val="32"/>
          <w:highlight w:val="none"/>
          <w:lang w:val="en-US" w:eastAsia="zh-CN"/>
        </w:rPr>
        <w:t>、藁城区水利局、</w:t>
      </w:r>
      <w:r>
        <w:rPr>
          <w:rFonts w:hint="eastAsia" w:cs="仿宋"/>
          <w:color w:val="auto"/>
          <w:sz w:val="32"/>
          <w:highlight w:val="none"/>
          <w:lang w:val="en-US" w:eastAsia="zh-CN"/>
        </w:rPr>
        <w:t>滹沱河生态绿廊工程筹建处</w:t>
      </w:r>
      <w:r>
        <w:rPr>
          <w:rFonts w:hint="eastAsia" w:ascii="仿宋" w:hAnsi="仿宋" w:eastAsia="仿宋" w:cs="仿宋"/>
          <w:color w:val="auto"/>
          <w:sz w:val="32"/>
          <w:highlight w:val="none"/>
          <w:lang w:eastAsia="zh-CN"/>
        </w:rPr>
        <w:t>等相关</w:t>
      </w:r>
      <w:r>
        <w:rPr>
          <w:rFonts w:hint="eastAsia" w:ascii="仿宋" w:hAnsi="仿宋" w:eastAsia="仿宋" w:cs="仿宋"/>
          <w:bCs/>
          <w:color w:val="auto"/>
          <w:szCs w:val="32"/>
          <w:highlight w:val="none"/>
        </w:rPr>
        <w:t>部门</w:t>
      </w:r>
      <w:r>
        <w:rPr>
          <w:rFonts w:hint="eastAsia" w:ascii="仿宋" w:hAnsi="仿宋" w:eastAsia="仿宋" w:cs="仿宋"/>
          <w:bCs/>
          <w:color w:val="auto"/>
          <w:szCs w:val="32"/>
          <w:highlight w:val="none"/>
          <w:lang w:eastAsia="zh-CN"/>
        </w:rPr>
        <w:t>和</w:t>
      </w:r>
      <w:r>
        <w:rPr>
          <w:rFonts w:hint="eastAsia" w:ascii="仿宋" w:hAnsi="仿宋" w:eastAsia="仿宋" w:cs="仿宋"/>
          <w:bCs/>
          <w:color w:val="auto"/>
          <w:szCs w:val="32"/>
          <w:highlight w:val="none"/>
        </w:rPr>
        <w:t>单位</w:t>
      </w:r>
      <w:r>
        <w:rPr>
          <w:rFonts w:hint="eastAsia" w:ascii="仿宋" w:hAnsi="仿宋" w:eastAsia="仿宋" w:cs="仿宋"/>
          <w:color w:val="auto"/>
          <w:sz w:val="32"/>
          <w:highlight w:val="none"/>
        </w:rPr>
        <w:t>对本次评价给予了积极支持和配合。</w:t>
      </w:r>
    </w:p>
    <w:p>
      <w:pPr>
        <w:pStyle w:val="4"/>
        <w:keepNext w:val="0"/>
        <w:keepLines w:val="0"/>
        <w:pageBreakBefore w:val="0"/>
        <w:widowControl w:val="0"/>
        <w:kinsoku/>
        <w:wordWrap/>
        <w:overflowPunct/>
        <w:topLinePunct w:val="0"/>
        <w:bidi w:val="0"/>
        <w:adjustRightInd/>
        <w:snapToGrid/>
        <w:spacing w:line="560" w:lineRule="exact"/>
        <w:ind w:firstLine="640"/>
        <w:jc w:val="both"/>
        <w:textAlignment w:val="auto"/>
        <w:rPr>
          <w:color w:val="auto"/>
          <w:highlight w:val="none"/>
        </w:rPr>
      </w:pPr>
      <w:r>
        <w:rPr>
          <w:rFonts w:hint="eastAsia"/>
          <w:color w:val="auto"/>
          <w:highlight w:val="none"/>
        </w:rPr>
        <w:t>一、基本情况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bCs/>
          <w:color w:val="auto"/>
          <w:kern w:val="2"/>
          <w:sz w:val="32"/>
          <w:szCs w:val="32"/>
          <w:highlight w:val="none"/>
          <w:lang w:val="en-US" w:eastAsia="zh-CN" w:bidi="ar-SA"/>
        </w:rPr>
      </w:pPr>
      <w:r>
        <w:rPr>
          <w:rFonts w:hint="eastAsia" w:ascii="仿宋" w:hAnsi="仿宋" w:eastAsia="仿宋" w:cs="仿宋"/>
          <w:color w:val="auto"/>
          <w:sz w:val="32"/>
          <w:szCs w:val="32"/>
          <w:highlight w:val="none"/>
          <w:lang w:val="en-US" w:eastAsia="zh-CN"/>
        </w:rPr>
        <w:t>我市</w:t>
      </w:r>
      <w:r>
        <w:rPr>
          <w:rFonts w:hint="eastAsia" w:ascii="仿宋" w:hAnsi="仿宋" w:eastAsia="仿宋" w:cs="仿宋"/>
          <w:color w:val="auto"/>
          <w:sz w:val="32"/>
          <w:szCs w:val="32"/>
          <w:highlight w:val="none"/>
        </w:rPr>
        <w:t>2017年启动实施滹沱河生态全面修复工程</w:t>
      </w:r>
      <w:r>
        <w:rPr>
          <w:rFonts w:hint="eastAsia" w:ascii="仿宋" w:hAnsi="仿宋" w:eastAsia="仿宋" w:cs="仿宋"/>
          <w:color w:val="auto"/>
          <w:sz w:val="32"/>
          <w:szCs w:val="32"/>
          <w:highlight w:val="none"/>
          <w:lang w:eastAsia="zh-CN"/>
        </w:rPr>
        <w:t>，列为市重点项目。</w:t>
      </w:r>
      <w:r>
        <w:rPr>
          <w:rFonts w:hint="eastAsia" w:ascii="仿宋" w:hAnsi="仿宋" w:eastAsia="仿宋" w:cs="仿宋"/>
          <w:color w:val="auto"/>
          <w:sz w:val="32"/>
          <w:szCs w:val="32"/>
          <w:highlight w:val="none"/>
        </w:rPr>
        <w:t>滹沱河生态修复工程</w:t>
      </w:r>
      <w:r>
        <w:rPr>
          <w:rFonts w:hint="eastAsia" w:ascii="仿宋" w:hAnsi="仿宋" w:eastAsia="仿宋" w:cs="仿宋"/>
          <w:color w:val="auto"/>
          <w:sz w:val="32"/>
          <w:szCs w:val="32"/>
          <w:highlight w:val="none"/>
          <w:lang w:val="en-US" w:eastAsia="zh-CN"/>
        </w:rPr>
        <w:t>PPP项目</w:t>
      </w:r>
      <w:r>
        <w:rPr>
          <w:rFonts w:hint="eastAsia" w:ascii="仿宋" w:hAnsi="仿宋" w:eastAsia="仿宋" w:cs="仿宋"/>
          <w:color w:val="auto"/>
          <w:sz w:val="32"/>
          <w:szCs w:val="32"/>
          <w:highlight w:val="none"/>
        </w:rPr>
        <w:t>是滹沱河修复一期工程的一部分</w:t>
      </w:r>
      <w:r>
        <w:rPr>
          <w:rFonts w:hint="eastAsia" w:cs="仿宋"/>
          <w:color w:val="auto"/>
          <w:sz w:val="32"/>
          <w:szCs w:val="32"/>
          <w:highlight w:val="none"/>
          <w:lang w:eastAsia="zh-CN"/>
        </w:rPr>
        <w:t>。主要规划目标是</w:t>
      </w:r>
      <w:r>
        <w:rPr>
          <w:rFonts w:hint="eastAsia" w:cs="仿宋"/>
          <w:color w:val="auto"/>
          <w:sz w:val="32"/>
          <w:szCs w:val="32"/>
          <w:highlight w:val="none"/>
          <w:lang w:val="en-US" w:eastAsia="zh-CN"/>
        </w:rPr>
        <w:t>:</w:t>
      </w:r>
      <w:r>
        <w:rPr>
          <w:rFonts w:hint="eastAsia" w:ascii="仿宋" w:hAnsi="仿宋" w:eastAsia="仿宋" w:cs="仿宋"/>
          <w:color w:val="auto"/>
          <w:sz w:val="32"/>
          <w:szCs w:val="32"/>
          <w:highlight w:val="none"/>
        </w:rPr>
        <w:t>通过主槽扩挖疏浚、河槽整治、堤防建设</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rPr>
        <w:t>生态绿化</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rPr>
        <w:t>水生态修复</w:t>
      </w:r>
      <w:r>
        <w:rPr>
          <w:rFonts w:hint="eastAsia" w:ascii="仿宋" w:hAnsi="仿宋" w:eastAsia="仿宋" w:cs="仿宋"/>
          <w:color w:val="auto"/>
          <w:sz w:val="32"/>
          <w:szCs w:val="32"/>
          <w:highlight w:val="none"/>
          <w:lang w:eastAsia="zh-CN"/>
        </w:rPr>
        <w:t>、生态湿地河道建设</w:t>
      </w:r>
      <w:r>
        <w:rPr>
          <w:rFonts w:hint="eastAsia" w:ascii="仿宋" w:hAnsi="仿宋" w:eastAsia="仿宋" w:cs="仿宋"/>
          <w:color w:val="auto"/>
          <w:sz w:val="32"/>
          <w:szCs w:val="32"/>
          <w:highlight w:val="none"/>
        </w:rPr>
        <w:t>等工程措施，</w:t>
      </w:r>
      <w:r>
        <w:rPr>
          <w:rFonts w:hint="eastAsia" w:ascii="仿宋" w:hAnsi="仿宋" w:eastAsia="仿宋" w:cs="仿宋"/>
          <w:color w:val="auto"/>
          <w:sz w:val="32"/>
          <w:szCs w:val="32"/>
          <w:highlight w:val="none"/>
          <w:lang w:eastAsia="zh-CN"/>
        </w:rPr>
        <w:t>提升</w:t>
      </w:r>
      <w:r>
        <w:rPr>
          <w:rFonts w:hint="eastAsia" w:ascii="仿宋" w:hAnsi="仿宋" w:eastAsia="仿宋" w:cs="仿宋"/>
          <w:color w:val="auto"/>
          <w:sz w:val="32"/>
          <w:szCs w:val="32"/>
          <w:highlight w:val="none"/>
        </w:rPr>
        <w:t>防洪能力</w:t>
      </w:r>
      <w:r>
        <w:rPr>
          <w:rFonts w:hint="eastAsia" w:ascii="仿宋" w:hAnsi="仿宋" w:eastAsia="仿宋" w:cs="仿宋"/>
          <w:color w:val="auto"/>
          <w:sz w:val="32"/>
          <w:szCs w:val="32"/>
          <w:highlight w:val="none"/>
          <w:lang w:eastAsia="zh-CN"/>
        </w:rPr>
        <w:t>，恢复河流生态功能，</w:t>
      </w:r>
      <w:r>
        <w:rPr>
          <w:rFonts w:hint="eastAsia" w:ascii="仿宋" w:hAnsi="仿宋" w:eastAsia="仿宋" w:cs="仿宋"/>
          <w:color w:val="auto"/>
          <w:sz w:val="32"/>
          <w:szCs w:val="32"/>
          <w:highlight w:val="none"/>
        </w:rPr>
        <w:t>将滹沱河打造</w:t>
      </w:r>
      <w:r>
        <w:rPr>
          <w:rFonts w:hint="eastAsia" w:cs="仿宋"/>
          <w:color w:val="auto"/>
          <w:sz w:val="32"/>
          <w:szCs w:val="32"/>
          <w:highlight w:val="none"/>
          <w:lang w:eastAsia="zh-CN"/>
        </w:rPr>
        <w:t>成</w:t>
      </w:r>
      <w:r>
        <w:rPr>
          <w:rFonts w:hint="eastAsia" w:ascii="仿宋" w:hAnsi="仿宋" w:eastAsia="仿宋" w:cs="仿宋"/>
          <w:color w:val="auto"/>
          <w:sz w:val="32"/>
          <w:szCs w:val="32"/>
          <w:highlight w:val="none"/>
          <w:lang w:eastAsia="zh-CN"/>
        </w:rPr>
        <w:t>为</w:t>
      </w:r>
      <w:r>
        <w:rPr>
          <w:rFonts w:hint="eastAsia" w:ascii="仿宋" w:hAnsi="仿宋" w:eastAsia="仿宋" w:cs="仿宋"/>
          <w:color w:val="auto"/>
          <w:sz w:val="32"/>
          <w:szCs w:val="32"/>
          <w:highlight w:val="none"/>
        </w:rPr>
        <w:t>水清岸绿风光美、和谐繁荣产业兴、特色彰显韵味浓的景观生态长廊。</w:t>
      </w:r>
      <w:r>
        <w:rPr>
          <w:rFonts w:hint="eastAsia" w:ascii="仿宋" w:hAnsi="仿宋" w:eastAsia="仿宋" w:cs="仿宋"/>
          <w:color w:val="auto"/>
          <w:sz w:val="32"/>
          <w:szCs w:val="32"/>
          <w:highlight w:val="none"/>
          <w:lang w:val="en-US" w:eastAsia="zh-CN"/>
        </w:rPr>
        <w:t>本项目全长32.3公里，总投资概算75.02亿元</w:t>
      </w:r>
      <w:r>
        <w:rPr>
          <w:rFonts w:hint="eastAsia" w:cs="仿宋"/>
          <w:color w:val="auto"/>
          <w:sz w:val="32"/>
          <w:szCs w:val="32"/>
          <w:highlight w:val="none"/>
          <w:lang w:val="en-US" w:eastAsia="zh-CN"/>
        </w:rPr>
        <w:t>。</w:t>
      </w:r>
      <w:r>
        <w:rPr>
          <w:rFonts w:hint="eastAsia" w:ascii="仿宋" w:hAnsi="仿宋" w:eastAsia="仿宋" w:cs="仿宋"/>
          <w:color w:val="auto"/>
          <w:sz w:val="32"/>
          <w:szCs w:val="32"/>
          <w:highlight w:val="none"/>
          <w:lang w:val="en-US" w:eastAsia="zh-CN"/>
        </w:rPr>
        <w:t>石家庄市人民政府授权市水利局作为项目实施机构，授权石家庄市滹沱</w:t>
      </w:r>
      <w:r>
        <w:rPr>
          <w:rFonts w:hint="eastAsia" w:ascii="仿宋" w:hAnsi="仿宋" w:eastAsia="仿宋" w:cs="仿宋"/>
          <w:color w:val="auto"/>
          <w:kern w:val="2"/>
          <w:sz w:val="32"/>
          <w:szCs w:val="32"/>
          <w:highlight w:val="none"/>
          <w:lang w:val="en-US" w:eastAsia="zh-CN" w:bidi="ar-SA"/>
        </w:rPr>
        <w:t>河综合整治开发有限公司（以下简称“滹沱河公司”）作为项目的政府出资代表。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color w:val="auto"/>
          <w:sz w:val="32"/>
          <w:szCs w:val="32"/>
          <w:highlight w:val="none"/>
          <w:lang w:eastAsia="zh-CN"/>
        </w:rPr>
      </w:pPr>
      <w:r>
        <w:rPr>
          <w:rFonts w:hint="eastAsia" w:cs="仿宋"/>
          <w:color w:val="auto"/>
          <w:kern w:val="2"/>
          <w:sz w:val="32"/>
          <w:szCs w:val="32"/>
          <w:highlight w:val="none"/>
          <w:lang w:val="en-US" w:eastAsia="zh-CN" w:bidi="ar-SA"/>
        </w:rPr>
        <w:t>本项目</w:t>
      </w:r>
      <w:r>
        <w:rPr>
          <w:rFonts w:hint="eastAsia" w:ascii="仿宋" w:hAnsi="仿宋" w:eastAsia="仿宋" w:cs="仿宋"/>
          <w:color w:val="auto"/>
          <w:kern w:val="2"/>
          <w:sz w:val="32"/>
          <w:szCs w:val="32"/>
          <w:highlight w:val="none"/>
          <w:lang w:val="en-US" w:eastAsia="zh-CN" w:bidi="ar-SA"/>
        </w:rPr>
        <w:t>分为两个标段：中华大街至金五路</w:t>
      </w:r>
      <w:r>
        <w:rPr>
          <w:rFonts w:hint="eastAsia" w:ascii="仿宋" w:hAnsi="仿宋" w:eastAsia="仿宋" w:cs="仿宋"/>
          <w:color w:val="auto"/>
          <w:kern w:val="2"/>
          <w:sz w:val="32"/>
          <w:szCs w:val="24"/>
          <w:highlight w:val="none"/>
          <w:lang w:val="en-US" w:eastAsia="zh-CN" w:bidi="ar-SA"/>
        </w:rPr>
        <w:t>为一标段，金五路至藁城城区东为二标段。</w:t>
      </w:r>
      <w:r>
        <w:rPr>
          <w:rFonts w:hint="eastAsia" w:ascii="仿宋" w:hAnsi="仿宋" w:eastAsia="仿宋" w:cs="仿宋"/>
          <w:color w:val="auto"/>
          <w:kern w:val="2"/>
          <w:sz w:val="32"/>
          <w:szCs w:val="32"/>
          <w:highlight w:val="none"/>
          <w:lang w:val="en-US" w:eastAsia="zh-CN" w:bidi="ar-SA"/>
        </w:rPr>
        <w:t>2018年6月，市水利局经公开招标，确定“中国铁建联合体”作为一标段的社会资本方，“中国中铁联合体”作为二标段的社会资本方。</w:t>
      </w:r>
      <w:r>
        <w:rPr>
          <w:rFonts w:hint="eastAsia" w:ascii="仿宋" w:hAnsi="仿宋" w:eastAsia="仿宋" w:cs="仿宋"/>
          <w:color w:val="auto"/>
          <w:kern w:val="2"/>
          <w:sz w:val="32"/>
          <w:szCs w:val="24"/>
          <w:highlight w:val="none"/>
          <w:lang w:val="en-US" w:eastAsia="zh-CN" w:bidi="ar-SA"/>
        </w:rPr>
        <w:t>2018年11月</w:t>
      </w:r>
      <w:r>
        <w:rPr>
          <w:rFonts w:hint="eastAsia" w:cs="仿宋"/>
          <w:color w:val="auto"/>
          <w:kern w:val="2"/>
          <w:sz w:val="32"/>
          <w:szCs w:val="24"/>
          <w:highlight w:val="none"/>
          <w:lang w:val="en-US" w:eastAsia="zh-CN" w:bidi="ar-SA"/>
        </w:rPr>
        <w:t>分别</w:t>
      </w:r>
      <w:r>
        <w:rPr>
          <w:rFonts w:hint="eastAsia" w:ascii="仿宋" w:hAnsi="仿宋" w:eastAsia="仿宋" w:cs="仿宋"/>
          <w:color w:val="auto"/>
          <w:kern w:val="2"/>
          <w:sz w:val="32"/>
          <w:szCs w:val="24"/>
          <w:highlight w:val="none"/>
          <w:lang w:val="en-US" w:eastAsia="zh-CN" w:bidi="ar-SA"/>
        </w:rPr>
        <w:t>注册成立</w:t>
      </w:r>
      <w:r>
        <w:rPr>
          <w:rFonts w:hint="eastAsia" w:cs="仿宋"/>
          <w:color w:val="auto"/>
          <w:kern w:val="2"/>
          <w:sz w:val="32"/>
          <w:szCs w:val="24"/>
          <w:highlight w:val="none"/>
          <w:lang w:val="en-US" w:eastAsia="zh-CN" w:bidi="ar-SA"/>
        </w:rPr>
        <w:t>了</w:t>
      </w:r>
      <w:r>
        <w:rPr>
          <w:rFonts w:hint="eastAsia" w:ascii="仿宋" w:hAnsi="仿宋" w:eastAsia="仿宋" w:cs="仿宋"/>
          <w:color w:val="auto"/>
          <w:kern w:val="2"/>
          <w:sz w:val="32"/>
          <w:szCs w:val="24"/>
          <w:highlight w:val="none"/>
          <w:lang w:val="en-US" w:eastAsia="zh-CN" w:bidi="ar-SA"/>
        </w:rPr>
        <w:t>石家庄润石生态保护管理服务有限公司（一标段项目公司</w:t>
      </w:r>
      <w:r>
        <w:rPr>
          <w:rFonts w:hint="eastAsia" w:cs="仿宋"/>
          <w:color w:val="auto"/>
          <w:kern w:val="2"/>
          <w:sz w:val="32"/>
          <w:szCs w:val="24"/>
          <w:highlight w:val="none"/>
          <w:lang w:val="en-US" w:eastAsia="zh-CN" w:bidi="ar-SA"/>
        </w:rPr>
        <w:t>，</w:t>
      </w:r>
      <w:r>
        <w:rPr>
          <w:rFonts w:hint="eastAsia" w:ascii="仿宋" w:hAnsi="仿宋" w:eastAsia="仿宋" w:cs="仿宋"/>
          <w:color w:val="auto"/>
          <w:kern w:val="2"/>
          <w:sz w:val="32"/>
          <w:szCs w:val="24"/>
          <w:highlight w:val="none"/>
          <w:lang w:val="en-US" w:eastAsia="zh-CN" w:bidi="ar-SA"/>
        </w:rPr>
        <w:t>以下简称“润石公司”），石家庄云际生态保护管理服务有限公司（二标段项目公司</w:t>
      </w:r>
      <w:r>
        <w:rPr>
          <w:rFonts w:hint="eastAsia" w:cs="仿宋"/>
          <w:color w:val="auto"/>
          <w:kern w:val="2"/>
          <w:sz w:val="32"/>
          <w:szCs w:val="24"/>
          <w:highlight w:val="none"/>
          <w:lang w:val="en-US" w:eastAsia="zh-CN" w:bidi="ar-SA"/>
        </w:rPr>
        <w:t>，</w:t>
      </w:r>
      <w:r>
        <w:rPr>
          <w:rFonts w:hint="eastAsia" w:ascii="仿宋" w:hAnsi="仿宋" w:eastAsia="仿宋" w:cs="仿宋"/>
          <w:color w:val="auto"/>
          <w:kern w:val="2"/>
          <w:sz w:val="32"/>
          <w:szCs w:val="24"/>
          <w:highlight w:val="none"/>
          <w:lang w:val="en-US" w:eastAsia="zh-CN" w:bidi="ar-SA"/>
        </w:rPr>
        <w:t>以下简称“云际公司”）。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cs="仿宋"/>
          <w:color w:val="auto"/>
          <w:kern w:val="2"/>
          <w:sz w:val="32"/>
          <w:szCs w:val="24"/>
          <w:highlight w:val="none"/>
          <w:lang w:val="en-US" w:eastAsia="zh-CN" w:bidi="ar-SA"/>
        </w:rPr>
      </w:pPr>
      <w:r>
        <w:rPr>
          <w:rFonts w:hint="eastAsia" w:cs="仿宋"/>
          <w:color w:val="auto"/>
          <w:kern w:val="2"/>
          <w:sz w:val="32"/>
          <w:szCs w:val="24"/>
          <w:highlight w:val="none"/>
          <w:lang w:val="en-US" w:eastAsia="zh-CN" w:bidi="ar-SA"/>
        </w:rPr>
        <w:t>按初步设计，本项目共分为五个分区，四个子项。两个</w:t>
      </w:r>
      <w:r>
        <w:rPr>
          <w:rFonts w:hint="eastAsia" w:ascii="仿宋" w:hAnsi="仿宋" w:eastAsia="仿宋" w:cs="仿宋"/>
          <w:color w:val="auto"/>
          <w:kern w:val="2"/>
          <w:sz w:val="32"/>
          <w:szCs w:val="24"/>
          <w:highlight w:val="none"/>
          <w:lang w:val="en-US" w:eastAsia="zh-CN" w:bidi="ar-SA"/>
        </w:rPr>
        <w:t>标段于2018年8月1日</w:t>
      </w:r>
      <w:r>
        <w:rPr>
          <w:rFonts w:hint="eastAsia" w:cs="仿宋"/>
          <w:color w:val="auto"/>
          <w:kern w:val="2"/>
          <w:sz w:val="32"/>
          <w:szCs w:val="24"/>
          <w:highlight w:val="none"/>
          <w:lang w:val="en-US" w:eastAsia="zh-CN" w:bidi="ar-SA"/>
        </w:rPr>
        <w:t>同时</w:t>
      </w:r>
      <w:r>
        <w:rPr>
          <w:rFonts w:hint="eastAsia" w:ascii="仿宋" w:hAnsi="仿宋" w:eastAsia="仿宋" w:cs="仿宋"/>
          <w:color w:val="auto"/>
          <w:kern w:val="2"/>
          <w:sz w:val="32"/>
          <w:szCs w:val="24"/>
          <w:highlight w:val="none"/>
          <w:lang w:val="en-US" w:eastAsia="zh-CN" w:bidi="ar-SA"/>
        </w:rPr>
        <w:t>开工，2020年5月</w:t>
      </w:r>
      <w:r>
        <w:rPr>
          <w:rFonts w:hint="eastAsia" w:cs="仿宋"/>
          <w:color w:val="auto"/>
          <w:kern w:val="2"/>
          <w:sz w:val="32"/>
          <w:szCs w:val="24"/>
          <w:highlight w:val="none"/>
          <w:lang w:val="en-US" w:eastAsia="zh-CN" w:bidi="ar-SA"/>
        </w:rPr>
        <w:t>，除子项一（</w:t>
      </w:r>
      <w:r>
        <w:rPr>
          <w:rFonts w:hint="eastAsia" w:ascii="仿宋" w:hAnsi="仿宋" w:eastAsia="仿宋" w:cs="仿宋"/>
          <w:color w:val="auto"/>
          <w:kern w:val="2"/>
          <w:sz w:val="32"/>
          <w:szCs w:val="24"/>
          <w:highlight w:val="none"/>
          <w:lang w:val="en-US" w:eastAsia="zh-CN" w:bidi="ar-SA"/>
        </w:rPr>
        <w:t>新建右堤工程</w:t>
      </w:r>
      <w:r>
        <w:rPr>
          <w:rFonts w:hint="eastAsia" w:cs="仿宋"/>
          <w:color w:val="auto"/>
          <w:kern w:val="2"/>
          <w:sz w:val="32"/>
          <w:szCs w:val="24"/>
          <w:highlight w:val="none"/>
          <w:lang w:val="en-US" w:eastAsia="zh-CN" w:bidi="ar-SA"/>
        </w:rPr>
        <w:t>）</w:t>
      </w:r>
      <w:r>
        <w:rPr>
          <w:rFonts w:hint="eastAsia" w:ascii="仿宋" w:hAnsi="仿宋" w:eastAsia="仿宋" w:cs="仿宋"/>
          <w:color w:val="auto"/>
          <w:kern w:val="2"/>
          <w:sz w:val="32"/>
          <w:szCs w:val="24"/>
          <w:highlight w:val="none"/>
          <w:lang w:val="en-US" w:eastAsia="zh-CN" w:bidi="ar-SA"/>
        </w:rPr>
        <w:t>因征拆延误等原因未完工</w:t>
      </w:r>
      <w:r>
        <w:rPr>
          <w:rFonts w:hint="eastAsia" w:cs="仿宋"/>
          <w:color w:val="auto"/>
          <w:kern w:val="2"/>
          <w:sz w:val="32"/>
          <w:szCs w:val="24"/>
          <w:highlight w:val="none"/>
          <w:lang w:val="en-US" w:eastAsia="zh-CN" w:bidi="ar-SA"/>
        </w:rPr>
        <w:t>外，其他</w:t>
      </w:r>
      <w:r>
        <w:rPr>
          <w:rFonts w:hint="eastAsia" w:ascii="仿宋" w:hAnsi="仿宋" w:eastAsia="仿宋" w:cs="仿宋"/>
          <w:color w:val="auto"/>
          <w:kern w:val="2"/>
          <w:sz w:val="32"/>
          <w:szCs w:val="24"/>
          <w:highlight w:val="none"/>
          <w:lang w:val="en-US" w:eastAsia="zh-CN" w:bidi="ar-SA"/>
        </w:rPr>
        <w:t>主体工程</w:t>
      </w:r>
      <w:r>
        <w:rPr>
          <w:rFonts w:hint="eastAsia" w:cs="仿宋"/>
          <w:color w:val="auto"/>
          <w:kern w:val="2"/>
          <w:sz w:val="32"/>
          <w:szCs w:val="24"/>
          <w:highlight w:val="none"/>
          <w:lang w:val="en-US" w:eastAsia="zh-CN" w:bidi="ar-SA"/>
        </w:rPr>
        <w:t>已</w:t>
      </w:r>
      <w:r>
        <w:rPr>
          <w:rFonts w:hint="eastAsia" w:ascii="仿宋" w:hAnsi="仿宋" w:eastAsia="仿宋" w:cs="仿宋"/>
          <w:color w:val="auto"/>
          <w:kern w:val="2"/>
          <w:sz w:val="32"/>
          <w:szCs w:val="24"/>
          <w:highlight w:val="none"/>
          <w:lang w:val="en-US" w:eastAsia="zh-CN" w:bidi="ar-SA"/>
        </w:rPr>
        <w:t>完工</w:t>
      </w:r>
      <w:r>
        <w:rPr>
          <w:rFonts w:hint="eastAsia" w:cs="仿宋"/>
          <w:color w:val="auto"/>
          <w:kern w:val="2"/>
          <w:sz w:val="32"/>
          <w:szCs w:val="24"/>
          <w:highlight w:val="none"/>
          <w:lang w:val="en-US" w:eastAsia="zh-CN" w:bidi="ar-SA"/>
        </w:rPr>
        <w:t>，</w:t>
      </w:r>
      <w:r>
        <w:rPr>
          <w:rFonts w:hint="eastAsia" w:ascii="仿宋" w:hAnsi="仿宋" w:eastAsia="仿宋" w:cs="仿宋"/>
          <w:color w:val="auto"/>
          <w:kern w:val="2"/>
          <w:sz w:val="32"/>
          <w:szCs w:val="24"/>
          <w:highlight w:val="none"/>
          <w:lang w:val="en-US" w:eastAsia="zh-CN" w:bidi="ar-SA"/>
        </w:rPr>
        <w:t>市水利局组织</w:t>
      </w:r>
      <w:r>
        <w:rPr>
          <w:rFonts w:hint="eastAsia" w:cs="仿宋"/>
          <w:color w:val="auto"/>
          <w:kern w:val="2"/>
          <w:sz w:val="32"/>
          <w:szCs w:val="24"/>
          <w:highlight w:val="none"/>
          <w:lang w:val="en-US" w:eastAsia="zh-CN" w:bidi="ar-SA"/>
        </w:rPr>
        <w:t>完工</w:t>
      </w:r>
      <w:r>
        <w:rPr>
          <w:rFonts w:hint="eastAsia" w:ascii="仿宋" w:hAnsi="仿宋" w:eastAsia="仿宋" w:cs="仿宋"/>
          <w:color w:val="auto"/>
          <w:kern w:val="2"/>
          <w:sz w:val="32"/>
          <w:szCs w:val="24"/>
          <w:highlight w:val="none"/>
          <w:lang w:val="en-US" w:eastAsia="zh-CN" w:bidi="ar-SA"/>
        </w:rPr>
        <w:t>验收</w:t>
      </w:r>
      <w:r>
        <w:rPr>
          <w:rFonts w:hint="eastAsia" w:cs="仿宋"/>
          <w:color w:val="auto"/>
          <w:kern w:val="2"/>
          <w:sz w:val="32"/>
          <w:szCs w:val="24"/>
          <w:highlight w:val="none"/>
          <w:lang w:val="en-US" w:eastAsia="zh-CN" w:bidi="ar-SA"/>
        </w:rPr>
        <w:t>后，</w:t>
      </w:r>
      <w:r>
        <w:rPr>
          <w:rFonts w:hint="eastAsia" w:ascii="仿宋" w:hAnsi="仿宋" w:eastAsia="仿宋" w:cs="仿宋"/>
          <w:color w:val="auto"/>
          <w:kern w:val="2"/>
          <w:sz w:val="32"/>
          <w:szCs w:val="24"/>
          <w:highlight w:val="none"/>
          <w:lang w:val="en-US" w:eastAsia="zh-CN" w:bidi="ar-SA"/>
        </w:rPr>
        <w:t>于2020年6月1日</w:t>
      </w:r>
      <w:r>
        <w:rPr>
          <w:rFonts w:hint="eastAsia" w:cs="仿宋"/>
          <w:color w:val="auto"/>
          <w:kern w:val="2"/>
          <w:sz w:val="32"/>
          <w:szCs w:val="24"/>
          <w:highlight w:val="none"/>
          <w:lang w:val="en-US" w:eastAsia="zh-CN" w:bidi="ar-SA"/>
        </w:rPr>
        <w:t>转</w:t>
      </w:r>
      <w:r>
        <w:rPr>
          <w:rFonts w:hint="eastAsia" w:ascii="仿宋" w:hAnsi="仿宋" w:eastAsia="仿宋" w:cs="仿宋"/>
          <w:color w:val="auto"/>
          <w:kern w:val="2"/>
          <w:sz w:val="32"/>
          <w:szCs w:val="24"/>
          <w:highlight w:val="none"/>
          <w:lang w:val="en-US" w:eastAsia="zh-CN" w:bidi="ar-SA"/>
        </w:rPr>
        <w:t>入运营期。根据石家庄市行政审批局对项目初步设计方案的批复，已完工部分总投资概算为713413.98万元（</w:t>
      </w:r>
      <w:r>
        <w:rPr>
          <w:rFonts w:hint="eastAsia" w:cs="仿宋"/>
          <w:color w:val="auto"/>
          <w:kern w:val="2"/>
          <w:sz w:val="32"/>
          <w:szCs w:val="24"/>
          <w:highlight w:val="none"/>
          <w:lang w:val="en-US" w:eastAsia="zh-CN" w:bidi="ar-SA"/>
        </w:rPr>
        <w:t>其中一标段，</w:t>
      </w:r>
      <w:r>
        <w:rPr>
          <w:rFonts w:hint="eastAsia" w:ascii="仿宋" w:hAnsi="仿宋" w:eastAsia="仿宋" w:cs="仿宋"/>
          <w:color w:val="auto"/>
          <w:kern w:val="2"/>
          <w:sz w:val="32"/>
          <w:szCs w:val="24"/>
          <w:highlight w:val="none"/>
          <w:lang w:val="en-US" w:eastAsia="zh-CN" w:bidi="ar-SA"/>
        </w:rPr>
        <w:t>不含子项一36803.26万元</w:t>
      </w:r>
      <w:r>
        <w:rPr>
          <w:rFonts w:hint="eastAsia" w:cs="仿宋"/>
          <w:color w:val="auto"/>
          <w:kern w:val="2"/>
          <w:sz w:val="32"/>
          <w:szCs w:val="24"/>
          <w:highlight w:val="none"/>
          <w:lang w:val="en-US" w:eastAsia="zh-CN" w:bidi="ar-SA"/>
        </w:rPr>
        <w:t>；二标段</w:t>
      </w:r>
      <w:r>
        <w:rPr>
          <w:rFonts w:hint="eastAsia" w:ascii="仿宋" w:hAnsi="仿宋" w:eastAsia="仿宋" w:cs="仿宋"/>
          <w:color w:val="auto"/>
          <w:kern w:val="2"/>
          <w:sz w:val="32"/>
          <w:szCs w:val="24"/>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cs="仿宋"/>
          <w:b w:val="0"/>
          <w:bCs w:val="0"/>
          <w:color w:val="auto"/>
          <w:kern w:val="2"/>
          <w:sz w:val="32"/>
          <w:szCs w:val="24"/>
          <w:highlight w:val="none"/>
          <w:lang w:val="en-US" w:eastAsia="zh-CN" w:bidi="ar-SA"/>
        </w:rPr>
      </w:pPr>
      <w:r>
        <w:rPr>
          <w:rFonts w:hint="eastAsia" w:cs="仿宋"/>
          <w:b w:val="0"/>
          <w:bCs w:val="0"/>
          <w:color w:val="auto"/>
          <w:kern w:val="2"/>
          <w:sz w:val="32"/>
          <w:szCs w:val="24"/>
          <w:highlight w:val="none"/>
          <w:lang w:val="en-US" w:eastAsia="zh-CN" w:bidi="ar-SA"/>
        </w:rPr>
        <w:t>项目经验收合格进入运营期后，市水利局牵头成立绩效考核小组，对PPP项目协议约定的衡量建设成效的指标进行考核评分。通过定期考核与随机考核相结合的方式，定期考核每季度进行一次，随机考核每年至少进行两次，考核结果作为政府可行性缺口补助支付的依据。</w:t>
      </w:r>
    </w:p>
    <w:p>
      <w:pPr>
        <w:pStyle w:val="4"/>
        <w:keepNext w:val="0"/>
        <w:keepLines w:val="0"/>
        <w:pageBreakBefore w:val="0"/>
        <w:widowControl w:val="0"/>
        <w:kinsoku/>
        <w:wordWrap/>
        <w:overflowPunct/>
        <w:topLinePunct w:val="0"/>
        <w:autoSpaceDE w:val="0"/>
        <w:autoSpaceDN w:val="0"/>
        <w:bidi w:val="0"/>
        <w:adjustRightInd/>
        <w:snapToGrid/>
        <w:spacing w:line="560" w:lineRule="exact"/>
        <w:ind w:left="0" w:leftChars="0" w:firstLine="640" w:firstLineChars="200"/>
        <w:jc w:val="both"/>
        <w:textAlignment w:val="auto"/>
        <w:rPr>
          <w:color w:val="auto"/>
          <w:highlight w:val="none"/>
          <w:lang w:val="en-US" w:bidi="ar-SA"/>
        </w:rPr>
      </w:pPr>
      <w:r>
        <w:rPr>
          <w:rFonts w:hint="eastAsia"/>
          <w:color w:val="auto"/>
          <w:highlight w:val="none"/>
          <w:lang w:val="en-US" w:bidi="ar-SA"/>
        </w:rPr>
        <w:t>二、绩效评价情况</w:t>
      </w:r>
    </w:p>
    <w:p>
      <w:pPr>
        <w:pStyle w:val="5"/>
        <w:keepNext w:val="0"/>
        <w:keepLines w:val="0"/>
        <w:pageBreakBefore w:val="0"/>
        <w:widowControl w:val="0"/>
        <w:kinsoku/>
        <w:wordWrap/>
        <w:overflowPunct/>
        <w:topLinePunct w:val="0"/>
        <w:autoSpaceDE w:val="0"/>
        <w:autoSpaceDN w:val="0"/>
        <w:bidi w:val="0"/>
        <w:adjustRightInd/>
        <w:snapToGrid/>
        <w:spacing w:line="560" w:lineRule="exact"/>
        <w:ind w:left="0" w:leftChars="0" w:firstLine="640" w:firstLineChars="200"/>
        <w:jc w:val="both"/>
        <w:textAlignment w:val="auto"/>
        <w:rPr>
          <w:color w:val="auto"/>
          <w:highlight w:val="none"/>
        </w:rPr>
      </w:pPr>
      <w:r>
        <w:rPr>
          <w:rFonts w:hint="eastAsia"/>
          <w:color w:val="auto"/>
          <w:highlight w:val="none"/>
        </w:rPr>
        <w:t>（一）评价工作组织实施情况</w:t>
      </w:r>
    </w:p>
    <w:p>
      <w:pPr>
        <w:pStyle w:val="13"/>
        <w:keepNext w:val="0"/>
        <w:keepLines w:val="0"/>
        <w:pageBreakBefore w:val="0"/>
        <w:widowControl w:val="0"/>
        <w:kinsoku/>
        <w:wordWrap/>
        <w:overflowPunct/>
        <w:topLinePunct w:val="0"/>
        <w:bidi w:val="0"/>
        <w:adjustRightInd/>
        <w:snapToGrid/>
        <w:spacing w:after="0" w:line="560" w:lineRule="exact"/>
        <w:ind w:left="0" w:leftChars="0" w:firstLine="640" w:firstLineChars="200"/>
        <w:jc w:val="both"/>
        <w:textAlignment w:val="auto"/>
        <w:rPr>
          <w:rFonts w:hint="eastAsia" w:cs="楷体"/>
          <w:bCs/>
          <w:szCs w:val="32"/>
          <w:highlight w:val="none"/>
          <w:lang w:val="en-US" w:eastAsia="zh-CN"/>
        </w:rPr>
      </w:pPr>
      <w:r>
        <w:rPr>
          <w:rFonts w:hint="eastAsia" w:cs="楷体"/>
          <w:bCs/>
          <w:szCs w:val="32"/>
          <w:highlight w:val="none"/>
          <w:lang w:val="en-US" w:eastAsia="zh-CN"/>
        </w:rPr>
        <w:t>为做好这次绩效评价工作，评价组认真进行前期调研，搜集学习相关政策和专业知识，与项目主管部门、项目公司相关人员座谈，组织评价组成员进行多次研究讨论。根据财政绩效评价的基本要求和规定，结合PPP项目特点，制定了详细的工作实施方案，设计了指标体系，确定了评价重点、评价方法、工作流程、工作进度安排等内容。</w:t>
      </w:r>
    </w:p>
    <w:p>
      <w:pPr>
        <w:pStyle w:val="13"/>
        <w:keepNext w:val="0"/>
        <w:keepLines w:val="0"/>
        <w:pageBreakBefore w:val="0"/>
        <w:widowControl w:val="0"/>
        <w:kinsoku/>
        <w:wordWrap/>
        <w:overflowPunct/>
        <w:topLinePunct w:val="0"/>
        <w:bidi w:val="0"/>
        <w:adjustRightInd/>
        <w:snapToGrid/>
        <w:spacing w:after="0" w:line="560" w:lineRule="exact"/>
        <w:ind w:left="0" w:leftChars="0" w:firstLine="640" w:firstLineChars="200"/>
        <w:jc w:val="both"/>
        <w:textAlignment w:val="auto"/>
        <w:rPr>
          <w:rFonts w:hint="eastAsia" w:cs="楷体"/>
          <w:bCs/>
          <w:color w:val="C00000"/>
          <w:szCs w:val="32"/>
          <w:highlight w:val="none"/>
          <w:lang w:val="en-US" w:eastAsia="zh-CN"/>
        </w:rPr>
      </w:pPr>
      <w:r>
        <w:rPr>
          <w:rFonts w:hint="eastAsia" w:ascii="仿宋" w:hAnsi="仿宋" w:eastAsia="仿宋" w:cs="仿宋"/>
          <w:bCs w:val="0"/>
          <w:szCs w:val="22"/>
          <w:highlight w:val="none"/>
          <w:lang w:val="en-US" w:bidi="ar-SA"/>
        </w:rPr>
        <w:t>评价组</w:t>
      </w:r>
      <w:r>
        <w:rPr>
          <w:rFonts w:hint="eastAsia" w:cs="楷体"/>
          <w:bCs/>
          <w:szCs w:val="32"/>
          <w:highlight w:val="none"/>
          <w:lang w:val="en-US" w:eastAsia="zh-CN"/>
        </w:rPr>
        <w:t>对滹沱河生态修复PPP项目的规划、建设、运营、维护质量、政府可行性缺口补助、项目维护绩效考核等情况进行实地调查核实和监督评价。查看了市水利局、滹沱河公司、两个项目公司等四个单位的财务报表、会计账簿、凭证及相关文件资料，PPP项目协议2份、可研报告4份、初设报告4份、设计变更1册，抽查各类合同协议90余份、招投标资料30余份、竣工图93册。现场抽查实测五个分区的绿化面积1858亩，清点核对绿化植物和乔木品种40个，清点核对乔木数量19000棵，抽查实测滨河路等路灯距11个，雨水收集利用设施18处，清点核对文体设施和活动场地54处，抽查清点厕所、服务点等23个。对征迁</w:t>
      </w:r>
      <w:r>
        <w:rPr>
          <w:rFonts w:hint="eastAsia" w:ascii="仿宋" w:hAnsi="仿宋" w:eastAsia="仿宋" w:cs="仿宋"/>
          <w:bCs w:val="0"/>
          <w:szCs w:val="22"/>
          <w:highlight w:val="none"/>
          <w:lang w:val="en-US" w:bidi="ar-SA"/>
        </w:rPr>
        <w:t>资金</w:t>
      </w:r>
      <w:r>
        <w:rPr>
          <w:rFonts w:hint="eastAsia" w:cs="仿宋"/>
          <w:bCs w:val="0"/>
          <w:szCs w:val="22"/>
          <w:highlight w:val="none"/>
          <w:lang w:val="en-US" w:eastAsia="zh-CN" w:bidi="ar-SA"/>
        </w:rPr>
        <w:t>按拨付</w:t>
      </w:r>
      <w:r>
        <w:rPr>
          <w:rFonts w:hint="eastAsia" w:ascii="仿宋" w:hAnsi="仿宋" w:eastAsia="仿宋" w:cs="仿宋"/>
          <w:bCs w:val="0"/>
          <w:szCs w:val="22"/>
          <w:highlight w:val="none"/>
          <w:lang w:val="en-US" w:bidi="ar-SA"/>
        </w:rPr>
        <w:t>流向追踪</w:t>
      </w:r>
      <w:r>
        <w:rPr>
          <w:rFonts w:hint="eastAsia" w:cs="楷体"/>
          <w:bCs/>
          <w:szCs w:val="32"/>
          <w:highlight w:val="none"/>
          <w:lang w:val="en-US" w:eastAsia="zh-CN"/>
        </w:rPr>
        <w:t>到资金使用最终端，抽查了市园林局滹沱河生态绿廊工程筹建处及藁城区、长安区的7个乡镇29个村（社区），</w:t>
      </w:r>
      <w:r>
        <w:rPr>
          <w:rFonts w:hint="eastAsia" w:cs="仿宋"/>
          <w:bCs w:val="0"/>
          <w:szCs w:val="22"/>
          <w:highlight w:val="none"/>
          <w:lang w:val="en-US" w:eastAsia="zh-CN" w:bidi="ar-SA"/>
        </w:rPr>
        <w:t>查看</w:t>
      </w:r>
      <w:r>
        <w:rPr>
          <w:rFonts w:hint="eastAsia" w:ascii="仿宋" w:hAnsi="仿宋" w:eastAsia="仿宋" w:cs="仿宋"/>
          <w:bCs w:val="0"/>
          <w:color w:val="auto"/>
          <w:szCs w:val="22"/>
          <w:highlight w:val="none"/>
          <w:lang w:val="en-US" w:eastAsia="zh-CN" w:bidi="ar-SA"/>
        </w:rPr>
        <w:t>土地流转合同</w:t>
      </w:r>
      <w:r>
        <w:rPr>
          <w:rFonts w:hint="eastAsia" w:cs="仿宋"/>
          <w:bCs w:val="0"/>
          <w:color w:val="auto"/>
          <w:szCs w:val="22"/>
          <w:highlight w:val="none"/>
          <w:lang w:val="en-US" w:eastAsia="zh-CN" w:bidi="ar-SA"/>
        </w:rPr>
        <w:t>700余</w:t>
      </w:r>
      <w:r>
        <w:rPr>
          <w:rFonts w:hint="eastAsia" w:ascii="仿宋" w:hAnsi="仿宋" w:eastAsia="仿宋" w:cs="仿宋"/>
          <w:bCs w:val="0"/>
          <w:color w:val="auto"/>
          <w:szCs w:val="22"/>
          <w:highlight w:val="none"/>
          <w:lang w:val="en-US" w:eastAsia="zh-CN" w:bidi="ar-SA"/>
        </w:rPr>
        <w:t>份</w:t>
      </w:r>
      <w:r>
        <w:rPr>
          <w:rFonts w:hint="eastAsia" w:cs="仿宋"/>
          <w:bCs w:val="0"/>
          <w:color w:val="auto"/>
          <w:szCs w:val="22"/>
          <w:highlight w:val="none"/>
          <w:lang w:val="en-US" w:eastAsia="zh-CN" w:bidi="ar-SA"/>
        </w:rPr>
        <w:t>，评估评审报告53份</w:t>
      </w:r>
      <w:r>
        <w:rPr>
          <w:rFonts w:hint="eastAsia" w:cs="楷体"/>
          <w:bCs/>
          <w:szCs w:val="32"/>
          <w:highlight w:val="none"/>
          <w:lang w:val="en-US" w:eastAsia="zh-CN"/>
        </w:rPr>
        <w:t>。以现场随机询问的方式，对游客及周边</w:t>
      </w:r>
      <w:r>
        <w:rPr>
          <w:rFonts w:hint="eastAsia" w:cs="仿宋"/>
          <w:bCs w:val="0"/>
          <w:color w:val="auto"/>
          <w:szCs w:val="22"/>
          <w:highlight w:val="none"/>
          <w:lang w:val="en-US" w:eastAsia="zh-CN" w:bidi="ar-SA"/>
        </w:rPr>
        <w:t>居民203人进行了满意度</w:t>
      </w:r>
      <w:r>
        <w:rPr>
          <w:rFonts w:hint="eastAsia" w:cs="楷体"/>
          <w:bCs/>
          <w:szCs w:val="32"/>
          <w:highlight w:val="none"/>
          <w:lang w:val="en-US" w:eastAsia="zh-CN"/>
        </w:rPr>
        <w:t>调查。</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highlight w:val="none"/>
        </w:rPr>
      </w:pPr>
      <w:r>
        <w:rPr>
          <w:rFonts w:hint="eastAsia"/>
          <w:highlight w:val="none"/>
        </w:rPr>
        <w:t>（二）绩效评价指标及评分办法</w:t>
      </w:r>
    </w:p>
    <w:p>
      <w:pPr>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cs="楷体"/>
          <w:bCs/>
          <w:szCs w:val="32"/>
          <w:highlight w:val="none"/>
          <w:lang w:val="en-US" w:eastAsia="zh-CN"/>
        </w:rPr>
      </w:pPr>
      <w:r>
        <w:rPr>
          <w:rFonts w:hint="eastAsia" w:cs="楷体"/>
          <w:bCs/>
          <w:szCs w:val="32"/>
          <w:highlight w:val="none"/>
          <w:lang w:val="en-US" w:eastAsia="zh-CN"/>
        </w:rPr>
        <w:t>评价组根据《石家庄市市级预算绩效重点评价管理办法》要求，参照市级部门预算项目绩效指标和标准体系，市政府批准的《石家庄滹沱河生态修复工程PPP项目绩效评价工作方案》，结合滹沱河生态修复工程PPP项目特点和实际情况，本着科学性、精准性、有效性原则设计了评价指标及评价标准，制定了《滹沱河生态修复工程PPP项目运营期绩效评价表》（详见附件1），重点对滹沱河生态修复工程PPP项目的运维质量、经济效益、社会效益、生态效益、游客及民众满意度等进行评价分析。</w:t>
      </w:r>
    </w:p>
    <w:p>
      <w:pPr>
        <w:pStyle w:val="2"/>
        <w:keepNext w:val="0"/>
        <w:keepLines w:val="0"/>
        <w:pageBreakBefore w:val="0"/>
        <w:widowControl w:val="0"/>
        <w:kinsoku/>
        <w:wordWrap/>
        <w:overflowPunct/>
        <w:topLinePunct w:val="0"/>
        <w:bidi w:val="0"/>
        <w:adjustRightInd/>
        <w:snapToGrid/>
        <w:spacing w:line="560" w:lineRule="exact"/>
        <w:jc w:val="both"/>
        <w:textAlignment w:val="auto"/>
        <w:rPr>
          <w:rFonts w:hint="eastAsia" w:cs="Times New Roman"/>
          <w:sz w:val="32"/>
          <w:szCs w:val="32"/>
          <w:highlight w:val="none"/>
          <w:lang w:eastAsia="zh-CN"/>
        </w:rPr>
      </w:pPr>
      <w:r>
        <w:rPr>
          <w:rFonts w:hint="eastAsia" w:cs="Times New Roman"/>
          <w:sz w:val="32"/>
          <w:szCs w:val="32"/>
          <w:highlight w:val="none"/>
          <w:lang w:eastAsia="zh-CN"/>
        </w:rPr>
        <w:t>按本项目协议，市水利局每季度进行运维情况考核。</w:t>
      </w:r>
      <w:r>
        <w:rPr>
          <w:rFonts w:hint="eastAsia" w:ascii="仿宋" w:hAnsi="仿宋" w:eastAsia="仿宋" w:cs="Times New Roman"/>
          <w:sz w:val="32"/>
          <w:szCs w:val="32"/>
          <w:highlight w:val="none"/>
        </w:rPr>
        <w:t>为体现评价的完整性和公正性，对维护质量</w:t>
      </w:r>
      <w:r>
        <w:rPr>
          <w:rFonts w:hint="eastAsia" w:cs="Times New Roman"/>
          <w:sz w:val="32"/>
          <w:szCs w:val="32"/>
          <w:highlight w:val="none"/>
          <w:lang w:eastAsia="zh-CN"/>
        </w:rPr>
        <w:t>指标和满意度指标，按</w:t>
      </w:r>
      <w:r>
        <w:rPr>
          <w:rFonts w:hint="eastAsia" w:ascii="仿宋" w:hAnsi="仿宋" w:eastAsia="仿宋" w:cs="Times New Roman"/>
          <w:sz w:val="32"/>
          <w:szCs w:val="32"/>
          <w:highlight w:val="none"/>
        </w:rPr>
        <w:t>市水利局各季度的绩效考核得分占50%，评价组现场核查情况得分占50%</w:t>
      </w:r>
      <w:r>
        <w:rPr>
          <w:rFonts w:hint="eastAsia" w:cs="Times New Roman"/>
          <w:sz w:val="32"/>
          <w:szCs w:val="32"/>
          <w:highlight w:val="none"/>
          <w:lang w:eastAsia="zh-CN"/>
        </w:rPr>
        <w:t>进行评分</w:t>
      </w:r>
      <w:r>
        <w:rPr>
          <w:rFonts w:hint="eastAsia" w:ascii="仿宋" w:hAnsi="仿宋" w:eastAsia="仿宋" w:cs="Times New Roman"/>
          <w:sz w:val="32"/>
          <w:szCs w:val="32"/>
          <w:highlight w:val="none"/>
        </w:rPr>
        <w:t>。</w:t>
      </w:r>
      <w:r>
        <w:rPr>
          <w:rFonts w:hint="eastAsia" w:cs="Times New Roman"/>
          <w:sz w:val="32"/>
          <w:szCs w:val="32"/>
          <w:highlight w:val="none"/>
          <w:lang w:eastAsia="zh-CN"/>
        </w:rPr>
        <w:t>鉴于</w:t>
      </w:r>
      <w:r>
        <w:rPr>
          <w:rFonts w:hint="eastAsia" w:ascii="仿宋" w:hAnsi="仿宋" w:eastAsia="仿宋" w:cs="Times New Roman"/>
          <w:sz w:val="32"/>
          <w:szCs w:val="32"/>
          <w:highlight w:val="none"/>
          <w:lang w:eastAsia="zh-CN"/>
        </w:rPr>
        <w:t>竣工图为施工单位按实际完成情况绘制，</w:t>
      </w:r>
      <w:r>
        <w:rPr>
          <w:rFonts w:hint="eastAsia" w:cs="Times New Roman"/>
          <w:sz w:val="32"/>
          <w:szCs w:val="32"/>
          <w:highlight w:val="none"/>
          <w:lang w:eastAsia="zh-CN"/>
        </w:rPr>
        <w:t>为提高评价效率，降低评价成本，本次评价中以竣工图为实际完成依据，结合现场抽查实测数据进行评分。</w:t>
      </w:r>
    </w:p>
    <w:p>
      <w:pPr>
        <w:pStyle w:val="2"/>
        <w:keepNext w:val="0"/>
        <w:keepLines w:val="0"/>
        <w:pageBreakBefore w:val="0"/>
        <w:widowControl w:val="0"/>
        <w:kinsoku/>
        <w:wordWrap/>
        <w:overflowPunct/>
        <w:topLinePunct w:val="0"/>
        <w:bidi w:val="0"/>
        <w:adjustRightInd/>
        <w:snapToGrid/>
        <w:spacing w:line="560" w:lineRule="exact"/>
        <w:jc w:val="both"/>
        <w:textAlignment w:val="auto"/>
        <w:rPr>
          <w:rFonts w:hint="eastAsia" w:cs="Times New Roman"/>
          <w:sz w:val="32"/>
          <w:szCs w:val="32"/>
          <w:highlight w:val="none"/>
          <w:lang w:val="en-US" w:eastAsia="zh-CN"/>
        </w:rPr>
      </w:pPr>
      <w:r>
        <w:rPr>
          <w:rFonts w:hint="eastAsia" w:cs="Times New Roman"/>
          <w:sz w:val="32"/>
          <w:szCs w:val="32"/>
          <w:highlight w:val="none"/>
          <w:lang w:val="en-US" w:eastAsia="zh-CN"/>
        </w:rPr>
        <w:t>鉴于本项目分两个标段，由两个项目公司运营，对两个标段分别进行评分，以区分两个项目公司的评价结果。汇总评分时，对两个标段的同类指标以各标段占项目总概算的比例分配分值，以各标段单独评分的得分率计算得分。对各标段的独有指标，直接按各标段单独评分的得分率计算得分。</w:t>
      </w:r>
    </w:p>
    <w:p>
      <w:pPr>
        <w:pStyle w:val="2"/>
        <w:keepNext w:val="0"/>
        <w:keepLines w:val="0"/>
        <w:pageBreakBefore w:val="0"/>
        <w:widowControl w:val="0"/>
        <w:kinsoku/>
        <w:wordWrap/>
        <w:overflowPunct/>
        <w:topLinePunct w:val="0"/>
        <w:bidi w:val="0"/>
        <w:adjustRightInd/>
        <w:snapToGrid/>
        <w:spacing w:line="560" w:lineRule="exact"/>
        <w:jc w:val="both"/>
        <w:textAlignment w:val="auto"/>
        <w:rPr>
          <w:rFonts w:hint="eastAsia" w:cs="Times New Roman"/>
          <w:sz w:val="32"/>
          <w:szCs w:val="32"/>
          <w:highlight w:val="none"/>
          <w:lang w:val="en-US" w:eastAsia="zh-CN"/>
        </w:rPr>
      </w:pPr>
      <w:r>
        <w:rPr>
          <w:rFonts w:hint="eastAsia" w:cs="Times New Roman"/>
          <w:sz w:val="32"/>
          <w:szCs w:val="32"/>
          <w:highlight w:val="none"/>
          <w:lang w:val="en-US" w:eastAsia="zh-CN"/>
        </w:rPr>
        <w:t>鉴于本次评价为项目进入运营期后财政对本项目的首次绩效评价，设立了生态绿化和基础设施、服务设施、文体旅游设施保有量指标，评价项目公司对本项目规划设计目标的实际完成和持续性，是评价PPP项目物有所值的重要指标。</w:t>
      </w:r>
    </w:p>
    <w:p>
      <w:pPr>
        <w:pStyle w:val="6"/>
        <w:keepNext w:val="0"/>
        <w:keepLines w:val="0"/>
        <w:pageBreakBefore w:val="0"/>
        <w:widowControl w:val="0"/>
        <w:kinsoku/>
        <w:wordWrap/>
        <w:overflowPunct/>
        <w:topLinePunct w:val="0"/>
        <w:autoSpaceDE w:val="0"/>
        <w:autoSpaceDN w:val="0"/>
        <w:bidi w:val="0"/>
        <w:adjustRightInd/>
        <w:snapToGrid/>
        <w:spacing w:beforeLines="0" w:afterLines="0" w:line="560" w:lineRule="exact"/>
        <w:ind w:firstLine="643"/>
        <w:jc w:val="both"/>
        <w:textAlignment w:val="auto"/>
        <w:rPr>
          <w:highlight w:val="none"/>
          <w:lang w:val="en-US"/>
        </w:rPr>
      </w:pPr>
      <w:r>
        <w:rPr>
          <w:rFonts w:hint="eastAsia" w:ascii="仿宋" w:hAnsi="仿宋" w:eastAsia="仿宋" w:cs="仿宋"/>
          <w:highlight w:val="none"/>
          <w:lang w:val="en-US" w:bidi="ar-SA"/>
        </w:rPr>
        <w:t>1.</w:t>
      </w:r>
      <w:r>
        <w:rPr>
          <w:rFonts w:hint="eastAsia" w:ascii="仿宋" w:hAnsi="仿宋" w:eastAsia="仿宋" w:cs="仿宋"/>
          <w:highlight w:val="none"/>
        </w:rPr>
        <w:t>项目</w:t>
      </w:r>
      <w:r>
        <w:rPr>
          <w:rFonts w:hint="eastAsia" w:ascii="仿宋" w:hAnsi="仿宋" w:eastAsia="仿宋" w:cs="仿宋"/>
          <w:highlight w:val="none"/>
          <w:lang w:val="en-US"/>
        </w:rPr>
        <w:t>产出</w:t>
      </w:r>
      <w:r>
        <w:rPr>
          <w:rFonts w:hint="eastAsia"/>
          <w:highlight w:val="none"/>
          <w:lang w:val="en-US" w:eastAsia="zh-CN"/>
        </w:rPr>
        <w:t>（5</w:t>
      </w:r>
      <w:r>
        <w:rPr>
          <w:rFonts w:hint="eastAsia"/>
          <w:highlight w:val="none"/>
          <w:lang w:val="en-US"/>
        </w:rPr>
        <w:t>0分</w:t>
      </w:r>
      <w:r>
        <w:rPr>
          <w:rFonts w:hint="eastAsia"/>
          <w:highlight w:val="none"/>
          <w:lang w:val="en-US" w:eastAsia="zh-CN"/>
        </w:rPr>
        <w:t>）</w:t>
      </w:r>
    </w:p>
    <w:p>
      <w:pPr>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cs="楷体"/>
          <w:bCs/>
          <w:szCs w:val="32"/>
          <w:highlight w:val="none"/>
          <w:lang w:val="en-US" w:eastAsia="zh-CN"/>
        </w:rPr>
      </w:pPr>
      <w:r>
        <w:rPr>
          <w:rFonts w:hint="eastAsia" w:cs="楷体"/>
          <w:bCs/>
          <w:szCs w:val="32"/>
          <w:highlight w:val="none"/>
          <w:lang w:val="en-US" w:eastAsia="zh-CN"/>
        </w:rPr>
        <w:t>重点评价进入运营期后实现项目规划目标和效果情况。设四个二级指标：</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（1）园林绿化工程20分。主要评价本项目有关园林绿化工程的维护情况，分设5个三级指标：</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主槽内绿化保有量、主槽外绿化保有量及堤外绿化林带保有量3个三级指标各4分，</w:t>
      </w:r>
      <w:r>
        <w:rPr>
          <w:rFonts w:hint="eastAsia" w:cs="仿宋"/>
          <w:bCs/>
          <w:sz w:val="32"/>
          <w:szCs w:val="32"/>
          <w:highlight w:val="none"/>
          <w:lang w:eastAsia="zh-CN"/>
        </w:rPr>
        <w:t>以设计值为评价标准，以竣工图为实际完成数，主要</w:t>
      </w:r>
      <w:r>
        <w:rPr>
          <w:rFonts w:hint="eastAsia"/>
          <w:highlight w:val="none"/>
          <w:lang w:val="en-US" w:eastAsia="zh-CN"/>
        </w:rPr>
        <w:t>评价绿化面积、乔木数量、品种是否达到设计数量，竣工图和设计图是否一致。现场抽取不同位置的绿化分区进行实测和清点核查，按实际完成率评分。</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绿化维护质量指标4分，评价绿化维护质量是否达到项目协议规定标准，现场查看乔灌木树型是否美观，长势是否正常，有无死株缺株、长势不良等现象，每发现1处不合格扣0.01分，扣完为止。</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default"/>
          <w:highlight w:val="none"/>
          <w:lang w:val="en-US" w:eastAsia="zh-CN"/>
        </w:rPr>
      </w:pPr>
      <w:r>
        <w:rPr>
          <w:rFonts w:hint="eastAsia"/>
          <w:highlight w:val="none"/>
          <w:lang w:val="en-US" w:eastAsia="zh-CN"/>
        </w:rPr>
        <w:t>绿地保洁情况指标4分，现场查看绿地是否及时保洁，绿地内杂草垃圾是否及时清除，有无落叶或修剪枝，地面有无塌陷，草坪修剪高度是否一致，有无草坪结籽现象，每发现垃圾1处问题扣0.01分，扣完为止。</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（2）河道工程15分。主要评价河道工程的维护质量，分设2个三级指标：</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河道工程维护指标12分，现场查看河道内有无垃圾、堆积物、种作物；土工建筑物有无渗漏、雨淋沟、裂缝、剥落、露筋、塌陷；石工建筑物有无松动、塌陷、渗漏、错动情况；混凝土结构表面是否整洁，有无脱壳、剥落、露筋、裂缝情况；每发现1处问题扣0.01分，每个考察方面最高扣3分。</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default"/>
          <w:highlight w:val="none"/>
          <w:lang w:val="en-US" w:eastAsia="zh-CN"/>
        </w:rPr>
      </w:pPr>
      <w:r>
        <w:rPr>
          <w:rFonts w:hint="eastAsia"/>
          <w:highlight w:val="none"/>
          <w:lang w:val="en-US" w:eastAsia="zh-CN"/>
        </w:rPr>
        <w:t>雨水收集利用工程维护指标3分，主要评价雨水初期收集处理设施是否实现设计功能，使用是否正常，按实际完成率评分。</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（3）湿地工程5分。主要评价湿地工程是否实现设计功能目标，维护质量情况，分设5个三级指标：</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湿地绿化保有量1分。评价湿地面积是否达到设计要求，植物种类及数量是否按设计进行配备，按完成率得分。</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湿地公园设施维护1分。现场核查假山、水池、园路、路牙石、座椅、栈道、栏杆等公园设施有无缺失、损坏等现象，水面有无垃圾和漂浮物，每发现1处不合格扣0.01分，最高扣1分。</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水生植物养护1分。查看水生植物收割和处置证明，挺水植物更换记录及相关证明，按完成率评分。</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水质维护1分。主要评价湿地水质是否达到设计要求，是否有完整的月度水质检测报告</w:t>
      </w:r>
      <w:r>
        <w:rPr>
          <w:rFonts w:hint="eastAsia"/>
          <w:color w:val="auto"/>
          <w:highlight w:val="none"/>
          <w:lang w:val="en-US" w:eastAsia="zh-CN"/>
        </w:rPr>
        <w:t>，</w:t>
      </w:r>
      <w:r>
        <w:rPr>
          <w:rFonts w:hint="eastAsia"/>
          <w:highlight w:val="none"/>
          <w:lang w:val="en-US" w:eastAsia="zh-CN"/>
        </w:rPr>
        <w:t>按合格率得分。</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default"/>
          <w:highlight w:val="none"/>
          <w:lang w:val="en-US" w:eastAsia="zh-CN"/>
        </w:rPr>
      </w:pPr>
      <w:r>
        <w:rPr>
          <w:rFonts w:hint="eastAsia"/>
          <w:highlight w:val="none"/>
          <w:lang w:val="en-US" w:eastAsia="zh-CN"/>
        </w:rPr>
        <w:t>水质净化1分。对比湿地出水口监测点水质和入水口水质，核实是否达到净化效率标准，按达标率得分。</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（4）道路和其它服务设施完好率10分，主要评价道路及其他服务设施的维护质量，分设5个三级指标：</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道路指标2分。现场查看道路有无破损、有无垃圾，每发现1处问题扣0.01分，最高扣2分。</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服务设施2分。现场查看指示牌、垃圾桶、座椅、灯具等设施有无歪倒、破损、锈蚀现象，每发现1处问题扣0.01分，最高扣2分。</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建筑物2分。现场查看构筑物墙面有无脱落、掉色、破损现象，每发现1处问题扣0.01分，最高扣2分。</w:t>
      </w:r>
    </w:p>
    <w:p>
      <w:pPr>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highlight w:val="none"/>
          <w:lang w:val="en-US" w:eastAsia="zh-CN" w:bidi="ar-SA"/>
        </w:rPr>
      </w:pPr>
      <w:r>
        <w:rPr>
          <w:rFonts w:hint="eastAsia"/>
          <w:highlight w:val="none"/>
          <w:lang w:val="en-US" w:eastAsia="zh-CN" w:bidi="ar-SA"/>
        </w:rPr>
        <w:t>水利闸门指标2分。现场查看闸门是否密封可靠、门体有无变形、启闭是否正常，螺杆式启闭机表面有无铁锈、灰尘、掉漆，每发现1处问题扣0.01分，最高扣2分。</w:t>
      </w:r>
    </w:p>
    <w:p>
      <w:pPr>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highlight w:val="none"/>
          <w:lang w:val="en-US" w:eastAsia="zh-CN" w:bidi="ar-SA"/>
        </w:rPr>
      </w:pPr>
      <w:r>
        <w:rPr>
          <w:rFonts w:hint="eastAsia"/>
          <w:highlight w:val="none"/>
          <w:lang w:val="en-US" w:eastAsia="zh-CN" w:bidi="ar-SA"/>
        </w:rPr>
        <w:t>厕所设施指标2分。通过现场查看及民众调查，厕所是否按时开放、保洁合格、设施完好，每发现1处问题扣0.1分，最高扣2分。</w:t>
      </w:r>
    </w:p>
    <w:p>
      <w:pPr>
        <w:keepNext w:val="0"/>
        <w:keepLines w:val="0"/>
        <w:pageBreakBefore w:val="0"/>
        <w:widowControl w:val="0"/>
        <w:kinsoku/>
        <w:wordWrap/>
        <w:overflowPunct/>
        <w:topLinePunct w:val="0"/>
        <w:autoSpaceDE w:val="0"/>
        <w:autoSpaceDN w:val="0"/>
        <w:bidi w:val="0"/>
        <w:adjustRightInd/>
        <w:snapToGrid/>
        <w:spacing w:line="560" w:lineRule="exact"/>
        <w:ind w:firstLine="643"/>
        <w:jc w:val="both"/>
        <w:textAlignment w:val="auto"/>
        <w:rPr>
          <w:b/>
          <w:bCs/>
          <w:highlight w:val="none"/>
          <w:lang w:val="en-US" w:bidi="ar-SA"/>
        </w:rPr>
      </w:pPr>
      <w:r>
        <w:rPr>
          <w:rFonts w:hint="eastAsia"/>
          <w:b/>
          <w:bCs/>
          <w:highlight w:val="none"/>
          <w:lang w:val="en-US" w:bidi="ar-SA"/>
        </w:rPr>
        <w:t>2.项目效益</w:t>
      </w:r>
      <w:r>
        <w:rPr>
          <w:rFonts w:hint="eastAsia"/>
          <w:b/>
          <w:bCs/>
          <w:highlight w:val="none"/>
          <w:lang w:val="en-US" w:eastAsia="zh-CN" w:bidi="ar-SA"/>
        </w:rPr>
        <w:t>（</w:t>
      </w:r>
      <w:r>
        <w:rPr>
          <w:rFonts w:hint="eastAsia"/>
          <w:b/>
          <w:bCs/>
          <w:highlight w:val="none"/>
          <w:lang w:val="en-US" w:bidi="ar-SA"/>
        </w:rPr>
        <w:t>40分</w:t>
      </w:r>
      <w:r>
        <w:rPr>
          <w:rFonts w:hint="eastAsia"/>
          <w:b/>
          <w:bCs/>
          <w:highlight w:val="none"/>
          <w:lang w:val="en-US" w:eastAsia="zh-CN" w:bidi="ar-SA"/>
        </w:rPr>
        <w:t>）</w:t>
      </w:r>
    </w:p>
    <w:p>
      <w:pPr>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highlight w:val="none"/>
          <w:lang w:val="en-US" w:eastAsia="zh-CN" w:bidi="ar-SA"/>
        </w:rPr>
      </w:pPr>
      <w:r>
        <w:rPr>
          <w:rFonts w:hint="eastAsia"/>
          <w:highlight w:val="none"/>
          <w:lang w:val="en-US" w:eastAsia="zh-CN" w:bidi="ar-SA"/>
        </w:rPr>
        <w:t>评价项目进入运营期后的整体综合效益情况，本着与项目直接相关、可量化衡量的原则，设三个二级指标：</w:t>
      </w:r>
    </w:p>
    <w:p>
      <w:pPr>
        <w:pStyle w:val="2"/>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highlight w:val="none"/>
          <w:lang w:val="en-US" w:eastAsia="zh-CN" w:bidi="ar-SA"/>
        </w:rPr>
        <w:t>（1）经济效益10分。评价本项目公司为社会提供经营性服务和产品，直接取得的除财政补助外的经营性收益。</w:t>
      </w:r>
      <w:r>
        <w:rPr>
          <w:rFonts w:hint="eastAsia" w:ascii="仿宋" w:hAnsi="仿宋" w:eastAsia="仿宋" w:cs="仿宋"/>
          <w:color w:val="000000" w:themeColor="text1"/>
          <w:sz w:val="32"/>
          <w:szCs w:val="32"/>
          <w:highlight w:val="none"/>
          <w14:textFill>
            <w14:solidFill>
              <w14:schemeClr w14:val="tx1"/>
            </w14:solidFill>
          </w14:textFill>
        </w:rPr>
        <w:t>考虑到本项目尚处于运营初期，经营性收益目标按项目协议中的最低</w:t>
      </w:r>
      <w:r>
        <w:rPr>
          <w:rFonts w:hint="eastAsia" w:cs="仿宋"/>
          <w:color w:val="000000" w:themeColor="text1"/>
          <w:sz w:val="32"/>
          <w:szCs w:val="32"/>
          <w:highlight w:val="none"/>
          <w:lang w:eastAsia="zh-CN"/>
          <w14:textFill>
            <w14:solidFill>
              <w14:schemeClr w14:val="tx1"/>
            </w14:solidFill>
          </w14:textFill>
        </w:rPr>
        <w:t>数确定，一标段为</w:t>
      </w:r>
      <w:r>
        <w:rPr>
          <w:rFonts w:hint="eastAsia" w:cs="仿宋"/>
          <w:color w:val="000000" w:themeColor="text1"/>
          <w:sz w:val="32"/>
          <w:szCs w:val="32"/>
          <w:highlight w:val="none"/>
          <w:lang w:val="en-US" w:eastAsia="zh-CN"/>
          <w14:textFill>
            <w14:solidFill>
              <w14:schemeClr w14:val="tx1"/>
            </w14:solidFill>
          </w14:textFill>
        </w:rPr>
        <w:t>627万元，二标段为</w:t>
      </w:r>
      <w:r>
        <w:rPr>
          <w:rFonts w:hint="eastAsia" w:ascii="仿宋" w:hAnsi="仿宋" w:eastAsia="仿宋" w:cs="仿宋"/>
          <w:color w:val="000000" w:themeColor="text1"/>
          <w:sz w:val="32"/>
          <w:szCs w:val="32"/>
          <w:highlight w:val="none"/>
          <w14:textFill>
            <w14:solidFill>
              <w14:schemeClr w14:val="tx1"/>
            </w14:solidFill>
          </w14:textFill>
        </w:rPr>
        <w:t>372.05</w:t>
      </w:r>
      <w:r>
        <w:rPr>
          <w:rFonts w:hint="eastAsia" w:cs="仿宋"/>
          <w:color w:val="000000" w:themeColor="text1"/>
          <w:sz w:val="32"/>
          <w:szCs w:val="32"/>
          <w:highlight w:val="none"/>
          <w:lang w:val="en-US" w:eastAsia="zh-CN"/>
          <w14:textFill>
            <w14:solidFill>
              <w14:schemeClr w14:val="tx1"/>
            </w14:solidFill>
          </w14:textFill>
        </w:rPr>
        <w:t>万元，</w:t>
      </w:r>
      <w:r>
        <w:rPr>
          <w:rFonts w:hint="eastAsia" w:ascii="仿宋" w:hAnsi="仿宋" w:eastAsia="仿宋" w:cs="仿宋"/>
          <w:color w:val="000000" w:themeColor="text1"/>
          <w:sz w:val="32"/>
          <w:szCs w:val="32"/>
          <w:highlight w:val="none"/>
          <w14:textFill>
            <w14:solidFill>
              <w14:schemeClr w14:val="tx1"/>
            </w14:solidFill>
          </w14:textFill>
        </w:rPr>
        <w:t>按实际完成比例得分。</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（2）社会效益15分。主要评价为社会发展提供的公共服务功能和效果，分设3个三级指标：</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河道防洪能力7分。评价河道防洪能力实际达标情况，以进入运营期后实际最大泄洪数据和河道工程设施损毁程度为依据，达到设计能力得7分，未达到按完成比例得分。</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增加文体、旅游、交通设施服务供给5分。现场查看相关设施的保有量和使用情况，达到设计标准且使用正常得5分，未达到标准按比例得分。</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default"/>
          <w:highlight w:val="none"/>
          <w:lang w:val="en-US" w:eastAsia="zh-CN"/>
        </w:rPr>
      </w:pPr>
      <w:r>
        <w:rPr>
          <w:rFonts w:hint="eastAsia"/>
          <w:highlight w:val="none"/>
          <w:lang w:val="en-US" w:eastAsia="zh-CN"/>
        </w:rPr>
        <w:t>文体设施利用率3分。评价各文体设施综合利用率，按实际利用率得分。</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（3）生态效益15分，主要评价本项目对改善生态环境的直接成效，分设3个三级指标：</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整体恢复河道生态9分。按实际实现的生态恢复的河道长度、绿化面积、水面面积占本项目实施方案设计值的比例计分；</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年补充地下水量4分。按实际完成的补水量与批复规划设计值的比例计分，地下水水位回升情况根据市地下水压采办本项目标段地下水位监测点数据，每回升0.1米得0.3分；</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default"/>
          <w:color w:val="C00000"/>
          <w:highlight w:val="none"/>
          <w:lang w:val="en-US" w:eastAsia="zh-CN"/>
        </w:rPr>
      </w:pPr>
      <w:r>
        <w:rPr>
          <w:rFonts w:hint="eastAsia"/>
          <w:highlight w:val="none"/>
          <w:lang w:val="en-US" w:eastAsia="zh-CN"/>
        </w:rPr>
        <w:t>中水利用2分。按污水处理厂实际年排放到湿地的中水量与实施方案设计值的比例计分。</w:t>
      </w:r>
    </w:p>
    <w:p>
      <w:pPr>
        <w:pStyle w:val="6"/>
        <w:keepNext w:val="0"/>
        <w:keepLines w:val="0"/>
        <w:pageBreakBefore w:val="0"/>
        <w:widowControl w:val="0"/>
        <w:kinsoku/>
        <w:wordWrap/>
        <w:overflowPunct/>
        <w:topLinePunct w:val="0"/>
        <w:bidi w:val="0"/>
        <w:adjustRightInd/>
        <w:snapToGrid/>
        <w:spacing w:beforeLines="0" w:afterLines="0" w:line="560" w:lineRule="exact"/>
        <w:ind w:firstLine="643"/>
        <w:jc w:val="both"/>
        <w:textAlignment w:val="auto"/>
        <w:rPr>
          <w:highlight w:val="none"/>
          <w:lang w:val="en-US" w:bidi="ar-SA"/>
        </w:rPr>
      </w:pPr>
      <w:r>
        <w:rPr>
          <w:rFonts w:hint="eastAsia"/>
          <w:highlight w:val="none"/>
          <w:lang w:val="en-US" w:eastAsia="zh-CN" w:bidi="ar-SA"/>
        </w:rPr>
        <w:t>3</w:t>
      </w:r>
      <w:r>
        <w:rPr>
          <w:rFonts w:hint="eastAsia"/>
          <w:highlight w:val="none"/>
          <w:lang w:val="en-US" w:bidi="ar-SA"/>
        </w:rPr>
        <w:t>.满意度</w:t>
      </w:r>
      <w:r>
        <w:rPr>
          <w:rFonts w:hint="eastAsia"/>
          <w:highlight w:val="none"/>
          <w:lang w:val="en-US" w:eastAsia="zh-CN" w:bidi="ar-SA"/>
        </w:rPr>
        <w:t>（</w:t>
      </w:r>
      <w:r>
        <w:rPr>
          <w:rFonts w:hint="eastAsia"/>
          <w:highlight w:val="none"/>
          <w:lang w:val="en-US" w:bidi="ar-SA"/>
        </w:rPr>
        <w:t>10分</w:t>
      </w:r>
      <w:r>
        <w:rPr>
          <w:rFonts w:hint="eastAsia"/>
          <w:highlight w:val="none"/>
          <w:lang w:val="en-US" w:eastAsia="zh-CN" w:bidi="ar-SA"/>
        </w:rPr>
        <w:t>）</w:t>
      </w:r>
    </w:p>
    <w:p>
      <w:pPr>
        <w:keepNext w:val="0"/>
        <w:keepLines w:val="0"/>
        <w:pageBreakBefore w:val="0"/>
        <w:widowControl w:val="0"/>
        <w:kinsoku/>
        <w:wordWrap/>
        <w:overflowPunct/>
        <w:topLinePunct w:val="0"/>
        <w:bidi w:val="0"/>
        <w:adjustRightInd/>
        <w:snapToGrid/>
        <w:spacing w:line="560" w:lineRule="exact"/>
        <w:ind w:firstLine="640"/>
        <w:jc w:val="both"/>
        <w:textAlignment w:val="auto"/>
        <w:rPr>
          <w:rFonts w:hint="eastAsia"/>
          <w:highlight w:val="none"/>
          <w:lang w:val="en-US" w:eastAsia="zh-CN" w:bidi="ar-SA"/>
        </w:rPr>
      </w:pPr>
      <w:r>
        <w:rPr>
          <w:rFonts w:hint="eastAsia"/>
          <w:highlight w:val="none"/>
          <w:lang w:val="en-US" w:eastAsia="zh-CN" w:bidi="ar-SA"/>
        </w:rPr>
        <w:t>主要评价游客及民众对本项目规划设计、维护管理、服务质量等方面的满意度，收集意见和建议。对每个标段游客和来参加各项活动的人员、附近居民，现场随机调查100人。结合水利局各季度满意度调查情况评分。满意度=满意人数÷总体调查人数×100%，按满意度得分。</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bidi="ar-SA"/>
        </w:rPr>
      </w:pPr>
      <w:r>
        <w:rPr>
          <w:rFonts w:hint="eastAsia"/>
          <w:highlight w:val="none"/>
          <w:lang w:val="en-US" w:eastAsia="zh-CN" w:bidi="ar-SA"/>
        </w:rPr>
        <w:t>汇总绩效评价结果按百分制分为4个等级：得分≥85分为优秀；75≤得分＜85分为良好；60≤得分＜75分为一般；得分＜60分为较差。</w:t>
      </w:r>
    </w:p>
    <w:p>
      <w:pPr>
        <w:pStyle w:val="5"/>
        <w:keepNext w:val="0"/>
        <w:keepLines w:val="0"/>
        <w:pageBreakBefore w:val="0"/>
        <w:widowControl w:val="0"/>
        <w:kinsoku/>
        <w:wordWrap/>
        <w:overflowPunct/>
        <w:topLinePunct w:val="0"/>
        <w:bidi w:val="0"/>
        <w:adjustRightInd/>
        <w:snapToGrid/>
        <w:spacing w:line="560" w:lineRule="exact"/>
        <w:ind w:firstLine="640"/>
        <w:jc w:val="both"/>
        <w:textAlignment w:val="auto"/>
        <w:rPr>
          <w:highlight w:val="none"/>
        </w:rPr>
      </w:pPr>
      <w:r>
        <w:rPr>
          <w:rFonts w:hint="eastAsia"/>
          <w:highlight w:val="none"/>
        </w:rPr>
        <w:t>（三）绩效</w:t>
      </w:r>
      <w:r>
        <w:rPr>
          <w:rFonts w:hint="eastAsia"/>
          <w:highlight w:val="none"/>
          <w:lang w:eastAsia="zh-CN"/>
        </w:rPr>
        <w:t>指标完成情况</w:t>
      </w:r>
      <w:r>
        <w:rPr>
          <w:rFonts w:hint="eastAsia"/>
          <w:highlight w:val="none"/>
        </w:rPr>
        <w:t>评价分析</w:t>
      </w:r>
    </w:p>
    <w:p>
      <w:pPr>
        <w:pStyle w:val="5"/>
        <w:keepNext w:val="0"/>
        <w:keepLines w:val="0"/>
        <w:pageBreakBefore w:val="0"/>
        <w:widowControl w:val="0"/>
        <w:kinsoku/>
        <w:wordWrap/>
        <w:overflowPunct/>
        <w:topLinePunct w:val="0"/>
        <w:bidi w:val="0"/>
        <w:adjustRightInd/>
        <w:snapToGrid/>
        <w:spacing w:line="560" w:lineRule="exact"/>
        <w:ind w:firstLine="640"/>
        <w:jc w:val="both"/>
        <w:textAlignment w:val="auto"/>
        <w:rPr>
          <w:rFonts w:hint="eastAsia" w:ascii="仿宋" w:hAnsi="仿宋" w:eastAsia="仿宋" w:cs="仿宋"/>
          <w:b/>
          <w:bCs w:val="0"/>
          <w:highlight w:val="none"/>
          <w:lang w:val="en-US" w:bidi="ar-SA"/>
        </w:rPr>
      </w:pPr>
      <w:r>
        <w:rPr>
          <w:rFonts w:hint="eastAsia" w:ascii="仿宋" w:hAnsi="仿宋" w:eastAsia="仿宋" w:cs="仿宋"/>
          <w:b/>
          <w:bCs w:val="0"/>
          <w:highlight w:val="none"/>
          <w:lang w:val="en-US" w:bidi="ar-SA"/>
        </w:rPr>
        <w:t>1.项目产出情况分析，</w:t>
      </w:r>
      <w:r>
        <w:rPr>
          <w:rFonts w:hint="eastAsia" w:ascii="仿宋" w:hAnsi="仿宋" w:eastAsia="仿宋" w:cs="仿宋"/>
          <w:b/>
          <w:bCs w:val="0"/>
          <w:color w:val="auto"/>
          <w:highlight w:val="none"/>
          <w:lang w:val="en-US" w:bidi="ar-SA"/>
        </w:rPr>
        <w:t>分</w:t>
      </w:r>
      <w:r>
        <w:rPr>
          <w:rFonts w:hint="eastAsia" w:ascii="仿宋" w:hAnsi="仿宋" w:eastAsia="仿宋" w:cs="仿宋"/>
          <w:b/>
          <w:bCs w:val="0"/>
          <w:color w:val="auto"/>
          <w:highlight w:val="none"/>
          <w:lang w:val="en-US" w:eastAsia="zh-CN" w:bidi="ar-SA"/>
        </w:rPr>
        <w:t>值5</w:t>
      </w:r>
      <w:r>
        <w:rPr>
          <w:rFonts w:hint="eastAsia" w:ascii="仿宋" w:hAnsi="仿宋" w:eastAsia="仿宋" w:cs="仿宋"/>
          <w:b/>
          <w:bCs w:val="0"/>
          <w:color w:val="auto"/>
          <w:highlight w:val="none"/>
          <w:lang w:val="en-US" w:bidi="ar-SA"/>
        </w:rPr>
        <w:t>0分，得</w:t>
      </w:r>
      <w:r>
        <w:rPr>
          <w:rFonts w:hint="eastAsia" w:ascii="仿宋" w:hAnsi="仿宋" w:eastAsia="仿宋" w:cs="仿宋"/>
          <w:b/>
          <w:bCs w:val="0"/>
          <w:color w:val="auto"/>
          <w:highlight w:val="none"/>
          <w:lang w:val="en-US" w:eastAsia="zh-CN" w:bidi="ar-SA"/>
        </w:rPr>
        <w:t>分40.14</w:t>
      </w:r>
      <w:r>
        <w:rPr>
          <w:rFonts w:hint="eastAsia" w:ascii="仿宋" w:hAnsi="仿宋" w:eastAsia="仿宋" w:cs="仿宋"/>
          <w:b/>
          <w:bCs w:val="0"/>
          <w:color w:val="auto"/>
          <w:highlight w:val="none"/>
          <w:lang w:val="en-US" w:bidi="ar-SA"/>
        </w:rPr>
        <w:t>分</w:t>
      </w:r>
    </w:p>
    <w:p>
      <w:pPr>
        <w:pStyle w:val="5"/>
        <w:keepNext w:val="0"/>
        <w:keepLines w:val="0"/>
        <w:pageBreakBefore w:val="0"/>
        <w:widowControl w:val="0"/>
        <w:kinsoku/>
        <w:wordWrap/>
        <w:overflowPunct/>
        <w:topLinePunct w:val="0"/>
        <w:bidi w:val="0"/>
        <w:adjustRightInd/>
        <w:snapToGrid/>
        <w:spacing w:line="560" w:lineRule="exact"/>
        <w:ind w:firstLine="640"/>
        <w:jc w:val="both"/>
        <w:textAlignment w:val="auto"/>
        <w:rPr>
          <w:rFonts w:hint="eastAsia" w:ascii="仿宋" w:hAnsi="仿宋" w:eastAsia="仿宋" w:cs="仿宋"/>
          <w:sz w:val="32"/>
          <w:highlight w:val="none"/>
          <w:lang w:val="en-US" w:eastAsia="zh-CN" w:bidi="ar-SA"/>
        </w:rPr>
      </w:pPr>
      <w:r>
        <w:rPr>
          <w:rFonts w:hint="eastAsia" w:ascii="仿宋" w:hAnsi="仿宋" w:eastAsia="仿宋" w:cs="仿宋"/>
          <w:highlight w:val="none"/>
          <w:lang w:val="en-US" w:eastAsia="zh-CN"/>
        </w:rPr>
        <w:t>（1）</w:t>
      </w:r>
      <w:r>
        <w:rPr>
          <w:rFonts w:hint="eastAsia" w:ascii="仿宋" w:hAnsi="仿宋" w:eastAsia="仿宋" w:cs="仿宋"/>
          <w:sz w:val="32"/>
          <w:highlight w:val="none"/>
          <w:lang w:val="en-US" w:eastAsia="zh-CN" w:bidi="ar-SA"/>
        </w:rPr>
        <w:t>园林绿化工程，分值20分，得分15.84分。</w:t>
      </w:r>
    </w:p>
    <w:p>
      <w:pPr>
        <w:keepNext w:val="0"/>
        <w:keepLines w:val="0"/>
        <w:pageBreakBefore w:val="0"/>
        <w:widowControl w:val="0"/>
        <w:numPr>
          <w:ilvl w:val="0"/>
          <w:numId w:val="0"/>
        </w:numPr>
        <w:kinsoku/>
        <w:wordWrap/>
        <w:overflowPunct/>
        <w:topLinePunct w:val="0"/>
        <w:bidi w:val="0"/>
        <w:adjustRightInd/>
        <w:snapToGrid/>
        <w:spacing w:line="560" w:lineRule="exact"/>
        <w:ind w:firstLine="640" w:firstLineChars="200"/>
        <w:jc w:val="both"/>
        <w:textAlignment w:val="auto"/>
        <w:rPr>
          <w:rFonts w:hint="eastAsia" w:cs="仿宋"/>
          <w:bCs/>
          <w:sz w:val="32"/>
          <w:szCs w:val="32"/>
          <w:highlight w:val="none"/>
          <w:lang w:val="en-US" w:eastAsia="zh-CN"/>
        </w:rPr>
      </w:pPr>
      <w:r>
        <w:rPr>
          <w:rFonts w:hint="eastAsia" w:cs="仿宋"/>
          <w:bCs/>
          <w:sz w:val="32"/>
          <w:szCs w:val="32"/>
          <w:highlight w:val="none"/>
          <w:lang w:val="en-US" w:eastAsia="zh-CN"/>
        </w:rPr>
        <w:t>a.绿化保有量，</w:t>
      </w:r>
      <w:r>
        <w:rPr>
          <w:rFonts w:hint="eastAsia" w:cs="仿宋"/>
          <w:bCs/>
          <w:color w:val="auto"/>
          <w:sz w:val="32"/>
          <w:szCs w:val="32"/>
          <w:highlight w:val="none"/>
          <w:lang w:val="en-US" w:eastAsia="zh-CN"/>
        </w:rPr>
        <w:t>分值12分，得分10.85分</w:t>
      </w:r>
    </w:p>
    <w:p>
      <w:pPr>
        <w:keepNext w:val="0"/>
        <w:keepLines w:val="0"/>
        <w:pageBreakBefore w:val="0"/>
        <w:widowControl w:val="0"/>
        <w:numPr>
          <w:ilvl w:val="0"/>
          <w:numId w:val="0"/>
        </w:numPr>
        <w:kinsoku/>
        <w:wordWrap/>
        <w:overflowPunct/>
        <w:topLinePunct w:val="0"/>
        <w:bidi w:val="0"/>
        <w:adjustRightInd/>
        <w:snapToGrid/>
        <w:spacing w:line="560" w:lineRule="exact"/>
        <w:ind w:firstLine="640" w:firstLineChars="200"/>
        <w:jc w:val="both"/>
        <w:textAlignment w:val="auto"/>
        <w:rPr>
          <w:rFonts w:hint="default" w:cs="仿宋"/>
          <w:bCs/>
          <w:sz w:val="32"/>
          <w:szCs w:val="32"/>
          <w:highlight w:val="none"/>
          <w:lang w:val="en-US" w:eastAsia="zh-CN"/>
        </w:rPr>
      </w:pPr>
      <w:r>
        <w:rPr>
          <w:rFonts w:hint="eastAsia" w:cs="仿宋"/>
          <w:bCs/>
          <w:sz w:val="32"/>
          <w:szCs w:val="32"/>
          <w:highlight w:val="none"/>
          <w:lang w:eastAsia="zh-CN"/>
        </w:rPr>
        <w:t>评价组通过实地抽查核查、测量，主槽内、主槽外及堤外绿化林带保有量完成情况，两个项目公司的绿化面积保有量基本达到设计要求，总计完成滹沱河两岸绿化面积</w:t>
      </w:r>
      <w:r>
        <w:rPr>
          <w:rFonts w:hint="eastAsia" w:cs="仿宋"/>
          <w:bCs/>
          <w:sz w:val="32"/>
          <w:szCs w:val="32"/>
          <w:highlight w:val="none"/>
          <w:lang w:val="en-US" w:eastAsia="zh-CN"/>
        </w:rPr>
        <w:t>4万余亩，种植各类乔、灌木近百种，</w:t>
      </w:r>
      <w:r>
        <w:rPr>
          <w:rFonts w:hint="eastAsia" w:cs="仿宋"/>
          <w:bCs/>
          <w:sz w:val="32"/>
          <w:szCs w:val="32"/>
          <w:highlight w:val="none"/>
          <w:lang w:eastAsia="zh-CN"/>
        </w:rPr>
        <w:t>增加了各类景观植物，吸引了候鸟群迁居，丰富了滹沱河沿岸生物多样性，对于滹沱河沿岸景观提升、生态修复具有显著作用。乔木的种类和数量距设计要求还有差距，如润石公司主槽外的乔木品种、云际公司主槽内的地被植物品种，完成率均低于</w:t>
      </w:r>
      <w:r>
        <w:rPr>
          <w:rFonts w:hint="eastAsia" w:cs="仿宋"/>
          <w:bCs/>
          <w:sz w:val="32"/>
          <w:szCs w:val="32"/>
          <w:highlight w:val="none"/>
          <w:lang w:val="en-US" w:eastAsia="zh-CN"/>
        </w:rPr>
        <w:t>80%</w:t>
      </w:r>
      <w:r>
        <w:rPr>
          <w:rFonts w:hint="eastAsia" w:cs="仿宋"/>
          <w:bCs/>
          <w:sz w:val="32"/>
          <w:szCs w:val="32"/>
          <w:highlight w:val="none"/>
          <w:lang w:eastAsia="zh-CN"/>
        </w:rPr>
        <w:t>。</w:t>
      </w:r>
    </w:p>
    <w:p>
      <w:pPr>
        <w:pStyle w:val="5"/>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val="en-US" w:eastAsia="zh-CN"/>
        </w:rPr>
        <w:t>b.绿化维护及绿地保洁质量，</w:t>
      </w:r>
      <w:r>
        <w:rPr>
          <w:rFonts w:hint="eastAsia" w:ascii="仿宋" w:hAnsi="仿宋" w:eastAsia="仿宋" w:cs="仿宋"/>
          <w:bCs/>
          <w:color w:val="auto"/>
          <w:sz w:val="32"/>
          <w:szCs w:val="32"/>
          <w:highlight w:val="none"/>
          <w:lang w:val="en-US" w:eastAsia="zh-CN"/>
        </w:rPr>
        <w:t>分值8分，得分4.99分</w:t>
      </w:r>
    </w:p>
    <w:p>
      <w:pPr>
        <w:pStyle w:val="5"/>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ascii="仿宋" w:hAnsi="仿宋" w:eastAsia="仿宋" w:cs="仿宋"/>
          <w:color w:val="C00000"/>
          <w:highlight w:val="none"/>
          <w:lang w:val="en-US" w:eastAsia="zh-CN"/>
        </w:rPr>
      </w:pPr>
      <w:r>
        <w:rPr>
          <w:rFonts w:hint="eastAsia" w:ascii="仿宋" w:hAnsi="仿宋" w:eastAsia="仿宋" w:cs="仿宋"/>
          <w:highlight w:val="none"/>
          <w:lang w:eastAsia="zh-CN"/>
        </w:rPr>
        <w:t>进入运营期后，市水利局对绿化维护、绿地保洁质量的</w:t>
      </w:r>
      <w:r>
        <w:rPr>
          <w:rFonts w:hint="eastAsia" w:ascii="仿宋" w:hAnsi="仿宋" w:eastAsia="仿宋" w:cs="仿宋"/>
          <w:highlight w:val="none"/>
          <w:lang w:val="en-US" w:eastAsia="zh-CN"/>
        </w:rPr>
        <w:t>4次考核，润石公司平均得分率分别为59.28%、51.25%，云际公司平均得分率分别为80.71%、62.5%。</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color w:val="C00000"/>
          <w:highlight w:val="none"/>
          <w:lang w:val="en-US" w:eastAsia="zh-CN"/>
        </w:rPr>
      </w:pPr>
      <w:r>
        <w:rPr>
          <w:rFonts w:hint="eastAsia" w:ascii="仿宋" w:hAnsi="仿宋" w:eastAsia="仿宋" w:cs="仿宋"/>
          <w:highlight w:val="none"/>
        </w:rPr>
        <w:t>评价组</w:t>
      </w:r>
      <w:r>
        <w:rPr>
          <w:rFonts w:hint="eastAsia" w:ascii="仿宋" w:hAnsi="仿宋" w:eastAsia="仿宋" w:cs="仿宋"/>
          <w:highlight w:val="none"/>
          <w:lang w:eastAsia="zh-CN"/>
        </w:rPr>
        <w:t>分别于</w:t>
      </w:r>
      <w:r>
        <w:rPr>
          <w:rFonts w:hint="eastAsia" w:ascii="仿宋" w:hAnsi="仿宋" w:eastAsia="仿宋" w:cs="仿宋"/>
          <w:highlight w:val="none"/>
        </w:rPr>
        <w:t>2022年3月9日至11日</w:t>
      </w:r>
      <w:r>
        <w:rPr>
          <w:rFonts w:hint="eastAsia" w:ascii="仿宋" w:hAnsi="仿宋" w:eastAsia="仿宋" w:cs="仿宋"/>
          <w:highlight w:val="none"/>
          <w:lang w:eastAsia="zh-CN"/>
        </w:rPr>
        <w:t>、</w:t>
      </w:r>
      <w:r>
        <w:rPr>
          <w:rFonts w:hint="eastAsia" w:ascii="仿宋" w:hAnsi="仿宋" w:eastAsia="仿宋" w:cs="仿宋"/>
          <w:highlight w:val="none"/>
          <w:lang w:val="en-US" w:eastAsia="zh-CN"/>
        </w:rPr>
        <w:t>3</w:t>
      </w:r>
      <w:r>
        <w:rPr>
          <w:rFonts w:hint="eastAsia" w:ascii="仿宋" w:hAnsi="仿宋" w:eastAsia="仿宋" w:cs="仿宋"/>
          <w:highlight w:val="none"/>
        </w:rPr>
        <w:t>月</w:t>
      </w:r>
      <w:r>
        <w:rPr>
          <w:rFonts w:hint="eastAsia" w:ascii="仿宋" w:hAnsi="仿宋" w:eastAsia="仿宋" w:cs="仿宋"/>
          <w:highlight w:val="none"/>
          <w:lang w:val="en-US" w:eastAsia="zh-CN"/>
        </w:rPr>
        <w:t>1</w:t>
      </w:r>
      <w:r>
        <w:rPr>
          <w:rFonts w:hint="eastAsia" w:ascii="仿宋" w:hAnsi="仿宋" w:eastAsia="仿宋" w:cs="仿宋"/>
          <w:highlight w:val="none"/>
        </w:rPr>
        <w:t>9日至</w:t>
      </w:r>
      <w:r>
        <w:rPr>
          <w:rFonts w:hint="eastAsia" w:ascii="仿宋" w:hAnsi="仿宋" w:eastAsia="仿宋" w:cs="仿宋"/>
          <w:highlight w:val="none"/>
          <w:lang w:val="en-US" w:eastAsia="zh-CN"/>
        </w:rPr>
        <w:t>23</w:t>
      </w:r>
      <w:r>
        <w:rPr>
          <w:rFonts w:hint="eastAsia" w:ascii="仿宋" w:hAnsi="仿宋" w:eastAsia="仿宋" w:cs="仿宋"/>
          <w:highlight w:val="none"/>
        </w:rPr>
        <w:t>日</w:t>
      </w:r>
      <w:r>
        <w:rPr>
          <w:rFonts w:hint="eastAsia" w:ascii="仿宋" w:hAnsi="仿宋" w:eastAsia="仿宋" w:cs="仿宋"/>
          <w:highlight w:val="none"/>
          <w:lang w:eastAsia="zh-CN"/>
        </w:rPr>
        <w:t>对润石公司、云际公司运营维护区域的绿化维护、绿地保洁质量进行</w:t>
      </w:r>
      <w:r>
        <w:rPr>
          <w:rFonts w:hint="eastAsia" w:ascii="仿宋" w:hAnsi="仿宋" w:eastAsia="仿宋" w:cs="仿宋"/>
          <w:highlight w:val="none"/>
        </w:rPr>
        <w:t>现场核查</w:t>
      </w:r>
      <w:r>
        <w:rPr>
          <w:rFonts w:hint="eastAsia" w:ascii="仿宋" w:hAnsi="仿宋" w:eastAsia="仿宋" w:cs="仿宋"/>
          <w:highlight w:val="none"/>
          <w:lang w:eastAsia="zh-CN"/>
        </w:rPr>
        <w:t>，</w:t>
      </w:r>
      <w:r>
        <w:rPr>
          <w:rFonts w:hint="eastAsia" w:ascii="仿宋" w:hAnsi="仿宋" w:eastAsia="仿宋" w:cs="仿宋"/>
          <w:highlight w:val="none"/>
          <w:lang w:val="en-US" w:eastAsia="zh-CN"/>
        </w:rPr>
        <w:t>润石公司得分率分别为51.25%、69%，云际公司得分率分别为55.8%、76.4%。</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val="en-US" w:eastAsia="zh-CN"/>
        </w:rPr>
        <w:t>根据市水利局考核及评价组实地随机抽查情况来看，项目公司为运营维护区域提高绿植成活率，保证绿化效果、提升绿化质量采取多种措施，制定了养护管理办法，按时进行浇水除尘、病虫害防治、整形修剪、绿地清理等养护，对维护质量进行巡检。但因项目公司还不适应本项目大面积、大规模绿化、绿地的管护要求，园林绿化工程的管护质量还有很大差距，管护力量配备不足，管护时效及标准不够到位。存在乔灌木缺株、死株、长势不良现象较多，杂草、垃圾清理不及时等情况。</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val="en-US" w:eastAsia="zh-CN"/>
        </w:rPr>
        <w:t>（2）</w:t>
      </w:r>
      <w:r>
        <w:rPr>
          <w:rFonts w:hint="eastAsia" w:ascii="仿宋" w:hAnsi="仿宋" w:eastAsia="仿宋" w:cs="仿宋"/>
          <w:sz w:val="32"/>
          <w:highlight w:val="none"/>
          <w:lang w:val="en-US" w:eastAsia="zh-CN" w:bidi="ar-SA"/>
        </w:rPr>
        <w:t>河道工程，分值15分，得分12.62分。</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default" w:ascii="仿宋" w:hAnsi="仿宋" w:eastAsia="仿宋" w:cs="仿宋"/>
          <w:highlight w:val="none"/>
          <w:lang w:val="en-US" w:eastAsia="zh-CN"/>
        </w:rPr>
      </w:pPr>
      <w:r>
        <w:rPr>
          <w:rFonts w:hint="eastAsia" w:ascii="仿宋" w:hAnsi="仿宋" w:eastAsia="仿宋" w:cs="仿宋"/>
          <w:highlight w:val="none"/>
          <w:lang w:val="en-US" w:eastAsia="zh-CN"/>
        </w:rPr>
        <w:t>a.河道工程维护，分值12分，得分10.56分</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eastAsia="zh-CN"/>
        </w:rPr>
        <w:t>水利局对</w:t>
      </w:r>
      <w:r>
        <w:rPr>
          <w:rFonts w:hint="eastAsia" w:ascii="仿宋" w:hAnsi="仿宋" w:eastAsia="仿宋" w:cs="仿宋"/>
          <w:highlight w:val="none"/>
          <w:lang w:val="en-US" w:eastAsia="zh-CN"/>
        </w:rPr>
        <w:t>河道工程</w:t>
      </w:r>
      <w:r>
        <w:rPr>
          <w:rFonts w:hint="eastAsia" w:ascii="仿宋" w:hAnsi="仿宋" w:eastAsia="仿宋" w:cs="仿宋"/>
          <w:highlight w:val="none"/>
        </w:rPr>
        <w:t>维护质量</w:t>
      </w:r>
      <w:r>
        <w:rPr>
          <w:rFonts w:hint="eastAsia" w:ascii="仿宋" w:hAnsi="仿宋" w:eastAsia="仿宋" w:cs="仿宋"/>
          <w:highlight w:val="none"/>
          <w:lang w:eastAsia="zh-CN"/>
        </w:rPr>
        <w:t>的</w:t>
      </w:r>
      <w:r>
        <w:rPr>
          <w:rFonts w:hint="eastAsia" w:ascii="仿宋" w:hAnsi="仿宋" w:eastAsia="仿宋" w:cs="仿宋"/>
          <w:highlight w:val="none"/>
          <w:lang w:val="en-US" w:eastAsia="zh-CN"/>
        </w:rPr>
        <w:t>4次考核，润石公司平均得分率为88.05%，云际公司平均得分率分别为89.25%。</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rPr>
        <w:t>评价组</w:t>
      </w:r>
      <w:r>
        <w:rPr>
          <w:rFonts w:hint="eastAsia" w:ascii="仿宋" w:hAnsi="仿宋" w:eastAsia="仿宋" w:cs="仿宋"/>
          <w:highlight w:val="none"/>
          <w:lang w:eastAsia="zh-CN"/>
        </w:rPr>
        <w:t>对润石公司、云际公司运营维护区域的</w:t>
      </w:r>
      <w:r>
        <w:rPr>
          <w:rFonts w:hint="eastAsia" w:ascii="仿宋" w:hAnsi="仿宋" w:eastAsia="仿宋" w:cs="仿宋"/>
          <w:highlight w:val="none"/>
          <w:lang w:val="en-US" w:eastAsia="zh-CN"/>
        </w:rPr>
        <w:t>河道工程</w:t>
      </w:r>
      <w:r>
        <w:rPr>
          <w:rFonts w:hint="eastAsia" w:ascii="仿宋" w:hAnsi="仿宋" w:eastAsia="仿宋" w:cs="仿宋"/>
          <w:highlight w:val="none"/>
        </w:rPr>
        <w:t>维护质量</w:t>
      </w:r>
      <w:r>
        <w:rPr>
          <w:rFonts w:hint="eastAsia" w:ascii="仿宋" w:hAnsi="仿宋" w:eastAsia="仿宋" w:cs="仿宋"/>
          <w:highlight w:val="none"/>
          <w:lang w:eastAsia="zh-CN"/>
        </w:rPr>
        <w:t>进行了</w:t>
      </w:r>
      <w:r>
        <w:rPr>
          <w:rFonts w:hint="eastAsia" w:ascii="仿宋" w:hAnsi="仿宋" w:eastAsia="仿宋" w:cs="仿宋"/>
          <w:highlight w:val="none"/>
        </w:rPr>
        <w:t>现场核查</w:t>
      </w:r>
      <w:r>
        <w:rPr>
          <w:rFonts w:hint="eastAsia" w:ascii="仿宋" w:hAnsi="仿宋" w:eastAsia="仿宋" w:cs="仿宋"/>
          <w:highlight w:val="none"/>
          <w:lang w:eastAsia="zh-CN"/>
        </w:rPr>
        <w:t>，</w:t>
      </w:r>
      <w:r>
        <w:rPr>
          <w:rFonts w:hint="eastAsia" w:ascii="仿宋" w:hAnsi="仿宋" w:eastAsia="仿宋" w:cs="仿宋"/>
          <w:highlight w:val="none"/>
          <w:lang w:val="en-US" w:eastAsia="zh-CN"/>
        </w:rPr>
        <w:t>润石公司得分率为88.05%，云际公司得分率分别为89.25%</w:t>
      </w:r>
      <w:r>
        <w:rPr>
          <w:rFonts w:hint="eastAsia" w:ascii="仿宋" w:hAnsi="仿宋" w:eastAsia="仿宋" w:cs="仿宋"/>
          <w:color w:val="auto"/>
          <w:highlight w:val="none"/>
          <w:lang w:val="en-US" w:eastAsia="zh-CN"/>
        </w:rPr>
        <w:t>（</w:t>
      </w:r>
      <w:r>
        <w:rPr>
          <w:rFonts w:hint="eastAsia" w:ascii="仿宋" w:hAnsi="仿宋" w:eastAsia="仿宋" w:cs="仿宋"/>
          <w:color w:val="auto"/>
          <w:highlight w:val="none"/>
          <w:lang w:eastAsia="zh-CN"/>
        </w:rPr>
        <w:t>详见附件</w:t>
      </w:r>
      <w:r>
        <w:rPr>
          <w:rFonts w:hint="eastAsia" w:ascii="仿宋" w:hAnsi="仿宋" w:eastAsia="仿宋" w:cs="仿宋"/>
          <w:color w:val="auto"/>
          <w:highlight w:val="none"/>
          <w:lang w:val="en-US" w:eastAsia="zh-CN"/>
        </w:rPr>
        <w:t>4：润石公司评分说明，附件5：云际公司评分说明）</w:t>
      </w:r>
      <w:r>
        <w:rPr>
          <w:rFonts w:hint="eastAsia" w:ascii="仿宋" w:hAnsi="仿宋" w:eastAsia="仿宋" w:cs="仿宋"/>
          <w:highlight w:val="none"/>
          <w:lang w:val="en-US" w:eastAsia="zh-CN"/>
        </w:rPr>
        <w:t>。</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val="en-US" w:eastAsia="zh-CN"/>
        </w:rPr>
        <w:t>根据市水利局考核及评价组现场抽查情况来看，两个项目公司的河道工程维护质量均能基本达标，土工建筑物无渗漏、裂缝、塌陷，石工建筑物无松动、塌陷、渗漏、错动，混凝土结构表面整洁无脱壳、剥落、露筋、裂缝、填缝剂无流失等现象，闸、堰、监控、监测等各项水利设施基本完好。项目建成改变了滹沱河长期河道干涸的状况，有效提高河道防洪能力和城市蓄水能力，改善了河道景观，达到了滹沱河治理成效。但都存在水生植物收割不及时，水面存在多处漂浮物，岸坡存在多处垃圾，部分河段存在雨淋沟等问题，河道维护工作记录不完整、不规范的情况。</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default" w:ascii="仿宋" w:hAnsi="仿宋" w:eastAsia="仿宋" w:cs="仿宋"/>
          <w:highlight w:val="none"/>
          <w:lang w:val="en-US" w:eastAsia="zh-CN"/>
        </w:rPr>
      </w:pPr>
      <w:r>
        <w:rPr>
          <w:rFonts w:hint="eastAsia" w:ascii="仿宋" w:hAnsi="仿宋" w:eastAsia="仿宋" w:cs="仿宋"/>
          <w:highlight w:val="none"/>
          <w:lang w:val="en-US" w:eastAsia="zh-CN"/>
        </w:rPr>
        <w:t>b.雨水收集利用工程，分值3分，得分2.06分</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highlight w:val="none"/>
          <w:lang w:val="en-US" w:eastAsia="zh-CN"/>
        </w:rPr>
        <w:t>设计要求</w:t>
      </w:r>
      <w:r>
        <w:rPr>
          <w:rFonts w:hint="eastAsia" w:ascii="仿宋" w:hAnsi="仿宋" w:eastAsia="仿宋" w:cs="仿宋"/>
          <w:highlight w:val="none"/>
        </w:rPr>
        <w:t>在主槽左、右岸边滨河路外侧各布置1条储水沟为初期雨水暂时提供贮存空间，使部分沉淀物在此沉淀。每隔400m左右布置一处溢流口，将后期多余雨水集中排入河道主槽</w:t>
      </w:r>
      <w:r>
        <w:rPr>
          <w:rFonts w:hint="eastAsia" w:ascii="仿宋" w:hAnsi="仿宋" w:eastAsia="仿宋" w:cs="仿宋"/>
          <w:highlight w:val="none"/>
          <w:lang w:eastAsia="zh-CN"/>
        </w:rPr>
        <w:t>；</w:t>
      </w:r>
      <w:r>
        <w:rPr>
          <w:rFonts w:hint="eastAsia" w:ascii="仿宋" w:hAnsi="仿宋" w:eastAsia="仿宋" w:cs="仿宋"/>
          <w:color w:val="000000" w:themeColor="text1"/>
          <w:sz w:val="32"/>
          <w:szCs w:val="32"/>
          <w:highlight w:val="none"/>
          <w:lang w:val="en-US" w:eastAsia="zh-CN"/>
          <w14:textFill>
            <w14:solidFill>
              <w14:schemeClr w14:val="tx1"/>
            </w14:solidFill>
          </w14:textFill>
        </w:rPr>
        <w:t>在滨水平台上顺二级滨水慢行路外侧根据雨水冲刷情况建设横向混凝土排水沟，将雨水排入蓄水区。</w:t>
      </w:r>
    </w:p>
    <w:p>
      <w:pPr>
        <w:keepNext w:val="0"/>
        <w:keepLines w:val="0"/>
        <w:pageBreakBefore w:val="0"/>
        <w:widowControl w:val="0"/>
        <w:kinsoku/>
        <w:wordWrap/>
        <w:overflowPunct/>
        <w:topLinePunct w:val="0"/>
        <w:autoSpaceDE w:val="0"/>
        <w:autoSpaceDN w:val="0"/>
        <w:bidi w:val="0"/>
        <w:adjustRightInd/>
        <w:snapToGrid/>
        <w:spacing w:line="560" w:lineRule="exact"/>
        <w:ind w:firstLine="664"/>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val="en-US" w:eastAsia="zh-CN"/>
        </w:rPr>
        <w:t>评价组分别于2022年4月20日、5月10日</w:t>
      </w:r>
      <w:r>
        <w:rPr>
          <w:rFonts w:hint="eastAsia" w:cs="仿宋"/>
          <w:highlight w:val="none"/>
          <w:lang w:val="en-US" w:eastAsia="zh-CN"/>
        </w:rPr>
        <w:t>，</w:t>
      </w:r>
      <w:r>
        <w:rPr>
          <w:rFonts w:hint="eastAsia" w:ascii="仿宋" w:hAnsi="仿宋" w:eastAsia="仿宋" w:cs="仿宋"/>
          <w:highlight w:val="none"/>
          <w:lang w:val="en-US" w:eastAsia="zh-CN"/>
        </w:rPr>
        <w:t>对云际公司</w:t>
      </w:r>
      <w:r>
        <w:rPr>
          <w:rFonts w:hint="eastAsia" w:cs="仿宋"/>
          <w:highlight w:val="none"/>
          <w:lang w:val="en-US" w:eastAsia="zh-CN"/>
        </w:rPr>
        <w:t>、</w:t>
      </w:r>
      <w:r>
        <w:rPr>
          <w:rFonts w:hint="eastAsia" w:ascii="仿宋" w:hAnsi="仿宋" w:eastAsia="仿宋" w:cs="仿宋"/>
          <w:highlight w:val="none"/>
          <w:lang w:val="en-US" w:eastAsia="zh-CN"/>
        </w:rPr>
        <w:t>润石公司进行了现场核实。发现雨水收集利用工程未能实现设计功能。润石公司一级滨河路外侧储水沟不连续，沟深、沟宽未达到设计标准，未建溢流口。二级滨水路排水沟损坏</w:t>
      </w:r>
      <w:r>
        <w:rPr>
          <w:rFonts w:hint="eastAsia" w:cs="仿宋"/>
          <w:highlight w:val="none"/>
          <w:lang w:val="en-US" w:eastAsia="zh-CN"/>
        </w:rPr>
        <w:t>、淤积</w:t>
      </w:r>
      <w:r>
        <w:rPr>
          <w:rFonts w:hint="eastAsia" w:ascii="仿宋" w:hAnsi="仿宋" w:eastAsia="仿宋" w:cs="仿宋"/>
          <w:highlight w:val="none"/>
          <w:lang w:val="en-US" w:eastAsia="zh-CN"/>
        </w:rPr>
        <w:t>严重，不能实现其功能。云际公司一级滨河路外侧储水沟不连续，沟深、沟宽未达到设计标准，未建溢流口，未实现</w:t>
      </w:r>
      <w:r>
        <w:rPr>
          <w:rFonts w:hint="eastAsia" w:cs="仿宋"/>
          <w:highlight w:val="none"/>
          <w:lang w:val="en-US" w:eastAsia="zh-CN"/>
        </w:rPr>
        <w:t>初步</w:t>
      </w:r>
      <w:r>
        <w:rPr>
          <w:rFonts w:hint="eastAsia" w:ascii="仿宋" w:hAnsi="仿宋" w:eastAsia="仿宋" w:cs="仿宋"/>
          <w:highlight w:val="none"/>
          <w:lang w:val="en-US" w:eastAsia="zh-CN"/>
        </w:rPr>
        <w:t>设计功能。</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val="en-US" w:eastAsia="zh-CN"/>
        </w:rPr>
        <w:t>（3）湿地工程，分值5分，得分3.62分。</w:t>
      </w:r>
    </w:p>
    <w:p>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firstLine="640" w:firstLineChars="200"/>
        <w:jc w:val="both"/>
        <w:textAlignment w:val="auto"/>
        <w:rPr>
          <w:rFonts w:hint="default" w:cs="仿宋"/>
          <w:bCs/>
          <w:sz w:val="32"/>
          <w:szCs w:val="32"/>
          <w:highlight w:val="none"/>
          <w:lang w:val="en-US" w:eastAsia="zh-CN"/>
        </w:rPr>
      </w:pPr>
      <w:r>
        <w:rPr>
          <w:rFonts w:hint="eastAsia" w:cs="仿宋"/>
          <w:bCs/>
          <w:sz w:val="32"/>
          <w:szCs w:val="32"/>
          <w:highlight w:val="none"/>
          <w:lang w:val="en-US" w:eastAsia="zh-CN"/>
        </w:rPr>
        <w:t>a.绿化保有量，分值1分，得分0.83分</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cs="仿宋"/>
          <w:highlight w:val="none"/>
          <w:lang w:val="en-US" w:eastAsia="zh-CN"/>
        </w:rPr>
      </w:pPr>
      <w:r>
        <w:rPr>
          <w:rFonts w:hint="eastAsia" w:ascii="仿宋" w:hAnsi="仿宋" w:eastAsia="仿宋" w:cs="仿宋"/>
          <w:highlight w:val="none"/>
          <w:lang w:val="en-US" w:eastAsia="zh-CN"/>
        </w:rPr>
        <w:t>周汉河湿地公园的主要功能是保护生物多样性，调节径流，改善水质，调节区域气候，对正定新区污水处理厂排出的中水进行净化，达标后排入滹沱河。根据竣工图计算，湿地总面积63.89公顷，完成率96.8%，基本达到设计规模</w:t>
      </w:r>
      <w:r>
        <w:rPr>
          <w:rFonts w:hint="eastAsia" w:cs="仿宋"/>
          <w:highlight w:val="none"/>
          <w:lang w:val="en-US" w:eastAsia="zh-CN"/>
        </w:rPr>
        <w:t>。</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default" w:ascii="仿宋" w:hAnsi="仿宋" w:eastAsia="仿宋" w:cs="仿宋"/>
          <w:highlight w:val="none"/>
          <w:lang w:val="en-US" w:eastAsia="zh-CN"/>
        </w:rPr>
      </w:pPr>
      <w:r>
        <w:rPr>
          <w:rFonts w:hint="eastAsia" w:ascii="仿宋" w:hAnsi="仿宋" w:eastAsia="仿宋" w:cs="仿宋"/>
          <w:highlight w:val="none"/>
          <w:lang w:val="en-US" w:eastAsia="zh-CN"/>
        </w:rPr>
        <w:t>增加水面面积32.19公顷，绿化面积31.7公顷，种植了荷花、千屈菜、菖蒲、睡莲、香蒲等共计13种水生植物，初步形成了湿地植物生态系统，木栈道、亲水平台、生态绿岛等景观设施，实现了水质净化、涵养水源等多种生态功能，丰富了滹沱河沿岸景观效果。但浅水区（水生植物区）仅完成设计面积的37.13%，降低了湿地的净化功能及景观效果。</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default" w:ascii="仿宋" w:hAnsi="仿宋" w:eastAsia="仿宋" w:cs="仿宋"/>
          <w:highlight w:val="none"/>
          <w:lang w:val="en-US" w:eastAsia="zh-CN"/>
        </w:rPr>
      </w:pPr>
      <w:r>
        <w:rPr>
          <w:rFonts w:hint="eastAsia" w:ascii="仿宋" w:hAnsi="仿宋" w:eastAsia="仿宋" w:cs="仿宋"/>
          <w:highlight w:val="none"/>
          <w:lang w:val="en-US" w:eastAsia="zh-CN"/>
        </w:rPr>
        <w:t>b.湿地公园维护，分值3分，得分2.55分</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eastAsia="zh-CN"/>
        </w:rPr>
        <w:t>水利局的</w:t>
      </w:r>
      <w:r>
        <w:rPr>
          <w:rFonts w:hint="eastAsia" w:ascii="仿宋" w:hAnsi="仿宋" w:eastAsia="仿宋" w:cs="仿宋"/>
          <w:highlight w:val="none"/>
          <w:lang w:val="en-US" w:eastAsia="zh-CN"/>
        </w:rPr>
        <w:t>4次考核，</w:t>
      </w:r>
      <w:r>
        <w:rPr>
          <w:rFonts w:hint="eastAsia" w:ascii="仿宋" w:hAnsi="仿宋" w:eastAsia="仿宋" w:cs="仿宋"/>
          <w:highlight w:val="none"/>
          <w:lang w:eastAsia="zh-CN"/>
        </w:rPr>
        <w:t>水生植物养护指标平均得分率</w:t>
      </w:r>
      <w:r>
        <w:rPr>
          <w:rFonts w:hint="eastAsia" w:ascii="仿宋" w:hAnsi="仿宋" w:eastAsia="仿宋" w:cs="仿宋"/>
          <w:highlight w:val="none"/>
          <w:lang w:val="en-US" w:eastAsia="zh-CN"/>
        </w:rPr>
        <w:t>90.06%，</w:t>
      </w:r>
      <w:r>
        <w:rPr>
          <w:rFonts w:hint="eastAsia" w:ascii="仿宋" w:hAnsi="仿宋" w:eastAsia="仿宋" w:cs="仿宋"/>
          <w:highlight w:val="none"/>
          <w:lang w:eastAsia="zh-CN"/>
        </w:rPr>
        <w:t>湿地设施维护指标平均得分率</w:t>
      </w:r>
      <w:r>
        <w:rPr>
          <w:rFonts w:hint="eastAsia" w:ascii="仿宋" w:hAnsi="仿宋" w:eastAsia="仿宋" w:cs="仿宋"/>
          <w:highlight w:val="none"/>
          <w:lang w:val="en-US" w:eastAsia="zh-CN"/>
        </w:rPr>
        <w:t>91.07%</w:t>
      </w:r>
      <w:r>
        <w:rPr>
          <w:rFonts w:hint="eastAsia" w:ascii="仿宋" w:hAnsi="仿宋" w:eastAsia="仿宋" w:cs="仿宋"/>
          <w:highlight w:val="none"/>
          <w:lang w:eastAsia="zh-CN"/>
        </w:rPr>
        <w:t>，水质维护</w:t>
      </w:r>
      <w:r>
        <w:rPr>
          <w:rFonts w:hint="eastAsia" w:ascii="仿宋" w:hAnsi="仿宋" w:eastAsia="仿宋" w:cs="仿宋"/>
          <w:highlight w:val="none"/>
          <w:lang w:val="en-US" w:eastAsia="zh-CN"/>
        </w:rPr>
        <w:t>指标平均得分率90.57%。</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rPr>
        <w:t>评价组于2022年3月11日现场核</w:t>
      </w:r>
      <w:r>
        <w:rPr>
          <w:rFonts w:hint="eastAsia" w:ascii="仿宋" w:hAnsi="仿宋" w:eastAsia="仿宋" w:cs="仿宋"/>
          <w:highlight w:val="none"/>
          <w:lang w:eastAsia="zh-CN"/>
        </w:rPr>
        <w:t>查，湿地设施维护指标</w:t>
      </w:r>
      <w:r>
        <w:rPr>
          <w:rFonts w:hint="eastAsia" w:ascii="仿宋" w:hAnsi="仿宋" w:eastAsia="仿宋" w:cs="仿宋"/>
          <w:highlight w:val="none"/>
          <w:lang w:val="en-US" w:eastAsia="zh-CN"/>
        </w:rPr>
        <w:t>得分率为84%，水生植物养护指标得分率为81%，水质维护指标得分率为90%。</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val="en-US" w:eastAsia="zh-CN"/>
        </w:rPr>
        <w:t>从市水利局考核及评价组实地核实情况看，润石公司对湿地公园维护质量未完全达标，湿地的污水净化功能完成较差。存在湿地水生植物收割不及时，处置、更换记录不完整，水面漂浮物未及时打捞，湿地设施多处损坏未维修的情况。抽查润石公司的17次水质检测报告，发现总氮含量13次不合格。</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val="en-US" w:eastAsia="zh-CN"/>
        </w:rPr>
        <w:t>c.水质净化情况，分值1分，得分0.24分</w:t>
      </w:r>
    </w:p>
    <w:p>
      <w:pPr>
        <w:pStyle w:val="2"/>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周汉河湿地施工图设施依据为《公园设计规范》，无相关湿地的国家及地方相关规范及标准，未明确湿地净化效率指标。</w:t>
      </w:r>
      <w:r>
        <w:rPr>
          <w:rFonts w:hint="eastAsia" w:ascii="仿宋" w:hAnsi="仿宋" w:eastAsia="仿宋" w:cs="仿宋"/>
          <w:highlight w:val="none"/>
          <w:lang w:val="en-US" w:eastAsia="zh-CN"/>
        </w:rPr>
        <w:t>通过报告中湿地入水口、出水口检测点位的水质检测结果对比来看，4次出水口水质差于入水口水质。根据生态环境部《人工湿地污水处理工程技术规范》规定的人工湿地污水净化效率标准，化学需氧量(COD</w:t>
      </w:r>
      <w:r>
        <w:rPr>
          <w:rFonts w:hint="eastAsia" w:ascii="仿宋" w:hAnsi="仿宋" w:eastAsia="仿宋" w:cs="仿宋"/>
          <w:sz w:val="32"/>
          <w:highlight w:val="none"/>
          <w:vertAlign w:val="subscript"/>
          <w:lang w:val="en-US" w:eastAsia="zh-CN"/>
        </w:rPr>
        <w:t>cr</w:t>
      </w:r>
      <w:r>
        <w:rPr>
          <w:rFonts w:hint="eastAsia" w:ascii="仿宋" w:hAnsi="仿宋" w:eastAsia="仿宋" w:cs="仿宋"/>
          <w:highlight w:val="none"/>
          <w:lang w:val="en-US" w:eastAsia="zh-CN"/>
        </w:rPr>
        <w:t>)达标率29.41%，五日生化需氧量(BOD</w:t>
      </w:r>
      <w:r>
        <w:rPr>
          <w:rFonts w:hint="eastAsia" w:ascii="仿宋" w:hAnsi="仿宋" w:eastAsia="仿宋" w:cs="仿宋"/>
          <w:sz w:val="32"/>
          <w:szCs w:val="32"/>
          <w:highlight w:val="none"/>
          <w:vertAlign w:val="subscript"/>
          <w:lang w:val="en-US" w:eastAsia="zh-CN"/>
        </w:rPr>
        <w:t>5</w:t>
      </w:r>
      <w:r>
        <w:rPr>
          <w:rFonts w:hint="eastAsia" w:ascii="仿宋" w:hAnsi="仿宋" w:eastAsia="仿宋" w:cs="仿宋"/>
          <w:highlight w:val="none"/>
          <w:lang w:val="en-US" w:eastAsia="zh-CN"/>
        </w:rPr>
        <w:t>)达标率5.88%，氨氮(NH</w:t>
      </w:r>
      <w:r>
        <w:rPr>
          <w:rFonts w:hint="eastAsia" w:ascii="仿宋" w:hAnsi="仿宋" w:eastAsia="仿宋" w:cs="仿宋"/>
          <w:sz w:val="32"/>
          <w:highlight w:val="none"/>
          <w:vertAlign w:val="subscript"/>
          <w:lang w:val="en-US" w:eastAsia="zh-CN"/>
        </w:rPr>
        <w:t>3</w:t>
      </w:r>
      <w:r>
        <w:rPr>
          <w:rFonts w:hint="eastAsia" w:ascii="仿宋" w:hAnsi="仿宋" w:eastAsia="仿宋" w:cs="仿宋"/>
          <w:highlight w:val="none"/>
          <w:lang w:val="en-US" w:eastAsia="zh-CN"/>
        </w:rPr>
        <w:t>-N)达标率41.18%。也反映出湿地的净化功能未完全实现。</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val="en-US" w:eastAsia="zh-CN"/>
        </w:rPr>
        <w:t>（4）道路和其它服务设施完好率，分值10分，得分8.05分。</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eastAsia="zh-CN"/>
        </w:rPr>
        <w:t>水利局的</w:t>
      </w:r>
      <w:r>
        <w:rPr>
          <w:rFonts w:hint="eastAsia" w:ascii="仿宋" w:hAnsi="仿宋" w:eastAsia="仿宋" w:cs="仿宋"/>
          <w:highlight w:val="none"/>
          <w:lang w:val="en-US" w:eastAsia="zh-CN"/>
        </w:rPr>
        <w:t>4次考核，润石公司平均得分率63.19%，云际公司平均得分率81.25%。</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rPr>
        <w:t>评价组</w:t>
      </w:r>
      <w:r>
        <w:rPr>
          <w:rFonts w:hint="eastAsia" w:ascii="仿宋" w:hAnsi="仿宋" w:eastAsia="仿宋" w:cs="仿宋"/>
          <w:highlight w:val="none"/>
          <w:lang w:eastAsia="zh-CN"/>
        </w:rPr>
        <w:t>对润石公司、云际公司运营维护区域的道路、设施、厕所等进行了</w:t>
      </w:r>
      <w:r>
        <w:rPr>
          <w:rFonts w:hint="eastAsia" w:ascii="仿宋" w:hAnsi="仿宋" w:eastAsia="仿宋" w:cs="仿宋"/>
          <w:highlight w:val="none"/>
        </w:rPr>
        <w:t>现场核查</w:t>
      </w:r>
      <w:r>
        <w:rPr>
          <w:rFonts w:hint="eastAsia" w:ascii="仿宋" w:hAnsi="仿宋" w:eastAsia="仿宋" w:cs="仿宋"/>
          <w:highlight w:val="none"/>
          <w:lang w:eastAsia="zh-CN"/>
        </w:rPr>
        <w:t>，</w:t>
      </w:r>
      <w:r>
        <w:rPr>
          <w:rFonts w:hint="eastAsia" w:ascii="仿宋" w:hAnsi="仿宋" w:eastAsia="仿宋" w:cs="仿宋"/>
          <w:highlight w:val="none"/>
          <w:lang w:val="en-US" w:eastAsia="zh-CN"/>
        </w:rPr>
        <w:t>润石公司得分率为77.6%，云际公司得分率分别为85.3%。</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val="en-US" w:eastAsia="zh-CN"/>
        </w:rPr>
        <w:t>根据市水利局及评价组评价考核的情况来看，润石公司的维护质量一般，云际公司总体上合格。道路存在多处破损；部分路牙石、挡车石及座椅存在破损、歪倒现象，垃圾桶多处无内胆、不能使用；喷灌设施及厕所设施破损未维修；厕所保洁不够及时、干净。</w:t>
      </w:r>
    </w:p>
    <w:p>
      <w:pPr>
        <w:pStyle w:val="5"/>
        <w:keepNext w:val="0"/>
        <w:keepLines w:val="0"/>
        <w:pageBreakBefore w:val="0"/>
        <w:widowControl w:val="0"/>
        <w:kinsoku/>
        <w:wordWrap/>
        <w:overflowPunct/>
        <w:topLinePunct w:val="0"/>
        <w:bidi w:val="0"/>
        <w:adjustRightInd/>
        <w:snapToGrid/>
        <w:spacing w:line="560" w:lineRule="exact"/>
        <w:ind w:firstLine="640"/>
        <w:jc w:val="both"/>
        <w:textAlignment w:val="auto"/>
        <w:rPr>
          <w:rFonts w:hint="eastAsia" w:ascii="仿宋" w:hAnsi="仿宋" w:eastAsia="仿宋" w:cs="仿宋"/>
          <w:b/>
          <w:bCs w:val="0"/>
          <w:highlight w:val="none"/>
          <w:lang w:val="en-US" w:bidi="ar-SA"/>
        </w:rPr>
      </w:pPr>
      <w:r>
        <w:rPr>
          <w:rFonts w:hint="eastAsia" w:ascii="仿宋" w:hAnsi="仿宋" w:eastAsia="仿宋" w:cs="仿宋"/>
          <w:b/>
          <w:bCs w:val="0"/>
          <w:highlight w:val="none"/>
          <w:lang w:val="en-US" w:eastAsia="zh-CN" w:bidi="ar-SA"/>
        </w:rPr>
        <w:t>2</w:t>
      </w:r>
      <w:r>
        <w:rPr>
          <w:rFonts w:hint="eastAsia" w:ascii="仿宋" w:hAnsi="仿宋" w:eastAsia="仿宋" w:cs="仿宋"/>
          <w:b/>
          <w:bCs w:val="0"/>
          <w:highlight w:val="none"/>
          <w:lang w:val="en-US" w:bidi="ar-SA"/>
        </w:rPr>
        <w:t>.项目</w:t>
      </w:r>
      <w:r>
        <w:rPr>
          <w:rFonts w:hint="eastAsia" w:ascii="仿宋" w:hAnsi="仿宋" w:eastAsia="仿宋" w:cs="仿宋"/>
          <w:b/>
          <w:bCs w:val="0"/>
          <w:highlight w:val="none"/>
          <w:lang w:val="en-US" w:eastAsia="zh-CN" w:bidi="ar-SA"/>
        </w:rPr>
        <w:t>效益</w:t>
      </w:r>
      <w:r>
        <w:rPr>
          <w:rFonts w:hint="eastAsia" w:ascii="仿宋" w:hAnsi="仿宋" w:eastAsia="仿宋" w:cs="仿宋"/>
          <w:b/>
          <w:bCs w:val="0"/>
          <w:highlight w:val="none"/>
          <w:lang w:val="en-US" w:bidi="ar-SA"/>
        </w:rPr>
        <w:t>情况分析，总分</w:t>
      </w:r>
      <w:r>
        <w:rPr>
          <w:rFonts w:hint="eastAsia" w:ascii="仿宋" w:hAnsi="仿宋" w:eastAsia="仿宋" w:cs="仿宋"/>
          <w:b/>
          <w:bCs w:val="0"/>
          <w:highlight w:val="none"/>
          <w:lang w:val="en-US" w:eastAsia="zh-CN" w:bidi="ar-SA"/>
        </w:rPr>
        <w:t>4</w:t>
      </w:r>
      <w:r>
        <w:rPr>
          <w:rFonts w:hint="eastAsia" w:ascii="仿宋" w:hAnsi="仿宋" w:eastAsia="仿宋" w:cs="仿宋"/>
          <w:b/>
          <w:bCs w:val="0"/>
          <w:highlight w:val="none"/>
          <w:lang w:val="en-US" w:bidi="ar-SA"/>
        </w:rPr>
        <w:t>0分，得</w:t>
      </w:r>
      <w:r>
        <w:rPr>
          <w:rFonts w:hint="eastAsia" w:ascii="仿宋" w:hAnsi="仿宋" w:eastAsia="仿宋" w:cs="仿宋"/>
          <w:b/>
          <w:bCs w:val="0"/>
          <w:highlight w:val="none"/>
          <w:lang w:val="en-US" w:eastAsia="zh-CN" w:bidi="ar-SA"/>
        </w:rPr>
        <w:t>27.41</w:t>
      </w:r>
      <w:r>
        <w:rPr>
          <w:rFonts w:hint="eastAsia" w:ascii="仿宋" w:hAnsi="仿宋" w:eastAsia="仿宋" w:cs="仿宋"/>
          <w:b/>
          <w:bCs w:val="0"/>
          <w:highlight w:val="none"/>
          <w:lang w:val="en-US" w:bidi="ar-SA"/>
        </w:rPr>
        <w:t>分</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val="en-US" w:eastAsia="zh-CN"/>
        </w:rPr>
        <w:t>（1）经济效益，分值10分，得分0.71分。</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val="en-US" w:eastAsia="zh-CN"/>
        </w:rPr>
        <w:t>根据项目协议中经营性项目收益指标，一标段年度最低经营性收益目标为626.7万元，</w:t>
      </w:r>
      <w:r>
        <w:rPr>
          <w:rFonts w:hint="eastAsia" w:ascii="仿宋" w:hAnsi="仿宋" w:eastAsia="仿宋" w:cs="仿宋"/>
          <w:color w:val="000000" w:themeColor="text1"/>
          <w:sz w:val="32"/>
          <w:szCs w:val="32"/>
          <w:highlight w:val="none"/>
          <w14:textFill>
            <w14:solidFill>
              <w14:schemeClr w14:val="tx1"/>
            </w14:solidFill>
          </w14:textFill>
        </w:rPr>
        <w:t>2021年度</w:t>
      </w:r>
      <w:r>
        <w:rPr>
          <w:rFonts w:hint="eastAsia" w:ascii="仿宋" w:hAnsi="仿宋" w:eastAsia="仿宋" w:cs="仿宋"/>
          <w:color w:val="000000" w:themeColor="text1"/>
          <w:sz w:val="32"/>
          <w:szCs w:val="32"/>
          <w:highlight w:val="none"/>
          <w:lang w:eastAsia="zh-CN"/>
          <w14:textFill>
            <w14:solidFill>
              <w14:schemeClr w14:val="tx1"/>
            </w14:solidFill>
          </w14:textFill>
        </w:rPr>
        <w:t>润石公司</w:t>
      </w:r>
      <w:r>
        <w:rPr>
          <w:rFonts w:hint="eastAsia" w:ascii="仿宋" w:hAnsi="仿宋" w:eastAsia="仿宋" w:cs="仿宋"/>
          <w:color w:val="000000" w:themeColor="text1"/>
          <w:sz w:val="32"/>
          <w:szCs w:val="32"/>
          <w:highlight w:val="none"/>
          <w14:textFill>
            <w14:solidFill>
              <w14:schemeClr w14:val="tx1"/>
            </w14:solidFill>
          </w14:textFill>
        </w:rPr>
        <w:t>经营性项目收入39.27万元（</w:t>
      </w:r>
      <w:r>
        <w:rPr>
          <w:rFonts w:hint="eastAsia" w:ascii="仿宋" w:hAnsi="仿宋" w:eastAsia="仿宋" w:cs="仿宋"/>
          <w:color w:val="000000" w:themeColor="text1"/>
          <w:sz w:val="32"/>
          <w:szCs w:val="32"/>
          <w:highlight w:val="none"/>
          <w:lang w:eastAsia="zh-CN"/>
          <w14:textFill>
            <w14:solidFill>
              <w14:schemeClr w14:val="tx1"/>
            </w14:solidFill>
          </w14:textFill>
        </w:rPr>
        <w:t>未扣除成本，</w:t>
      </w:r>
      <w:r>
        <w:rPr>
          <w:rFonts w:hint="eastAsia" w:ascii="仿宋" w:hAnsi="仿宋" w:eastAsia="仿宋" w:cs="仿宋"/>
          <w:color w:val="000000" w:themeColor="text1"/>
          <w:sz w:val="32"/>
          <w:szCs w:val="32"/>
          <w:highlight w:val="none"/>
          <w14:textFill>
            <w14:solidFill>
              <w14:schemeClr w14:val="tx1"/>
            </w14:solidFill>
          </w14:textFill>
        </w:rPr>
        <w:t>全部视同为收益），</w:t>
      </w:r>
      <w:r>
        <w:rPr>
          <w:rFonts w:hint="eastAsia" w:ascii="仿宋" w:hAnsi="仿宋" w:eastAsia="仿宋" w:cs="仿宋"/>
          <w:color w:val="000000" w:themeColor="text1"/>
          <w:sz w:val="32"/>
          <w:szCs w:val="32"/>
          <w:highlight w:val="none"/>
          <w:lang w:eastAsia="zh-CN"/>
          <w14:textFill>
            <w14:solidFill>
              <w14:schemeClr w14:val="tx1"/>
            </w14:solidFill>
          </w14:textFill>
        </w:rPr>
        <w:t>仅</w:t>
      </w:r>
      <w:r>
        <w:rPr>
          <w:rFonts w:hint="eastAsia" w:ascii="仿宋" w:hAnsi="仿宋" w:eastAsia="仿宋" w:cs="仿宋"/>
          <w:color w:val="000000" w:themeColor="text1"/>
          <w:sz w:val="32"/>
          <w:szCs w:val="32"/>
          <w:highlight w:val="none"/>
          <w14:textFill>
            <w14:solidFill>
              <w14:schemeClr w14:val="tx1"/>
            </w14:solidFill>
          </w14:textFill>
        </w:rPr>
        <w:t>完成</w:t>
      </w:r>
      <w:r>
        <w:rPr>
          <w:rFonts w:hint="eastAsia" w:ascii="仿宋" w:hAnsi="仿宋" w:eastAsia="仿宋" w:cs="仿宋"/>
          <w:color w:val="000000" w:themeColor="text1"/>
          <w:sz w:val="32"/>
          <w:szCs w:val="32"/>
          <w:highlight w:val="none"/>
          <w:lang w:eastAsia="zh-CN"/>
          <w14:textFill>
            <w14:solidFill>
              <w14:schemeClr w14:val="tx1"/>
            </w14:solidFill>
          </w14:textFill>
        </w:rPr>
        <w:t>目标的</w:t>
      </w:r>
      <w:r>
        <w:rPr>
          <w:rFonts w:hint="eastAsia" w:ascii="仿宋" w:hAnsi="仿宋" w:eastAsia="仿宋" w:cs="仿宋"/>
          <w:color w:val="000000" w:themeColor="text1"/>
          <w:sz w:val="32"/>
          <w:szCs w:val="32"/>
          <w:highlight w:val="none"/>
          <w14:textFill>
            <w14:solidFill>
              <w14:schemeClr w14:val="tx1"/>
            </w14:solidFill>
          </w14:textFill>
        </w:rPr>
        <w:t>6.2</w:t>
      </w:r>
      <w:r>
        <w:rPr>
          <w:rFonts w:hint="eastAsia" w:ascii="仿宋" w:hAnsi="仿宋" w:eastAsia="仿宋" w:cs="仿宋"/>
          <w:color w:val="000000" w:themeColor="text1"/>
          <w:sz w:val="32"/>
          <w:szCs w:val="32"/>
          <w:highlight w:val="none"/>
          <w:lang w:val="en-US" w:eastAsia="zh-CN"/>
          <w14:textFill>
            <w14:solidFill>
              <w14:schemeClr w14:val="tx1"/>
            </w14:solidFill>
          </w14:textFill>
        </w:rPr>
        <w:t>7</w:t>
      </w:r>
      <w:r>
        <w:rPr>
          <w:rFonts w:hint="eastAsia" w:ascii="仿宋" w:hAnsi="仿宋" w:eastAsia="仿宋" w:cs="仿宋"/>
          <w:color w:val="000000" w:themeColor="text1"/>
          <w:sz w:val="32"/>
          <w:szCs w:val="32"/>
          <w:highlight w:val="none"/>
          <w14:textFill>
            <w14:solidFill>
              <w14:schemeClr w14:val="tx1"/>
            </w14:solidFill>
          </w14:textFill>
        </w:rPr>
        <w:t>%</w:t>
      </w: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highlight w:val="none"/>
          <w:lang w:val="en-US" w:eastAsia="zh-CN"/>
        </w:rPr>
        <w:t>二标段年度最低经营性收益目标为372.05万元，</w:t>
      </w:r>
      <w:r>
        <w:rPr>
          <w:rFonts w:hint="eastAsia" w:ascii="仿宋" w:hAnsi="仿宋" w:eastAsia="仿宋" w:cs="仿宋"/>
          <w:color w:val="000000" w:themeColor="text1"/>
          <w:sz w:val="32"/>
          <w:szCs w:val="32"/>
          <w:highlight w:val="none"/>
          <w:lang w:val="en-US" w:eastAsia="zh-CN"/>
          <w14:textFill>
            <w14:solidFill>
              <w14:schemeClr w14:val="tx1"/>
            </w14:solidFill>
          </w14:textFill>
        </w:rPr>
        <w:t>2021年度</w:t>
      </w:r>
      <w:r>
        <w:rPr>
          <w:rFonts w:hint="eastAsia" w:ascii="仿宋" w:hAnsi="仿宋" w:eastAsia="仿宋" w:cs="仿宋"/>
          <w:color w:val="auto"/>
          <w:highlight w:val="none"/>
          <w:lang w:eastAsia="zh-CN"/>
        </w:rPr>
        <w:t>云际公司</w:t>
      </w:r>
      <w:r>
        <w:rPr>
          <w:rFonts w:hint="eastAsia" w:ascii="仿宋" w:hAnsi="仿宋" w:eastAsia="仿宋" w:cs="仿宋"/>
          <w:color w:val="auto"/>
          <w:highlight w:val="none"/>
        </w:rPr>
        <w:t>经营性项目收入78</w:t>
      </w:r>
      <w:r>
        <w:rPr>
          <w:rFonts w:hint="eastAsia" w:ascii="仿宋" w:hAnsi="仿宋" w:eastAsia="仿宋" w:cs="仿宋"/>
          <w:color w:val="auto"/>
          <w:highlight w:val="none"/>
          <w:lang w:val="en-US" w:eastAsia="zh-CN"/>
        </w:rPr>
        <w:t>.</w:t>
      </w:r>
      <w:r>
        <w:rPr>
          <w:rFonts w:hint="eastAsia" w:ascii="仿宋" w:hAnsi="仿宋" w:eastAsia="仿宋" w:cs="仿宋"/>
          <w:color w:val="auto"/>
          <w:highlight w:val="none"/>
        </w:rPr>
        <w:t>42万元（</w:t>
      </w:r>
      <w:r>
        <w:rPr>
          <w:rFonts w:hint="eastAsia" w:ascii="仿宋" w:hAnsi="仿宋" w:eastAsia="仿宋" w:cs="仿宋"/>
          <w:color w:val="auto"/>
          <w:highlight w:val="none"/>
          <w:lang w:eastAsia="zh-CN"/>
        </w:rPr>
        <w:t>未扣除成本，</w:t>
      </w:r>
      <w:r>
        <w:rPr>
          <w:rFonts w:hint="eastAsia" w:ascii="仿宋" w:hAnsi="仿宋" w:eastAsia="仿宋" w:cs="仿宋"/>
          <w:color w:val="auto"/>
          <w:highlight w:val="none"/>
        </w:rPr>
        <w:t>全部视同为收益），完成</w:t>
      </w:r>
      <w:r>
        <w:rPr>
          <w:rFonts w:hint="eastAsia" w:ascii="仿宋" w:hAnsi="仿宋" w:eastAsia="仿宋" w:cs="仿宋"/>
          <w:color w:val="auto"/>
          <w:highlight w:val="none"/>
          <w:lang w:eastAsia="zh-CN"/>
        </w:rPr>
        <w:t>目标的</w:t>
      </w:r>
      <w:r>
        <w:rPr>
          <w:rFonts w:hint="eastAsia" w:ascii="仿宋" w:hAnsi="仿宋" w:eastAsia="仿宋" w:cs="仿宋"/>
          <w:color w:val="auto"/>
          <w:highlight w:val="none"/>
          <w:lang w:val="en-US" w:eastAsia="zh-CN"/>
        </w:rPr>
        <w:t>21.08</w:t>
      </w:r>
      <w:r>
        <w:rPr>
          <w:rFonts w:hint="eastAsia" w:ascii="仿宋" w:hAnsi="仿宋" w:eastAsia="仿宋" w:cs="仿宋"/>
          <w:color w:val="auto"/>
          <w:highlight w:val="none"/>
        </w:rPr>
        <w:t>%</w:t>
      </w:r>
      <w:r>
        <w:rPr>
          <w:rFonts w:hint="eastAsia" w:ascii="仿宋" w:hAnsi="仿宋" w:eastAsia="仿宋" w:cs="仿宋"/>
          <w:color w:val="auto"/>
          <w:highlight w:val="none"/>
          <w:lang w:eastAsia="zh-CN"/>
        </w:rPr>
        <w:t>。</w:t>
      </w:r>
      <w:r>
        <w:rPr>
          <w:rFonts w:hint="eastAsia" w:ascii="仿宋" w:hAnsi="仿宋" w:eastAsia="仿宋" w:cs="仿宋"/>
          <w:color w:val="auto"/>
          <w:highlight w:val="none"/>
          <w:lang w:val="en-US" w:eastAsia="zh-CN"/>
        </w:rPr>
        <w:t>2021年两个公司经营性项目收入合计117.69万元，完成目标的11.78%，</w:t>
      </w:r>
      <w:r>
        <w:rPr>
          <w:rFonts w:hint="eastAsia" w:ascii="仿宋" w:hAnsi="仿宋" w:eastAsia="仿宋" w:cs="仿宋"/>
          <w:kern w:val="2"/>
          <w:sz w:val="32"/>
          <w:szCs w:val="32"/>
          <w:highlight w:val="none"/>
          <w:lang w:val="en-US" w:eastAsia="zh-CN" w:bidi="ar-SA"/>
        </w:rPr>
        <w:t>完成情况较差。</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kern w:val="2"/>
          <w:sz w:val="32"/>
          <w:szCs w:val="24"/>
          <w:highlight w:val="none"/>
          <w:lang w:val="en-US" w:eastAsia="zh-CN" w:bidi="ar-SA"/>
        </w:rPr>
      </w:pPr>
      <w:r>
        <w:rPr>
          <w:rFonts w:hint="eastAsia" w:ascii="仿宋" w:hAnsi="仿宋" w:eastAsia="仿宋" w:cs="仿宋"/>
          <w:kern w:val="2"/>
          <w:sz w:val="32"/>
          <w:szCs w:val="24"/>
          <w:highlight w:val="none"/>
          <w:lang w:val="en-US" w:eastAsia="zh-CN" w:bidi="ar-SA"/>
        </w:rPr>
        <w:t>润石公司收入全部为运动场地租赁、土地租赁收入；云际公司收入主要是小卖店租赁收入、场地租赁收入、土地承包收入及种植收入。经营性收入项目规模很小、形式单一。项目公司尚未对项目形成的经营资源进行充分开发、利用。客观上受环保、防洪、农田等政策规划限制，受疫情、运营期短等因素影响；主观上没有经营开发的压力和动力。</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val="en-US" w:eastAsia="zh-CN"/>
        </w:rPr>
        <w:t>（2）社会效益，分值15分，得分11.89分。</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default" w:ascii="仿宋" w:hAnsi="仿宋" w:eastAsia="仿宋" w:cs="仿宋"/>
          <w:highlight w:val="none"/>
          <w:lang w:val="en-US" w:eastAsia="zh-CN"/>
        </w:rPr>
      </w:pPr>
      <w:r>
        <w:rPr>
          <w:rFonts w:hint="eastAsia" w:ascii="仿宋" w:hAnsi="仿宋" w:eastAsia="仿宋" w:cs="仿宋"/>
          <w:highlight w:val="none"/>
          <w:lang w:val="en-US" w:eastAsia="zh-CN"/>
        </w:rPr>
        <w:t>a.河道防洪能力，分值7分，得分6.61分</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color w:val="000000" w:themeColor="text1"/>
          <w:sz w:val="32"/>
          <w:szCs w:val="32"/>
          <w:highlight w:val="none"/>
          <w:lang w:eastAsia="zh-CN"/>
          <w14:textFill>
            <w14:solidFill>
              <w14:schemeClr w14:val="tx1"/>
            </w14:solidFill>
          </w14:textFill>
        </w:rPr>
        <w:t>本项目实施前，主河道由于多年乱挖沙、乱种、乱建、乱倒垃圾等，造成河道行洪能力严重破坏和丧失。项目完成后，根据验收和实际行洪情况，主槽河岸防护工程及潜坝、溢流堰等拦蓄建筑物防洪设计标准为10年一遇，1号橡胶坝防洪设计标准为50年一遇，溪流设计流量为30</w:t>
      </w:r>
      <w:r>
        <w:rPr>
          <w:rFonts w:hint="eastAsia" w:ascii="仿宋" w:hAnsi="仿宋" w:eastAsia="仿宋" w:cs="仿宋"/>
          <w:color w:val="000000" w:themeColor="text1"/>
          <w:sz w:val="32"/>
          <w:szCs w:val="32"/>
          <w:highlight w:val="none"/>
          <w:lang w:val="en-US" w:eastAsia="zh-CN"/>
          <w14:textFill>
            <w14:solidFill>
              <w14:schemeClr w14:val="tx1"/>
            </w14:solidFill>
          </w14:textFill>
        </w:rPr>
        <w:t>m³</w:t>
      </w:r>
      <w:r>
        <w:rPr>
          <w:rFonts w:hint="eastAsia" w:ascii="仿宋" w:hAnsi="仿宋" w:eastAsia="仿宋" w:cs="仿宋"/>
          <w:color w:val="000000" w:themeColor="text1"/>
          <w:sz w:val="32"/>
          <w:szCs w:val="32"/>
          <w:highlight w:val="none"/>
          <w:lang w:eastAsia="zh-CN"/>
          <w14:textFill>
            <w14:solidFill>
              <w14:schemeClr w14:val="tx1"/>
            </w14:solidFill>
          </w14:textFill>
        </w:rPr>
        <w:t>/s，滩地生态绿化工程防洪标准为10年一遇。显著提高了河道行洪能力，确保了防洪安全。根据</w:t>
      </w:r>
      <w:r>
        <w:rPr>
          <w:rFonts w:hint="eastAsia" w:ascii="仿宋" w:hAnsi="仿宋" w:eastAsia="仿宋" w:cs="仿宋"/>
          <w:color w:val="000000" w:themeColor="text1"/>
          <w:sz w:val="32"/>
          <w:szCs w:val="32"/>
          <w:highlight w:val="none"/>
          <w14:textFill>
            <w14:solidFill>
              <w14:schemeClr w14:val="tx1"/>
            </w14:solidFill>
          </w14:textFill>
        </w:rPr>
        <w:t>河北省水利厅2021年发布的黄壁庄水库泄水通知，其中最大泄洪流量是400m</w:t>
      </w:r>
      <w:r>
        <w:rPr>
          <w:rFonts w:hint="eastAsia" w:ascii="仿宋" w:hAnsi="仿宋" w:eastAsia="仿宋" w:cs="仿宋"/>
          <w:color w:val="000000" w:themeColor="text1"/>
          <w:sz w:val="32"/>
          <w:szCs w:val="32"/>
          <w:highlight w:val="none"/>
          <w:vertAlign w:val="superscript"/>
          <w14:textFill>
            <w14:solidFill>
              <w14:schemeClr w14:val="tx1"/>
            </w14:solidFill>
          </w14:textFill>
        </w:rPr>
        <w:t>3</w:t>
      </w:r>
      <w:r>
        <w:rPr>
          <w:rFonts w:hint="eastAsia" w:ascii="仿宋" w:hAnsi="仿宋" w:eastAsia="仿宋" w:cs="仿宋"/>
          <w:color w:val="000000" w:themeColor="text1"/>
          <w:sz w:val="32"/>
          <w:szCs w:val="32"/>
          <w:highlight w:val="none"/>
          <w14:textFill>
            <w14:solidFill>
              <w14:schemeClr w14:val="tx1"/>
            </w14:solidFill>
          </w14:textFill>
        </w:rPr>
        <w:t>/s</w:t>
      </w: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color w:val="000000" w:themeColor="text1"/>
          <w:sz w:val="32"/>
          <w:szCs w:val="32"/>
          <w:highlight w:val="none"/>
          <w:lang w:val="en-US" w:eastAsia="zh-CN"/>
          <w14:textFill>
            <w14:solidFill>
              <w14:schemeClr w14:val="tx1"/>
            </w14:solidFill>
          </w14:textFill>
        </w:rPr>
        <w:t>润石公司监测的</w:t>
      </w:r>
      <w:r>
        <w:rPr>
          <w:rFonts w:hint="eastAsia" w:ascii="仿宋" w:hAnsi="仿宋" w:eastAsia="仿宋" w:cs="仿宋"/>
          <w:sz w:val="32"/>
          <w:szCs w:val="32"/>
          <w:highlight w:val="none"/>
        </w:rPr>
        <w:t>最大泄洪流量为380m3/s,</w:t>
      </w:r>
      <w:r>
        <w:rPr>
          <w:rFonts w:hint="eastAsia" w:ascii="仿宋" w:hAnsi="仿宋" w:eastAsia="仿宋" w:cs="仿宋"/>
          <w:sz w:val="32"/>
          <w:szCs w:val="32"/>
          <w:highlight w:val="none"/>
          <w:lang w:val="en-US" w:eastAsia="zh-CN"/>
        </w:rPr>
        <w:t>云际公司监测的</w:t>
      </w:r>
      <w:r>
        <w:rPr>
          <w:rFonts w:hint="eastAsia" w:ascii="仿宋" w:hAnsi="仿宋" w:eastAsia="仿宋" w:cs="仿宋"/>
          <w:sz w:val="32"/>
          <w:szCs w:val="32"/>
          <w:highlight w:val="none"/>
        </w:rPr>
        <w:t>最大泄洪流量</w:t>
      </w:r>
      <w:r>
        <w:rPr>
          <w:rFonts w:hint="eastAsia" w:ascii="仿宋" w:hAnsi="仿宋" w:eastAsia="仿宋" w:cs="仿宋"/>
          <w:sz w:val="32"/>
          <w:szCs w:val="32"/>
          <w:highlight w:val="none"/>
          <w:lang w:val="en-US" w:eastAsia="zh-CN"/>
        </w:rPr>
        <w:t>为450</w:t>
      </w:r>
      <w:r>
        <w:rPr>
          <w:rFonts w:hint="eastAsia" w:ascii="仿宋" w:hAnsi="仿宋" w:eastAsia="仿宋" w:cs="仿宋"/>
          <w:sz w:val="32"/>
          <w:szCs w:val="32"/>
          <w:highlight w:val="none"/>
        </w:rPr>
        <w:t>m3/s</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2021年</w:t>
      </w:r>
      <w:r>
        <w:rPr>
          <w:rFonts w:hint="eastAsia" w:ascii="仿宋" w:hAnsi="仿宋" w:eastAsia="仿宋" w:cs="仿宋"/>
          <w:sz w:val="32"/>
          <w:szCs w:val="32"/>
          <w:highlight w:val="none"/>
        </w:rPr>
        <w:t>最大泄洪流量</w:t>
      </w:r>
      <w:r>
        <w:rPr>
          <w:rFonts w:hint="eastAsia" w:ascii="仿宋" w:hAnsi="仿宋" w:eastAsia="仿宋" w:cs="仿宋"/>
          <w:sz w:val="32"/>
          <w:szCs w:val="32"/>
          <w:highlight w:val="none"/>
          <w:lang w:eastAsia="zh-CN"/>
        </w:rPr>
        <w:t>接近五年一遇防洪标准（</w:t>
      </w:r>
      <w:r>
        <w:rPr>
          <w:rFonts w:hint="eastAsia" w:ascii="仿宋" w:hAnsi="仿宋" w:eastAsia="仿宋" w:cs="仿宋"/>
          <w:sz w:val="32"/>
          <w:szCs w:val="32"/>
          <w:highlight w:val="none"/>
          <w:lang w:val="en-US" w:eastAsia="zh-CN"/>
        </w:rPr>
        <w:t>47</w:t>
      </w:r>
      <w:r>
        <w:rPr>
          <w:rFonts w:hint="eastAsia" w:ascii="仿宋" w:hAnsi="仿宋" w:eastAsia="仿宋" w:cs="仿宋"/>
          <w:sz w:val="32"/>
          <w:szCs w:val="32"/>
          <w:highlight w:val="none"/>
        </w:rPr>
        <w:t>0m3/s</w:t>
      </w:r>
      <w:r>
        <w:rPr>
          <w:rFonts w:hint="eastAsia" w:ascii="仿宋" w:hAnsi="仿宋" w:eastAsia="仿宋" w:cs="仿宋"/>
          <w:sz w:val="32"/>
          <w:szCs w:val="32"/>
          <w:highlight w:val="none"/>
          <w:lang w:eastAsia="zh-CN"/>
        </w:rPr>
        <w:t>）。</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eastAsia="zh-CN"/>
        </w:rPr>
      </w:pPr>
      <w:r>
        <w:rPr>
          <w:rFonts w:hint="eastAsia" w:ascii="仿宋" w:hAnsi="仿宋" w:eastAsia="仿宋" w:cs="仿宋"/>
          <w:color w:val="000000" w:themeColor="text1"/>
          <w:sz w:val="32"/>
          <w:szCs w:val="32"/>
          <w:highlight w:val="none"/>
          <w:lang w:eastAsia="zh-CN"/>
          <w14:textFill>
            <w14:solidFill>
              <w14:schemeClr w14:val="tx1"/>
            </w14:solidFill>
          </w14:textFill>
        </w:rPr>
        <w:t>但本项目</w:t>
      </w:r>
      <w:r>
        <w:rPr>
          <w:rFonts w:hint="eastAsia" w:ascii="仿宋" w:hAnsi="仿宋" w:eastAsia="仿宋" w:cs="仿宋"/>
          <w:color w:val="000000" w:themeColor="text1"/>
          <w:sz w:val="32"/>
          <w:szCs w:val="32"/>
          <w:highlight w:val="none"/>
          <w14:textFill>
            <w14:solidFill>
              <w14:schemeClr w14:val="tx1"/>
            </w14:solidFill>
          </w14:textFill>
        </w:rPr>
        <w:t>溢流堰</w:t>
      </w:r>
      <w:r>
        <w:rPr>
          <w:rFonts w:hint="eastAsia" w:ascii="仿宋" w:hAnsi="仿宋" w:eastAsia="仿宋" w:cs="仿宋"/>
          <w:color w:val="000000" w:themeColor="text1"/>
          <w:sz w:val="32"/>
          <w:szCs w:val="32"/>
          <w:highlight w:val="none"/>
          <w:lang w:eastAsia="zh-CN"/>
          <w14:textFill>
            <w14:solidFill>
              <w14:schemeClr w14:val="tx1"/>
            </w14:solidFill>
          </w14:textFill>
        </w:rPr>
        <w:t>和</w:t>
      </w:r>
      <w:r>
        <w:rPr>
          <w:rFonts w:hint="eastAsia" w:ascii="仿宋" w:hAnsi="仿宋" w:eastAsia="仿宋" w:cs="仿宋"/>
          <w:color w:val="000000" w:themeColor="text1"/>
          <w:sz w:val="32"/>
          <w:szCs w:val="32"/>
          <w:highlight w:val="none"/>
          <w14:textFill>
            <w14:solidFill>
              <w14:schemeClr w14:val="tx1"/>
            </w14:solidFill>
          </w14:textFill>
        </w:rPr>
        <w:t>溪流区蓄水边坡</w:t>
      </w:r>
      <w:r>
        <w:rPr>
          <w:rFonts w:hint="eastAsia" w:ascii="仿宋" w:hAnsi="仿宋" w:eastAsia="仿宋" w:cs="仿宋"/>
          <w:color w:val="000000" w:themeColor="text1"/>
          <w:sz w:val="32"/>
          <w:szCs w:val="32"/>
          <w:highlight w:val="none"/>
          <w:lang w:eastAsia="zh-CN"/>
          <w14:textFill>
            <w14:solidFill>
              <w14:schemeClr w14:val="tx1"/>
            </w14:solidFill>
          </w14:textFill>
        </w:rPr>
        <w:t>均有不同程度的损毁，</w:t>
      </w:r>
      <w:r>
        <w:rPr>
          <w:rFonts w:hint="eastAsia" w:ascii="仿宋" w:hAnsi="仿宋" w:eastAsia="仿宋" w:cs="仿宋"/>
          <w:color w:val="000000" w:themeColor="text1"/>
          <w:sz w:val="32"/>
          <w:szCs w:val="32"/>
          <w:highlight w:val="none"/>
          <w:lang w:val="en-US" w:eastAsia="zh-CN"/>
          <w14:textFill>
            <w14:solidFill>
              <w14:schemeClr w14:val="tx1"/>
            </w14:solidFill>
          </w14:textFill>
        </w:rPr>
        <w:t>未完全达到设计的防洪标准</w:t>
      </w:r>
      <w:r>
        <w:rPr>
          <w:rFonts w:hint="eastAsia" w:ascii="仿宋" w:hAnsi="仿宋" w:eastAsia="仿宋" w:cs="仿宋"/>
          <w:sz w:val="32"/>
          <w:szCs w:val="32"/>
          <w:highlight w:val="none"/>
          <w:lang w:val="en-US" w:eastAsia="zh-CN"/>
        </w:rPr>
        <w:t>。</w:t>
      </w:r>
      <w:r>
        <w:rPr>
          <w:rFonts w:hint="eastAsia" w:ascii="仿宋" w:hAnsi="仿宋" w:eastAsia="仿宋" w:cs="仿宋"/>
          <w:color w:val="000000" w:themeColor="text1"/>
          <w:sz w:val="32"/>
          <w:szCs w:val="32"/>
          <w:highlight w:val="none"/>
          <w:lang w:eastAsia="zh-CN"/>
          <w14:textFill>
            <w14:solidFill>
              <w14:schemeClr w14:val="tx1"/>
            </w14:solidFill>
          </w14:textFill>
        </w:rPr>
        <w:t>根据项目</w:t>
      </w:r>
      <w:r>
        <w:rPr>
          <w:rFonts w:hint="eastAsia" w:ascii="仿宋" w:hAnsi="仿宋" w:eastAsia="仿宋" w:cs="仿宋"/>
          <w:color w:val="000000" w:themeColor="text1"/>
          <w:sz w:val="32"/>
          <w:szCs w:val="32"/>
          <w:highlight w:val="none"/>
          <w14:textFill>
            <w14:solidFill>
              <w14:schemeClr w14:val="tx1"/>
            </w14:solidFill>
          </w14:textFill>
        </w:rPr>
        <w:t>公司提供</w:t>
      </w:r>
      <w:r>
        <w:rPr>
          <w:rFonts w:hint="eastAsia" w:ascii="仿宋" w:hAnsi="仿宋" w:eastAsia="仿宋" w:cs="仿宋"/>
          <w:color w:val="000000" w:themeColor="text1"/>
          <w:sz w:val="32"/>
          <w:szCs w:val="32"/>
          <w:highlight w:val="none"/>
          <w:lang w:eastAsia="zh-CN"/>
          <w14:textFill>
            <w14:solidFill>
              <w14:schemeClr w14:val="tx1"/>
            </w14:solidFill>
          </w14:textFill>
        </w:rPr>
        <w:t>的泄洪损失统计数据和评价组实地核查情况，</w:t>
      </w:r>
      <w:r>
        <w:rPr>
          <w:rFonts w:hint="eastAsia" w:ascii="仿宋" w:hAnsi="仿宋" w:eastAsia="仿宋" w:cs="仿宋"/>
          <w:color w:val="000000" w:themeColor="text1"/>
          <w:sz w:val="32"/>
          <w:szCs w:val="32"/>
          <w:highlight w:val="none"/>
          <w14:textFill>
            <w14:solidFill>
              <w14:schemeClr w14:val="tx1"/>
            </w14:solidFill>
          </w14:textFill>
        </w:rPr>
        <w:t>I号溢流堰石柱栏杆毁坏2</w:t>
      </w:r>
      <w:r>
        <w:rPr>
          <w:rFonts w:hint="eastAsia" w:ascii="仿宋" w:hAnsi="仿宋" w:eastAsia="仿宋" w:cs="仿宋"/>
          <w:color w:val="000000" w:themeColor="text1"/>
          <w:sz w:val="32"/>
          <w:szCs w:val="32"/>
          <w:highlight w:val="none"/>
          <w:lang w:val="en-US" w:eastAsia="zh-CN"/>
          <w14:textFill>
            <w14:solidFill>
              <w14:schemeClr w14:val="tx1"/>
            </w14:solidFill>
          </w14:textFill>
        </w:rPr>
        <w:t>3</w:t>
      </w:r>
      <w:r>
        <w:rPr>
          <w:rFonts w:hint="eastAsia" w:ascii="仿宋" w:hAnsi="仿宋" w:eastAsia="仿宋" w:cs="仿宋"/>
          <w:color w:val="000000" w:themeColor="text1"/>
          <w:sz w:val="32"/>
          <w:szCs w:val="32"/>
          <w:highlight w:val="none"/>
          <w14:textFill>
            <w14:solidFill>
              <w14:schemeClr w14:val="tx1"/>
            </w14:solidFill>
          </w14:textFill>
        </w:rPr>
        <w:t>m</w:t>
      </w: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color w:val="000000" w:themeColor="text1"/>
          <w:sz w:val="32"/>
          <w:szCs w:val="32"/>
          <w:highlight w:val="none"/>
          <w14:textFill>
            <w14:solidFill>
              <w14:schemeClr w14:val="tx1"/>
            </w14:solidFill>
          </w14:textFill>
        </w:rPr>
        <w:t>III号溢流堰栏杆毁坏285m</w:t>
      </w: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highlight w:val="none"/>
        </w:rPr>
        <w:t>Ⅳ号溢流堰石柱栏杆毁坏</w:t>
      </w:r>
      <w:r>
        <w:rPr>
          <w:rFonts w:hint="eastAsia" w:ascii="仿宋" w:hAnsi="仿宋" w:eastAsia="仿宋" w:cs="仿宋"/>
          <w:highlight w:val="none"/>
          <w:lang w:val="en-US" w:eastAsia="zh-CN"/>
        </w:rPr>
        <w:t>32</w:t>
      </w:r>
      <w:r>
        <w:rPr>
          <w:rFonts w:hint="eastAsia" w:ascii="仿宋" w:hAnsi="仿宋" w:eastAsia="仿宋" w:cs="仿宋"/>
          <w:highlight w:val="none"/>
        </w:rPr>
        <w:t>m</w:t>
      </w:r>
      <w:r>
        <w:rPr>
          <w:rFonts w:hint="eastAsia" w:ascii="仿宋" w:hAnsi="仿宋" w:eastAsia="仿宋" w:cs="仿宋"/>
          <w:highlight w:val="none"/>
          <w:lang w:eastAsia="zh-CN"/>
        </w:rPr>
        <w:t>，</w:t>
      </w:r>
      <w:r>
        <w:rPr>
          <w:rFonts w:hint="eastAsia" w:ascii="仿宋" w:hAnsi="仿宋" w:eastAsia="仿宋" w:cs="仿宋"/>
          <w:highlight w:val="none"/>
          <w:lang w:val="en-US" w:eastAsia="zh-CN"/>
        </w:rPr>
        <w:t>不锈钢栏杆</w:t>
      </w:r>
      <w:r>
        <w:rPr>
          <w:rFonts w:hint="eastAsia" w:ascii="仿宋" w:hAnsi="仿宋" w:eastAsia="仿宋" w:cs="仿宋"/>
          <w:highlight w:val="none"/>
        </w:rPr>
        <w:t>毁坏</w:t>
      </w:r>
      <w:r>
        <w:rPr>
          <w:rFonts w:hint="eastAsia" w:ascii="仿宋" w:hAnsi="仿宋" w:eastAsia="仿宋" w:cs="仿宋"/>
          <w:highlight w:val="none"/>
          <w:lang w:val="en-US" w:eastAsia="zh-CN"/>
        </w:rPr>
        <w:t>93m，防护隔离栅</w:t>
      </w:r>
      <w:r>
        <w:rPr>
          <w:rFonts w:hint="eastAsia" w:ascii="仿宋" w:hAnsi="仿宋" w:eastAsia="仿宋" w:cs="仿宋"/>
          <w:highlight w:val="none"/>
        </w:rPr>
        <w:t>毁坏</w:t>
      </w:r>
      <w:r>
        <w:rPr>
          <w:rFonts w:hint="eastAsia" w:ascii="仿宋" w:hAnsi="仿宋" w:eastAsia="仿宋" w:cs="仿宋"/>
          <w:highlight w:val="none"/>
          <w:lang w:val="en-US" w:eastAsia="zh-CN"/>
        </w:rPr>
        <w:t>60m，损毁率10.32%；润石公司</w:t>
      </w:r>
      <w:r>
        <w:rPr>
          <w:rFonts w:hint="eastAsia" w:ascii="仿宋" w:hAnsi="仿宋" w:eastAsia="仿宋" w:cs="仿宋"/>
          <w:color w:val="000000" w:themeColor="text1"/>
          <w:sz w:val="32"/>
          <w:szCs w:val="32"/>
          <w:highlight w:val="none"/>
          <w14:textFill>
            <w14:solidFill>
              <w14:schemeClr w14:val="tx1"/>
            </w14:solidFill>
          </w14:textFill>
        </w:rPr>
        <w:t>溪流区蓄水边坡毁坏230m</w:t>
      </w:r>
      <w:r>
        <w:rPr>
          <w:rFonts w:hint="eastAsia" w:ascii="仿宋" w:hAnsi="仿宋" w:eastAsia="仿宋" w:cs="仿宋"/>
          <w:color w:val="000000" w:themeColor="text1"/>
          <w:sz w:val="32"/>
          <w:szCs w:val="32"/>
          <w:highlight w:val="none"/>
          <w:lang w:eastAsia="zh-CN"/>
          <w14:textFill>
            <w14:solidFill>
              <w14:schemeClr w14:val="tx1"/>
            </w14:solidFill>
          </w14:textFill>
        </w:rPr>
        <w:t>，损毁率</w:t>
      </w:r>
      <w:r>
        <w:rPr>
          <w:rFonts w:hint="eastAsia" w:ascii="仿宋" w:hAnsi="仿宋" w:eastAsia="仿宋" w:cs="仿宋"/>
          <w:color w:val="000000" w:themeColor="text1"/>
          <w:sz w:val="32"/>
          <w:szCs w:val="32"/>
          <w:highlight w:val="none"/>
          <w:lang w:val="en-US" w:eastAsia="zh-CN"/>
          <w14:textFill>
            <w14:solidFill>
              <w14:schemeClr w14:val="tx1"/>
            </w14:solidFill>
          </w14:textFill>
        </w:rPr>
        <w:t>3.92%；</w:t>
      </w:r>
      <w:r>
        <w:rPr>
          <w:rFonts w:hint="eastAsia" w:ascii="仿宋" w:hAnsi="仿宋" w:eastAsia="仿宋" w:cs="仿宋"/>
          <w:color w:val="000000" w:themeColor="text1"/>
          <w:sz w:val="32"/>
          <w:szCs w:val="32"/>
          <w:highlight w:val="none"/>
          <w:lang w:eastAsia="zh-CN"/>
          <w14:textFill>
            <w14:solidFill>
              <w14:schemeClr w14:val="tx1"/>
            </w14:solidFill>
          </w14:textFill>
        </w:rPr>
        <w:t>云际公司</w:t>
      </w:r>
      <w:r>
        <w:rPr>
          <w:rFonts w:hint="eastAsia" w:ascii="仿宋" w:hAnsi="仿宋" w:eastAsia="仿宋" w:cs="仿宋"/>
          <w:highlight w:val="none"/>
        </w:rPr>
        <w:t>溪流区蓄水边坡毁坏</w:t>
      </w:r>
      <w:r>
        <w:rPr>
          <w:rFonts w:hint="eastAsia" w:ascii="仿宋" w:hAnsi="仿宋" w:eastAsia="仿宋" w:cs="仿宋"/>
          <w:highlight w:val="none"/>
          <w:lang w:val="en-US" w:eastAsia="zh-CN"/>
        </w:rPr>
        <w:t>112</w:t>
      </w:r>
      <w:r>
        <w:rPr>
          <w:rFonts w:hint="eastAsia" w:ascii="仿宋" w:hAnsi="仿宋" w:eastAsia="仿宋" w:cs="仿宋"/>
          <w:highlight w:val="none"/>
        </w:rPr>
        <w:t>m</w:t>
      </w:r>
      <w:r>
        <w:rPr>
          <w:rFonts w:hint="eastAsia" w:ascii="仿宋" w:hAnsi="仿宋" w:eastAsia="仿宋" w:cs="仿宋"/>
          <w:highlight w:val="none"/>
          <w:lang w:eastAsia="zh-CN"/>
        </w:rPr>
        <w:t>，损毁率</w:t>
      </w:r>
      <w:r>
        <w:rPr>
          <w:rFonts w:hint="eastAsia" w:ascii="仿宋" w:hAnsi="仿宋" w:eastAsia="仿宋" w:cs="仿宋"/>
          <w:highlight w:val="none"/>
          <w:lang w:val="en-US" w:eastAsia="zh-CN"/>
        </w:rPr>
        <w:t>5.99%</w:t>
      </w:r>
      <w:r>
        <w:rPr>
          <w:rFonts w:hint="eastAsia" w:ascii="仿宋" w:hAnsi="仿宋" w:eastAsia="仿宋" w:cs="仿宋"/>
          <w:highlight w:val="none"/>
          <w:lang w:eastAsia="zh-CN"/>
        </w:rPr>
        <w:t>。</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default" w:ascii="仿宋" w:hAnsi="仿宋" w:eastAsia="仿宋" w:cs="仿宋"/>
          <w:highlight w:val="none"/>
          <w:lang w:val="en-US" w:eastAsia="zh-CN"/>
        </w:rPr>
      </w:pPr>
      <w:r>
        <w:rPr>
          <w:rFonts w:hint="eastAsia" w:ascii="仿宋" w:hAnsi="仿宋" w:eastAsia="仿宋" w:cs="仿宋"/>
          <w:highlight w:val="none"/>
          <w:lang w:val="en-US" w:eastAsia="zh-CN"/>
        </w:rPr>
        <w:t>b.文体、旅游、交通设施服务供给及利用率，分值8分，得分5.28分</w:t>
      </w:r>
    </w:p>
    <w:p>
      <w:pPr>
        <w:pStyle w:val="5"/>
        <w:keepNext w:val="0"/>
        <w:keepLines w:val="0"/>
        <w:pageBreakBefore w:val="0"/>
        <w:widowControl w:val="0"/>
        <w:kinsoku/>
        <w:wordWrap/>
        <w:overflowPunct/>
        <w:topLinePunct w:val="0"/>
        <w:autoSpaceDE w:val="0"/>
        <w:autoSpaceDN w:val="0"/>
        <w:bidi w:val="0"/>
        <w:adjustRightInd/>
        <w:snapToGrid/>
        <w:spacing w:line="560" w:lineRule="exact"/>
        <w:ind w:left="0" w:leftChars="0" w:firstLine="640" w:firstLineChars="20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val="en-US" w:eastAsia="zh-CN"/>
        </w:rPr>
        <w:t>从评价组现场核查情况看，项目建设3个游园，分别为奥体园、翠廉园和畅廉园；完成体育场馆51个，其中篮球场28个，足球场8个，网球场12个，羽毛球场3个，新增交通道路33.78公里，停车位4000余个，提供服务点43个，卫生间44个，为附近居民生活、锻炼、出行、游玩提供了便利。但两个项目公司停车位、照明灯建设完成情况较设计值有一定差距，均未达50%。交通道路、服务点及厕所供给完成情况基本达到设计要求。</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eastAsia" w:ascii="仿宋" w:hAnsi="仿宋" w:eastAsia="仿宋" w:cs="仿宋"/>
          <w:highlight w:val="none"/>
          <w:lang w:val="en-US" w:eastAsia="zh-CN"/>
        </w:rPr>
      </w:pPr>
      <w:r>
        <w:rPr>
          <w:rFonts w:hint="eastAsia" w:ascii="仿宋" w:hAnsi="仿宋" w:eastAsia="仿宋" w:cs="仿宋"/>
          <w:highlight w:val="none"/>
          <w:lang w:val="en-US" w:eastAsia="zh-CN"/>
        </w:rPr>
        <w:t>（3）生态效益，分值15分，得分14.81分。</w:t>
      </w:r>
    </w:p>
    <w:p>
      <w:pPr>
        <w:pStyle w:val="3"/>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仿宋" w:hAnsi="仿宋" w:eastAsia="仿宋" w:cs="Times New Roman"/>
          <w:color w:val="000000" w:themeColor="text1"/>
          <w:sz w:val="32"/>
          <w:szCs w:val="32"/>
          <w:highlight w:val="none"/>
          <w:lang w:val="en-US" w:eastAsia="zh-CN"/>
          <w14:textFill>
            <w14:solidFill>
              <w14:schemeClr w14:val="tx1"/>
            </w14:solidFill>
          </w14:textFill>
        </w:rPr>
      </w:pPr>
      <w:r>
        <w:rPr>
          <w:rFonts w:hint="eastAsia" w:ascii="仿宋" w:hAnsi="仿宋" w:eastAsia="仿宋" w:cs="Times New Roman"/>
          <w:color w:val="000000" w:themeColor="text1"/>
          <w:sz w:val="32"/>
          <w:szCs w:val="32"/>
          <w:highlight w:val="none"/>
          <w:lang w:val="en-US" w:eastAsia="zh-CN"/>
          <w14:textFill>
            <w14:solidFill>
              <w14:schemeClr w14:val="tx1"/>
            </w14:solidFill>
          </w14:textFill>
        </w:rPr>
        <w:t>本项目生态效益</w:t>
      </w:r>
      <w:r>
        <w:rPr>
          <w:rFonts w:hint="eastAsia" w:cs="Times New Roman"/>
          <w:color w:val="000000" w:themeColor="text1"/>
          <w:sz w:val="32"/>
          <w:szCs w:val="32"/>
          <w:highlight w:val="none"/>
          <w:lang w:val="en-US" w:eastAsia="zh-CN"/>
          <w14:textFill>
            <w14:solidFill>
              <w14:schemeClr w14:val="tx1"/>
            </w14:solidFill>
          </w14:textFill>
        </w:rPr>
        <w:t>目标完成较好，改变了滹沱河过去主槽干涸、沙化严重、生态退化的状况，完成生态绿化近3000公顷，治理河道约20公里、增加水面面积近500公顷，年补充地下水量可达40万吨，地下水位较2018年平均回升1.755米。</w:t>
      </w:r>
      <w:r>
        <w:rPr>
          <w:rFonts w:hint="eastAsia" w:ascii="仿宋" w:hAnsi="仿宋" w:eastAsia="仿宋" w:cs="Times New Roman"/>
          <w:color w:val="000000" w:themeColor="text1"/>
          <w:sz w:val="32"/>
          <w:szCs w:val="32"/>
          <w:highlight w:val="none"/>
          <w:lang w:val="en-US" w:eastAsia="zh-CN"/>
          <w14:textFill>
            <w14:solidFill>
              <w14:schemeClr w14:val="tx1"/>
            </w14:solidFill>
          </w14:textFill>
        </w:rPr>
        <w:t>河道、水面及两岸绿化的生态修复功能基本实现，</w:t>
      </w:r>
      <w:r>
        <w:rPr>
          <w:rFonts w:hint="eastAsia" w:cs="Times New Roman"/>
          <w:color w:val="000000" w:themeColor="text1"/>
          <w:sz w:val="32"/>
          <w:szCs w:val="32"/>
          <w:highlight w:val="none"/>
          <w:lang w:val="en-US" w:eastAsia="zh-CN"/>
          <w14:textFill>
            <w14:solidFill>
              <w14:schemeClr w14:val="tx1"/>
            </w14:solidFill>
          </w14:textFill>
        </w:rPr>
        <w:t>对防治沙尘、改善大气环境发挥了积极作用，</w:t>
      </w:r>
      <w:r>
        <w:rPr>
          <w:rFonts w:hint="eastAsia" w:ascii="仿宋" w:hAnsi="仿宋" w:eastAsia="仿宋" w:cs="Times New Roman"/>
          <w:color w:val="000000" w:themeColor="text1"/>
          <w:sz w:val="32"/>
          <w:szCs w:val="32"/>
          <w:highlight w:val="none"/>
          <w:lang w:val="en-US" w:eastAsia="zh-CN"/>
          <w14:textFill>
            <w14:solidFill>
              <w14:schemeClr w14:val="tx1"/>
            </w14:solidFill>
          </w14:textFill>
        </w:rPr>
        <w:t>生态环境整体改善。</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rFonts w:hint="default" w:ascii="仿宋" w:hAnsi="仿宋" w:eastAsia="仿宋" w:cs="仿宋"/>
          <w:b/>
          <w:bCs w:val="0"/>
          <w:sz w:val="32"/>
          <w:highlight w:val="none"/>
          <w:lang w:val="en-US" w:eastAsia="zh-CN" w:bidi="ar-SA"/>
        </w:rPr>
      </w:pPr>
      <w:r>
        <w:rPr>
          <w:rFonts w:hint="eastAsia" w:ascii="仿宋" w:hAnsi="仿宋" w:eastAsia="仿宋" w:cs="仿宋"/>
          <w:b/>
          <w:bCs w:val="0"/>
          <w:sz w:val="32"/>
          <w:highlight w:val="none"/>
          <w:lang w:val="en-US" w:eastAsia="zh-CN" w:bidi="ar-SA"/>
        </w:rPr>
        <w:t>3.公众满意度情况分析，分值10分，得分9.75分</w:t>
      </w:r>
    </w:p>
    <w:p>
      <w:pPr>
        <w:pStyle w:val="3"/>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default" w:cs="Times New Roman"/>
          <w:color w:val="000000" w:themeColor="text1"/>
          <w:sz w:val="32"/>
          <w:szCs w:val="32"/>
          <w:highlight w:val="none"/>
          <w:lang w:val="en-US" w:eastAsia="zh-CN"/>
          <w14:textFill>
            <w14:solidFill>
              <w14:schemeClr w14:val="tx1"/>
            </w14:solidFill>
          </w14:textFill>
        </w:rPr>
      </w:pPr>
      <w:r>
        <w:rPr>
          <w:rFonts w:hint="eastAsia" w:cs="Times New Roman"/>
          <w:color w:val="000000" w:themeColor="text1"/>
          <w:sz w:val="32"/>
          <w:szCs w:val="32"/>
          <w:highlight w:val="none"/>
          <w:lang w:eastAsia="zh-CN"/>
          <w14:textFill>
            <w14:solidFill>
              <w14:schemeClr w14:val="tx1"/>
            </w14:solidFill>
          </w14:textFill>
        </w:rPr>
        <w:t>润石公司服务区域</w:t>
      </w:r>
      <w:r>
        <w:rPr>
          <w:rFonts w:hint="eastAsia" w:ascii="仿宋" w:hAnsi="仿宋" w:eastAsia="仿宋" w:cs="Times New Roman"/>
          <w:color w:val="000000" w:themeColor="text1"/>
          <w:sz w:val="32"/>
          <w:szCs w:val="32"/>
          <w:highlight w:val="none"/>
          <w14:textFill>
            <w14:solidFill>
              <w14:schemeClr w14:val="tx1"/>
            </w14:solidFill>
          </w14:textFill>
        </w:rPr>
        <w:t>水利局</w:t>
      </w:r>
      <w:r>
        <w:rPr>
          <w:rFonts w:hint="eastAsia" w:cs="Times New Roman"/>
          <w:color w:val="000000" w:themeColor="text1"/>
          <w:sz w:val="32"/>
          <w:szCs w:val="32"/>
          <w:highlight w:val="none"/>
          <w:lang w:eastAsia="zh-CN"/>
          <w14:textFill>
            <w14:solidFill>
              <w14:schemeClr w14:val="tx1"/>
            </w14:solidFill>
          </w14:textFill>
        </w:rPr>
        <w:t>四次</w:t>
      </w:r>
      <w:r>
        <w:rPr>
          <w:rFonts w:hint="eastAsia" w:ascii="仿宋" w:hAnsi="仿宋" w:eastAsia="仿宋" w:cs="Times New Roman"/>
          <w:color w:val="000000" w:themeColor="text1"/>
          <w:sz w:val="32"/>
          <w:szCs w:val="32"/>
          <w:highlight w:val="none"/>
          <w14:textFill>
            <w14:solidFill>
              <w14:schemeClr w14:val="tx1"/>
            </w14:solidFill>
          </w14:textFill>
        </w:rPr>
        <w:t>绩效考核共调查201人，其中非常满意140人，满意49人，基本满意12人</w:t>
      </w:r>
      <w:r>
        <w:rPr>
          <w:rFonts w:hint="eastAsia" w:cs="Times New Roman"/>
          <w:color w:val="000000" w:themeColor="text1"/>
          <w:sz w:val="32"/>
          <w:szCs w:val="32"/>
          <w:highlight w:val="none"/>
          <w:lang w:eastAsia="zh-CN"/>
          <w14:textFill>
            <w14:solidFill>
              <w14:schemeClr w14:val="tx1"/>
            </w14:solidFill>
          </w14:textFill>
        </w:rPr>
        <w:t>，满意率</w:t>
      </w:r>
      <w:r>
        <w:rPr>
          <w:rFonts w:hint="eastAsia" w:cs="Times New Roman"/>
          <w:color w:val="000000" w:themeColor="text1"/>
          <w:sz w:val="32"/>
          <w:szCs w:val="32"/>
          <w:highlight w:val="none"/>
          <w:lang w:val="en-US" w:eastAsia="zh-CN"/>
          <w14:textFill>
            <w14:solidFill>
              <w14:schemeClr w14:val="tx1"/>
            </w14:solidFill>
          </w14:textFill>
        </w:rPr>
        <w:t>100%</w:t>
      </w:r>
      <w:r>
        <w:rPr>
          <w:rFonts w:hint="eastAsia" w:cs="Times New Roman"/>
          <w:color w:val="000000" w:themeColor="text1"/>
          <w:sz w:val="32"/>
          <w:szCs w:val="32"/>
          <w:highlight w:val="none"/>
          <w:lang w:eastAsia="zh-CN"/>
          <w14:textFill>
            <w14:solidFill>
              <w14:schemeClr w14:val="tx1"/>
            </w14:solidFill>
          </w14:textFill>
        </w:rPr>
        <w:t>；</w:t>
      </w:r>
      <w:r>
        <w:rPr>
          <w:rFonts w:hint="eastAsia" w:ascii="仿宋" w:hAnsi="仿宋" w:eastAsia="仿宋" w:cs="Times New Roman"/>
          <w:color w:val="000000" w:themeColor="text1"/>
          <w:sz w:val="32"/>
          <w:szCs w:val="32"/>
          <w:highlight w:val="none"/>
          <w14:textFill>
            <w14:solidFill>
              <w14:schemeClr w14:val="tx1"/>
            </w14:solidFill>
          </w14:textFill>
        </w:rPr>
        <w:t>评价组共调查101人，其中非常满意4人，满意65人，基本满意27人，不满意5人</w:t>
      </w:r>
      <w:r>
        <w:rPr>
          <w:rFonts w:hint="eastAsia" w:cs="Times New Roman"/>
          <w:color w:val="000000" w:themeColor="text1"/>
          <w:sz w:val="32"/>
          <w:szCs w:val="32"/>
          <w:highlight w:val="none"/>
          <w:lang w:eastAsia="zh-CN"/>
          <w14:textFill>
            <w14:solidFill>
              <w14:schemeClr w14:val="tx1"/>
            </w14:solidFill>
          </w14:textFill>
        </w:rPr>
        <w:t>，满意率</w:t>
      </w:r>
      <w:r>
        <w:rPr>
          <w:rFonts w:hint="eastAsia" w:cs="Times New Roman"/>
          <w:color w:val="000000" w:themeColor="text1"/>
          <w:sz w:val="32"/>
          <w:szCs w:val="32"/>
          <w:highlight w:val="none"/>
          <w:lang w:val="en-US" w:eastAsia="zh-CN"/>
          <w14:textFill>
            <w14:solidFill>
              <w14:schemeClr w14:val="tx1"/>
            </w14:solidFill>
          </w14:textFill>
        </w:rPr>
        <w:t>95.05%</w:t>
      </w:r>
      <w:r>
        <w:rPr>
          <w:rFonts w:hint="eastAsia" w:cs="Times New Roman"/>
          <w:color w:val="000000" w:themeColor="text1"/>
          <w:sz w:val="32"/>
          <w:szCs w:val="32"/>
          <w:highlight w:val="none"/>
          <w:lang w:eastAsia="zh-CN"/>
          <w14:textFill>
            <w14:solidFill>
              <w14:schemeClr w14:val="tx1"/>
            </w14:solidFill>
          </w14:textFill>
        </w:rPr>
        <w:t>；共调查</w:t>
      </w:r>
      <w:r>
        <w:rPr>
          <w:rFonts w:hint="eastAsia" w:cs="Times New Roman"/>
          <w:color w:val="000000" w:themeColor="text1"/>
          <w:sz w:val="32"/>
          <w:szCs w:val="32"/>
          <w:highlight w:val="none"/>
          <w:lang w:val="en-US" w:eastAsia="zh-CN"/>
          <w14:textFill>
            <w14:solidFill>
              <w14:schemeClr w14:val="tx1"/>
            </w14:solidFill>
          </w14:textFill>
        </w:rPr>
        <w:t>302人，平均满意率97.52%。</w:t>
      </w:r>
    </w:p>
    <w:p>
      <w:pPr>
        <w:pStyle w:val="3"/>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sz w:val="32"/>
          <w:szCs w:val="32"/>
          <w:highlight w:val="none"/>
          <w:lang w:val="en-US"/>
        </w:rPr>
      </w:pPr>
      <w:r>
        <w:rPr>
          <w:rFonts w:hint="eastAsia" w:cs="Times New Roman"/>
          <w:color w:val="000000" w:themeColor="text1"/>
          <w:sz w:val="32"/>
          <w:szCs w:val="32"/>
          <w:highlight w:val="none"/>
          <w:lang w:eastAsia="zh-CN"/>
          <w14:textFill>
            <w14:solidFill>
              <w14:schemeClr w14:val="tx1"/>
            </w14:solidFill>
          </w14:textFill>
        </w:rPr>
        <w:t>云际公司服务区域水利局四次绩效考核共调查</w:t>
      </w:r>
      <w:r>
        <w:rPr>
          <w:rFonts w:hint="eastAsia" w:cs="Times New Roman"/>
          <w:color w:val="000000" w:themeColor="text1"/>
          <w:sz w:val="32"/>
          <w:szCs w:val="32"/>
          <w:highlight w:val="none"/>
          <w:lang w:val="en-US" w:eastAsia="zh-CN"/>
          <w14:textFill>
            <w14:solidFill>
              <w14:schemeClr w14:val="tx1"/>
            </w14:solidFill>
          </w14:textFill>
        </w:rPr>
        <w:t>250人，其中非常满意143人，满意78人，基本满意27人，不满意2人，满意率99.2%；</w:t>
      </w:r>
      <w:r>
        <w:rPr>
          <w:rFonts w:hint="eastAsia" w:cs="Times New Roman"/>
          <w:color w:val="000000" w:themeColor="text1"/>
          <w:sz w:val="32"/>
          <w:szCs w:val="32"/>
          <w:highlight w:val="none"/>
          <w:lang w:eastAsia="zh-CN"/>
          <w14:textFill>
            <w14:solidFill>
              <w14:schemeClr w14:val="tx1"/>
            </w14:solidFill>
          </w14:textFill>
        </w:rPr>
        <w:t>评价组共调查</w:t>
      </w:r>
      <w:r>
        <w:rPr>
          <w:rFonts w:hint="eastAsia" w:cs="Times New Roman"/>
          <w:color w:val="000000" w:themeColor="text1"/>
          <w:sz w:val="32"/>
          <w:szCs w:val="32"/>
          <w:highlight w:val="none"/>
          <w:lang w:val="en-US" w:eastAsia="zh-CN"/>
          <w14:textFill>
            <w14:solidFill>
              <w14:schemeClr w14:val="tx1"/>
            </w14:solidFill>
          </w14:textFill>
        </w:rPr>
        <w:t>102人，其中非常满意42人，满意50人，基本满意6人，不满意4人，满意率96.08%；</w:t>
      </w:r>
      <w:r>
        <w:rPr>
          <w:rFonts w:hint="eastAsia"/>
          <w:sz w:val="32"/>
          <w:szCs w:val="32"/>
          <w:highlight w:val="none"/>
          <w:lang w:val="en-US" w:eastAsia="zh-CN"/>
        </w:rPr>
        <w:t>共调查352人，平均总满意率97.64</w:t>
      </w:r>
      <w:r>
        <w:rPr>
          <w:rFonts w:hint="eastAsia"/>
          <w:sz w:val="32"/>
          <w:szCs w:val="32"/>
          <w:highlight w:val="none"/>
          <w:lang w:val="en-US"/>
        </w:rPr>
        <w:t>%。</w:t>
      </w:r>
    </w:p>
    <w:p>
      <w:pPr>
        <w:pStyle w:val="3"/>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cs="Times New Roman"/>
          <w:color w:val="000000" w:themeColor="text1"/>
          <w:sz w:val="32"/>
          <w:szCs w:val="32"/>
          <w:highlight w:val="none"/>
          <w:lang w:val="en-US" w:eastAsia="zh-CN"/>
          <w14:textFill>
            <w14:solidFill>
              <w14:schemeClr w14:val="tx1"/>
            </w14:solidFill>
          </w14:textFill>
        </w:rPr>
      </w:pPr>
      <w:r>
        <w:rPr>
          <w:rFonts w:hint="eastAsia" w:cs="Times New Roman"/>
          <w:color w:val="000000" w:themeColor="text1"/>
          <w:sz w:val="32"/>
          <w:szCs w:val="32"/>
          <w:highlight w:val="none"/>
          <w:lang w:val="en-US" w:eastAsia="zh-CN"/>
          <w14:textFill>
            <w14:solidFill>
              <w14:schemeClr w14:val="tx1"/>
            </w14:solidFill>
          </w14:textFill>
        </w:rPr>
        <w:t>游客及附近居民对于本项目总体上满意度较高，游客对于项目建设成果及维护成果均表示满意，认为项目增加了锻炼、游玩场所，丰富了群众的娱乐生活；维护效果良好，能够做到水域洁净、绿植优美、管理有序。反映的意见和建议主要有：厕所数量较少且位置不合理，营业的售卖亭和服务点较少，停车位较少，座椅、垃圾桶等设施较少等；希望增加指示牌、临水防护设施等安全设施，增加避雨地、电动车充电桩等便民设施，增加运动器材、水上游玩、各类活动策划等娱乐项目，增加花卉或常绿植物等观赏项目。</w:t>
      </w:r>
    </w:p>
    <w:p>
      <w:pPr>
        <w:pStyle w:val="5"/>
        <w:keepNext w:val="0"/>
        <w:keepLines w:val="0"/>
        <w:pageBreakBefore w:val="0"/>
        <w:widowControl w:val="0"/>
        <w:kinsoku/>
        <w:wordWrap/>
        <w:overflowPunct/>
        <w:topLinePunct w:val="0"/>
        <w:autoSpaceDE w:val="0"/>
        <w:autoSpaceDN w:val="0"/>
        <w:bidi w:val="0"/>
        <w:adjustRightInd/>
        <w:snapToGrid/>
        <w:spacing w:line="560" w:lineRule="exact"/>
        <w:ind w:firstLine="640"/>
        <w:jc w:val="both"/>
        <w:textAlignment w:val="auto"/>
        <w:rPr>
          <w:highlight w:val="none"/>
        </w:rPr>
      </w:pPr>
      <w:r>
        <w:rPr>
          <w:rFonts w:hint="eastAsia"/>
          <w:highlight w:val="none"/>
        </w:rPr>
        <w:t>（四）评价结论</w:t>
      </w:r>
    </w:p>
    <w:p>
      <w:pPr>
        <w:keepNext w:val="0"/>
        <w:keepLines w:val="0"/>
        <w:pageBreakBefore w:val="0"/>
        <w:widowControl w:val="0"/>
        <w:kinsoku/>
        <w:wordWrap/>
        <w:overflowPunct/>
        <w:topLinePunct w:val="0"/>
        <w:autoSpaceDN w:val="0"/>
        <w:bidi w:val="0"/>
        <w:adjustRightInd/>
        <w:snapToGrid/>
        <w:spacing w:line="560" w:lineRule="exact"/>
        <w:ind w:firstLine="640"/>
        <w:jc w:val="both"/>
        <w:textAlignment w:val="auto"/>
        <w:rPr>
          <w:rFonts w:hint="eastAsia"/>
          <w:highlight w:val="none"/>
          <w:lang w:val="en-US" w:eastAsia="zh-CN"/>
        </w:rPr>
      </w:pPr>
      <w:r>
        <w:rPr>
          <w:rFonts w:hint="eastAsia"/>
          <w:highlight w:val="none"/>
          <w:lang w:val="en-US" w:eastAsia="zh-CN"/>
        </w:rPr>
        <w:t>根据以上综合评价分析和评分标准，石家庄市滹沱河生态修复工程PPP项目专项资金绩效评价综合得分77.29分，评价等级为“良好”。</w:t>
      </w:r>
    </w:p>
    <w:p>
      <w:pPr>
        <w:keepNext w:val="0"/>
        <w:keepLines w:val="0"/>
        <w:pageBreakBefore w:val="0"/>
        <w:widowControl w:val="0"/>
        <w:kinsoku/>
        <w:wordWrap/>
        <w:overflowPunct/>
        <w:topLinePunct w:val="0"/>
        <w:autoSpaceDN w:val="0"/>
        <w:bidi w:val="0"/>
        <w:adjustRightInd/>
        <w:snapToGrid/>
        <w:spacing w:line="560" w:lineRule="exact"/>
        <w:jc w:val="both"/>
        <w:textAlignment w:val="auto"/>
        <w:rPr>
          <w:rFonts w:hint="eastAsia" w:ascii="仿宋" w:hAnsi="仿宋" w:eastAsia="仿宋" w:cs="仿宋"/>
          <w:color w:val="0000FF"/>
          <w:sz w:val="32"/>
          <w:szCs w:val="32"/>
          <w:highlight w:val="yellow"/>
          <w:lang w:eastAsia="zh-CN"/>
        </w:rPr>
      </w:pPr>
      <w:r>
        <w:rPr>
          <w:rFonts w:hint="eastAsia"/>
          <w:color w:val="auto"/>
          <w:highlight w:val="none"/>
          <w:lang w:val="en-US" w:eastAsia="zh-CN"/>
        </w:rPr>
        <w:t>滹沱河既是我市地理和历史文化的母亲河，也是河北省骨干行洪河道。</w:t>
      </w:r>
      <w:r>
        <w:rPr>
          <w:rFonts w:hint="eastAsia"/>
          <w:highlight w:val="none"/>
          <w:lang w:val="en-US" w:eastAsia="zh-CN"/>
        </w:rPr>
        <w:t>生态修复工程实施前，</w:t>
      </w:r>
      <w:r>
        <w:rPr>
          <w:rFonts w:hint="eastAsia"/>
          <w:color w:val="auto"/>
          <w:highlight w:val="none"/>
          <w:lang w:val="en-US" w:eastAsia="zh-CN"/>
        </w:rPr>
        <w:t>河道断流，</w:t>
      </w:r>
      <w:r>
        <w:rPr>
          <w:rFonts w:hint="eastAsia" w:ascii="仿宋" w:hAnsi="仿宋" w:eastAsia="仿宋" w:cs="仿宋"/>
          <w:sz w:val="32"/>
          <w:szCs w:val="32"/>
          <w:lang w:val="en-US" w:eastAsia="zh-CN"/>
        </w:rPr>
        <w:t>荒</w:t>
      </w:r>
      <w:r>
        <w:rPr>
          <w:rFonts w:hint="eastAsia" w:ascii="仿宋" w:hAnsi="仿宋" w:eastAsia="仿宋" w:cs="仿宋"/>
          <w:sz w:val="32"/>
          <w:szCs w:val="32"/>
        </w:rPr>
        <w:t>沙裸露</w:t>
      </w:r>
      <w:r>
        <w:rPr>
          <w:rFonts w:hint="eastAsia" w:cs="仿宋"/>
          <w:sz w:val="32"/>
          <w:szCs w:val="32"/>
          <w:lang w:eastAsia="zh-CN"/>
        </w:rPr>
        <w:t>，</w:t>
      </w:r>
      <w:r>
        <w:rPr>
          <w:rFonts w:hint="eastAsia"/>
          <w:color w:val="auto"/>
          <w:highlight w:val="none"/>
          <w:lang w:val="en-US" w:eastAsia="zh-CN"/>
        </w:rPr>
        <w:t>到处沙坑，垃圾污水遍地，主河道破坏损毁严重，防洪和生态功能严重退化。滹沱河生态修复工程PPP项目的实施后，从总体评价情况看，经过两年的实际运营，项目运行整体上基本正常，各项设施、功能、管理制度逐步完善。初步实现整体恢复河道生态、提高防洪能力等目标。</w:t>
      </w:r>
      <w:r>
        <w:rPr>
          <w:rFonts w:hint="eastAsia" w:ascii="仿宋" w:hAnsi="仿宋" w:eastAsia="仿宋" w:cs="仿宋"/>
          <w:sz w:val="32"/>
          <w:szCs w:val="32"/>
          <w:lang w:val="en-US" w:eastAsia="zh-CN"/>
        </w:rPr>
        <w:t>一是破解了资金制约。吸引社会资本投资13.47亿元、项目公司融资45.22亿元，保证了工程建设顺利完成。二是提升了防洪能力。整治恢复河道20.09公里，通过扩挖疏浚、岸坡防护等措施，主河槽全线达到10年一遇防洪标准，保障河道行洪能力和两岸防洪安全。三是恢复了河道生态功能。增加生态绿化面积2701.57公顷，增加水面496.98公顷，湿地63.89公顷，对补充地下水、提升空气质量效果明显。四是美化了景观环境，</w:t>
      </w:r>
      <w:r>
        <w:rPr>
          <w:rFonts w:hint="eastAsia" w:ascii="仿宋" w:hAnsi="仿宋" w:eastAsia="仿宋" w:cs="仿宋"/>
          <w:sz w:val="32"/>
          <w:szCs w:val="32"/>
        </w:rPr>
        <w:t>扩展</w:t>
      </w:r>
      <w:r>
        <w:rPr>
          <w:rFonts w:hint="eastAsia" w:ascii="仿宋" w:hAnsi="仿宋" w:eastAsia="仿宋" w:cs="仿宋"/>
          <w:sz w:val="32"/>
          <w:szCs w:val="32"/>
          <w:lang w:eastAsia="zh-CN"/>
        </w:rPr>
        <w:t>了</w:t>
      </w:r>
      <w:r>
        <w:rPr>
          <w:rFonts w:hint="eastAsia" w:ascii="仿宋" w:hAnsi="仿宋" w:eastAsia="仿宋" w:cs="仿宋"/>
          <w:sz w:val="32"/>
          <w:szCs w:val="32"/>
        </w:rPr>
        <w:t>生态休闲</w:t>
      </w:r>
      <w:r>
        <w:rPr>
          <w:rFonts w:hint="eastAsia" w:ascii="仿宋" w:hAnsi="仿宋" w:eastAsia="仿宋" w:cs="仿宋"/>
          <w:sz w:val="32"/>
          <w:szCs w:val="32"/>
          <w:lang w:eastAsia="zh-CN"/>
        </w:rPr>
        <w:t>、</w:t>
      </w:r>
      <w:r>
        <w:rPr>
          <w:rFonts w:hint="eastAsia" w:cs="仿宋"/>
          <w:sz w:val="32"/>
          <w:szCs w:val="32"/>
          <w:lang w:eastAsia="zh-CN"/>
        </w:rPr>
        <w:t>旅游</w:t>
      </w:r>
      <w:r>
        <w:rPr>
          <w:rFonts w:hint="eastAsia" w:ascii="仿宋" w:hAnsi="仿宋" w:eastAsia="仿宋" w:cs="仿宋"/>
          <w:sz w:val="32"/>
          <w:szCs w:val="32"/>
        </w:rPr>
        <w:t>空间</w:t>
      </w:r>
      <w:r>
        <w:rPr>
          <w:rFonts w:hint="eastAsia" w:ascii="仿宋" w:hAnsi="仿宋" w:eastAsia="仿宋" w:cs="仿宋"/>
          <w:color w:val="auto"/>
          <w:sz w:val="32"/>
          <w:szCs w:val="32"/>
          <w:lang w:val="en-US" w:eastAsia="zh-CN"/>
        </w:rPr>
        <w:t>。</w:t>
      </w:r>
      <w:r>
        <w:rPr>
          <w:rFonts w:hint="eastAsia" w:ascii="仿宋" w:hAnsi="仿宋" w:eastAsia="仿宋" w:cs="仿宋"/>
          <w:sz w:val="32"/>
          <w:szCs w:val="32"/>
          <w:lang w:val="en-US" w:eastAsia="zh-CN"/>
        </w:rPr>
        <w:t>初步形成了堤外林带、堤内绿植、</w:t>
      </w:r>
      <w:r>
        <w:rPr>
          <w:rFonts w:hint="eastAsia" w:ascii="仿宋" w:hAnsi="仿宋" w:eastAsia="仿宋" w:cs="仿宋"/>
          <w:color w:val="auto"/>
          <w:sz w:val="32"/>
          <w:szCs w:val="32"/>
          <w:lang w:val="en-US" w:eastAsia="zh-CN"/>
        </w:rPr>
        <w:t>乡野田园、溪流、湖面、湿地相互交织串联的</w:t>
      </w:r>
      <w:r>
        <w:rPr>
          <w:rFonts w:hint="eastAsia" w:ascii="仿宋" w:hAnsi="仿宋" w:eastAsia="仿宋" w:cs="仿宋"/>
          <w:sz w:val="32"/>
          <w:szCs w:val="32"/>
          <w:lang w:val="en-US" w:eastAsia="zh-CN"/>
        </w:rPr>
        <w:t>滹沱河特色景观带</w:t>
      </w:r>
      <w:r>
        <w:rPr>
          <w:rFonts w:hint="eastAsia" w:ascii="仿宋" w:hAnsi="仿宋" w:eastAsia="仿宋" w:cs="仿宋"/>
          <w:color w:val="auto"/>
          <w:sz w:val="32"/>
          <w:szCs w:val="32"/>
          <w:lang w:val="en-US" w:eastAsia="zh-CN"/>
        </w:rPr>
        <w:t>。建设两岸道路51.42公里，建设卫生间39个、驿站43个</w:t>
      </w:r>
      <w:r>
        <w:rPr>
          <w:rFonts w:hint="eastAsia" w:cs="仿宋"/>
          <w:color w:val="auto"/>
          <w:sz w:val="32"/>
          <w:szCs w:val="32"/>
          <w:lang w:val="en-US" w:eastAsia="zh-CN"/>
        </w:rPr>
        <w:t>、</w:t>
      </w:r>
      <w:r>
        <w:rPr>
          <w:rFonts w:hint="eastAsia" w:ascii="仿宋" w:hAnsi="仿宋" w:eastAsia="仿宋" w:cs="仿宋"/>
          <w:color w:val="auto"/>
          <w:sz w:val="32"/>
          <w:szCs w:val="32"/>
          <w:lang w:val="en-US" w:eastAsia="zh-CN"/>
        </w:rPr>
        <w:t>停车位4112个</w:t>
      </w:r>
      <w:r>
        <w:rPr>
          <w:rFonts w:hint="eastAsia" w:cs="仿宋"/>
          <w:color w:val="auto"/>
          <w:sz w:val="32"/>
          <w:szCs w:val="32"/>
          <w:lang w:val="en-US" w:eastAsia="zh-CN"/>
        </w:rPr>
        <w:t>。</w:t>
      </w:r>
      <w:r>
        <w:rPr>
          <w:rFonts w:hint="eastAsia" w:ascii="仿宋" w:hAnsi="仿宋" w:eastAsia="仿宋" w:cs="仿宋"/>
          <w:sz w:val="32"/>
          <w:szCs w:val="32"/>
          <w:lang w:eastAsia="zh-CN"/>
        </w:rPr>
        <w:t>湿地公园、天鹅湖沙滩、廉州湖、露营基地等</w:t>
      </w:r>
      <w:r>
        <w:rPr>
          <w:rFonts w:hint="eastAsia" w:ascii="仿宋" w:hAnsi="仿宋" w:eastAsia="仿宋" w:cs="仿宋"/>
          <w:sz w:val="32"/>
          <w:szCs w:val="32"/>
          <w:lang w:val="en-US" w:eastAsia="zh-CN"/>
        </w:rPr>
        <w:t>6处景点成为网红打卡地。廉州湖景区面积约5500亩，成为藁城区最大的公园和游园，丰富和提高了民众生活。</w:t>
      </w:r>
      <w:r>
        <w:rPr>
          <w:rFonts w:hint="eastAsia" w:ascii="仿宋" w:hAnsi="仿宋" w:eastAsia="仿宋" w:cs="仿宋"/>
          <w:color w:val="auto"/>
          <w:sz w:val="32"/>
          <w:szCs w:val="32"/>
          <w:highlight w:val="none"/>
          <w:lang w:val="en-US" w:eastAsia="zh-CN"/>
        </w:rPr>
        <w:t>五是提供了文体活动场地和设施。</w:t>
      </w:r>
      <w:r>
        <w:rPr>
          <w:rFonts w:hint="eastAsia" w:cs="仿宋"/>
          <w:color w:val="auto"/>
          <w:sz w:val="32"/>
          <w:szCs w:val="32"/>
          <w:highlight w:val="none"/>
          <w:lang w:val="en-US" w:eastAsia="zh-CN"/>
        </w:rPr>
        <w:t>建成奥体园、翠廉园、畅廉园共计3个园区，篮球场28个，足球场8个，网球场12个，羽毛球场3个，组织承办了足球比赛训练、文化夜市等文体活动，增加了城市公共运动场地。润石公司2021年接待活动、游客约20万人次，云际公司2021年接待活动、游客约50万人次，节假日最高客流量达1万多人次/日。满足了附近居民的健身需求，进一步吸引了我市市区及周边地区民众周末、节假日出游。</w:t>
      </w:r>
    </w:p>
    <w:p>
      <w:pPr>
        <w:keepNext w:val="0"/>
        <w:keepLines w:val="0"/>
        <w:pageBreakBefore w:val="0"/>
        <w:widowControl w:val="0"/>
        <w:numPr>
          <w:ilvl w:val="0"/>
          <w:numId w:val="0"/>
        </w:numPr>
        <w:kinsoku/>
        <w:wordWrap/>
        <w:overflowPunct/>
        <w:topLinePunct w:val="0"/>
        <w:autoSpaceDE/>
        <w:autoSpaceDN w:val="0"/>
        <w:bidi w:val="0"/>
        <w:adjustRightInd/>
        <w:snapToGrid/>
        <w:spacing w:line="560" w:lineRule="exact"/>
        <w:ind w:firstLine="640" w:firstLineChars="200"/>
        <w:jc w:val="both"/>
        <w:textAlignment w:val="auto"/>
        <w:rPr>
          <w:rFonts w:hint="eastAsia"/>
          <w:color w:val="auto"/>
          <w:highlight w:val="none"/>
          <w:lang w:val="en-US" w:eastAsia="zh-CN"/>
        </w:rPr>
      </w:pPr>
      <w:r>
        <w:rPr>
          <w:rFonts w:hint="eastAsia"/>
          <w:color w:val="auto"/>
          <w:highlight w:val="none"/>
          <w:lang w:val="en-US" w:eastAsia="zh-CN"/>
        </w:rPr>
        <w:t>但评价中也发现一些问题和不足，如项目协议不够完善合理；项目管护专业人员配备不足等。</w:t>
      </w:r>
    </w:p>
    <w:p>
      <w:pPr>
        <w:keepNext w:val="0"/>
        <w:keepLines w:val="0"/>
        <w:pageBreakBefore w:val="0"/>
        <w:widowControl w:val="0"/>
        <w:numPr>
          <w:ilvl w:val="0"/>
          <w:numId w:val="0"/>
        </w:numPr>
        <w:kinsoku/>
        <w:wordWrap/>
        <w:overflowPunct/>
        <w:topLinePunct w:val="0"/>
        <w:autoSpaceDE/>
        <w:autoSpaceDN w:val="0"/>
        <w:bidi w:val="0"/>
        <w:adjustRightInd/>
        <w:snapToGrid/>
        <w:spacing w:line="560" w:lineRule="exact"/>
        <w:ind w:firstLine="640" w:firstLineChars="200"/>
        <w:jc w:val="both"/>
        <w:textAlignment w:val="auto"/>
        <w:rPr>
          <w:rFonts w:hint="eastAsia" w:ascii="仿宋" w:hAnsi="仿宋" w:eastAsia="仿宋" w:cs="仿宋"/>
          <w:color w:val="auto"/>
          <w:highlight w:val="none"/>
          <w:lang w:val="en-US" w:eastAsia="zh-CN"/>
        </w:rPr>
      </w:pPr>
      <w:r>
        <w:rPr>
          <w:rFonts w:hint="eastAsia" w:ascii="黑体" w:hAnsi="黑体" w:eastAsia="黑体" w:cs="黑体"/>
          <w:b w:val="0"/>
          <w:bCs w:val="0"/>
          <w:color w:val="auto"/>
          <w:sz w:val="32"/>
          <w:szCs w:val="32"/>
          <w:highlight w:val="none"/>
          <w:lang w:val="en-US" w:eastAsia="zh-CN"/>
        </w:rPr>
        <w:t>三、财政监督和绩效评价发现的问题</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color w:val="auto"/>
          <w:highlight w:val="none"/>
          <w:lang w:val="en-US" w:eastAsia="zh-CN"/>
        </w:rPr>
      </w:pPr>
      <w:r>
        <w:rPr>
          <w:rFonts w:hint="eastAsia" w:ascii="楷体" w:hAnsi="楷体" w:eastAsia="楷体" w:cs="楷体"/>
          <w:b w:val="0"/>
          <w:bCs/>
          <w:color w:val="auto"/>
          <w:sz w:val="32"/>
          <w:szCs w:val="32"/>
          <w:highlight w:val="none"/>
          <w:lang w:val="en-US" w:eastAsia="zh-CN"/>
        </w:rPr>
        <w:t>（一）未按规定确认核算</w:t>
      </w:r>
      <w:r>
        <w:rPr>
          <w:rFonts w:hint="eastAsia" w:ascii="仿宋" w:hAnsi="仿宋" w:eastAsia="仿宋" w:cs="仿宋"/>
          <w:b w:val="0"/>
          <w:bCs/>
          <w:color w:val="auto"/>
          <w:sz w:val="32"/>
          <w:szCs w:val="32"/>
          <w:highlight w:val="none"/>
        </w:rPr>
        <w:t>PPP</w:t>
      </w:r>
      <w:r>
        <w:rPr>
          <w:rFonts w:hint="eastAsia" w:ascii="楷体" w:hAnsi="楷体" w:eastAsia="楷体" w:cs="楷体"/>
          <w:b w:val="0"/>
          <w:bCs/>
          <w:color w:val="auto"/>
          <w:sz w:val="32"/>
          <w:szCs w:val="32"/>
          <w:highlight w:val="none"/>
          <w:lang w:val="en-US" w:eastAsia="zh-CN"/>
        </w:rPr>
        <w:t>项目资产</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default"/>
          <w:color w:val="auto"/>
          <w:highlight w:val="none"/>
          <w:lang w:val="en-US" w:eastAsia="zh-CN"/>
        </w:rPr>
      </w:pPr>
      <w:r>
        <w:rPr>
          <w:rFonts w:hint="eastAsia"/>
          <w:color w:val="auto"/>
          <w:highlight w:val="none"/>
          <w:lang w:val="en-US" w:eastAsia="zh-CN"/>
        </w:rPr>
        <w:t>本项目除子项一（新建右堤工程）外，已于2020年5月29日完工验收，交付使用，实际完成投资</w:t>
      </w:r>
      <w:r>
        <w:rPr>
          <w:rFonts w:hint="eastAsia" w:cs="仿宋"/>
          <w:color w:val="auto"/>
          <w:kern w:val="2"/>
          <w:sz w:val="32"/>
          <w:szCs w:val="24"/>
          <w:highlight w:val="none"/>
          <w:lang w:val="en-US" w:eastAsia="zh-CN" w:bidi="ar-SA"/>
        </w:rPr>
        <w:t>634203.07万元（不含子项一）</w:t>
      </w:r>
      <w:r>
        <w:rPr>
          <w:rFonts w:hint="eastAsia"/>
          <w:color w:val="auto"/>
          <w:highlight w:val="none"/>
          <w:lang w:val="en-US" w:eastAsia="zh-CN"/>
        </w:rPr>
        <w:t>。2020年6月1日开始运营，截止2021年末已进入运营期一年半。市水利局作为市政府授权的项目实施单位和政府方代表，评价时尚未确认PPP项目资产。本次评价发现后，市水利局已按暂估值确认PPP项目资产673408.74万元，其中一标段426844.46万元，二标段246564.28万元。</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val="en-US" w:eastAsia="zh-CN"/>
        </w:rPr>
        <w:t>不符合《政府会计准则第10号——政府和社会资本合作项目合同》</w:t>
      </w:r>
      <w:r>
        <w:rPr>
          <w:rFonts w:hint="eastAsia" w:ascii="仿宋" w:hAnsi="仿宋" w:eastAsia="仿宋" w:cs="仿宋"/>
          <w:b w:val="0"/>
          <w:bCs/>
          <w:color w:val="auto"/>
          <w:sz w:val="32"/>
          <w:szCs w:val="32"/>
          <w:highlight w:val="none"/>
        </w:rPr>
        <w:t>第七条</w:t>
      </w:r>
      <w:r>
        <w:rPr>
          <w:rFonts w:hint="eastAsia" w:ascii="仿宋" w:hAnsi="仿宋" w:eastAsia="仿宋" w:cs="仿宋"/>
          <w:b w:val="0"/>
          <w:bCs/>
          <w:color w:val="auto"/>
          <w:sz w:val="32"/>
          <w:szCs w:val="32"/>
          <w:highlight w:val="none"/>
          <w:lang w:eastAsia="zh-CN"/>
        </w:rPr>
        <w:t>“</w:t>
      </w:r>
      <w:r>
        <w:rPr>
          <w:rFonts w:hint="eastAsia" w:ascii="仿宋" w:hAnsi="仿宋" w:eastAsia="仿宋" w:cs="仿宋"/>
          <w:b w:val="0"/>
          <w:bCs/>
          <w:color w:val="auto"/>
          <w:sz w:val="32"/>
          <w:szCs w:val="32"/>
          <w:highlight w:val="none"/>
        </w:rPr>
        <w:t>由社会资本方投资建造或从第三方购买形成的PPP项目资产，政府方应当在PPP项目资产验收合格交付使用时予以确认</w:t>
      </w:r>
      <w:r>
        <w:rPr>
          <w:rFonts w:hint="eastAsia" w:ascii="仿宋" w:hAnsi="仿宋" w:eastAsia="仿宋" w:cs="仿宋"/>
          <w:b w:val="0"/>
          <w:bCs/>
          <w:color w:val="auto"/>
          <w:sz w:val="32"/>
          <w:szCs w:val="32"/>
          <w:highlight w:val="none"/>
          <w:lang w:eastAsia="zh-CN"/>
        </w:rPr>
        <w:t>”，第十一条“</w:t>
      </w:r>
      <w:r>
        <w:rPr>
          <w:rFonts w:hint="eastAsia" w:ascii="仿宋" w:hAnsi="仿宋" w:eastAsia="仿宋" w:cs="仿宋"/>
          <w:color w:val="auto"/>
          <w:sz w:val="32"/>
          <w:szCs w:val="32"/>
          <w:highlight w:val="none"/>
        </w:rPr>
        <w:t>已交付使用但尚未办理竣工财务决算手续的PPP项目资产，应当按照估计价值入账，待办理竣工财务决算后再按照实际成本调整原来的暂估价值</w:t>
      </w:r>
      <w:r>
        <w:rPr>
          <w:rFonts w:hint="eastAsia" w:ascii="仿宋" w:hAnsi="仿宋" w:eastAsia="仿宋" w:cs="仿宋"/>
          <w:b w:val="0"/>
          <w:bCs/>
          <w:color w:val="auto"/>
          <w:sz w:val="32"/>
          <w:szCs w:val="32"/>
          <w:highlight w:val="none"/>
          <w:lang w:eastAsia="zh-CN"/>
        </w:rPr>
        <w:t>”，第二十四条“</w:t>
      </w:r>
      <w:r>
        <w:rPr>
          <w:rFonts w:hint="eastAsia" w:ascii="仿宋" w:hAnsi="仿宋" w:eastAsia="仿宋" w:cs="仿宋"/>
          <w:color w:val="auto"/>
          <w:sz w:val="32"/>
          <w:szCs w:val="32"/>
          <w:highlight w:val="none"/>
        </w:rPr>
        <w:t>政府方应当在资产负债表中单独列示PPP项目资产及相应的PPP项目净资产</w:t>
      </w:r>
      <w:r>
        <w:rPr>
          <w:rFonts w:hint="eastAsia" w:ascii="仿宋" w:hAnsi="仿宋" w:eastAsia="仿宋" w:cs="仿宋"/>
          <w:b w:val="0"/>
          <w:bCs/>
          <w:color w:val="auto"/>
          <w:sz w:val="32"/>
          <w:szCs w:val="32"/>
          <w:highlight w:val="none"/>
          <w:lang w:eastAsia="zh-CN"/>
        </w:rPr>
        <w:t>”的规定</w:t>
      </w:r>
      <w:r>
        <w:rPr>
          <w:rFonts w:hint="eastAsia" w:ascii="仿宋" w:hAnsi="仿宋" w:eastAsia="仿宋" w:cs="仿宋"/>
          <w:color w:val="auto"/>
          <w:sz w:val="32"/>
          <w:szCs w:val="32"/>
          <w:highlight w:val="none"/>
        </w:rPr>
        <w:t>。</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ascii="楷体" w:hAnsi="楷体" w:eastAsia="楷体" w:cs="楷体"/>
          <w:b w:val="0"/>
          <w:bCs/>
          <w:color w:val="auto"/>
          <w:sz w:val="32"/>
          <w:szCs w:val="32"/>
          <w:highlight w:val="none"/>
          <w:lang w:val="en-US" w:eastAsia="zh-CN"/>
        </w:rPr>
      </w:pPr>
      <w:r>
        <w:rPr>
          <w:rFonts w:hint="eastAsia" w:ascii="楷体" w:hAnsi="楷体" w:eastAsia="楷体" w:cs="楷体"/>
          <w:b w:val="0"/>
          <w:bCs/>
          <w:color w:val="auto"/>
          <w:sz w:val="32"/>
          <w:szCs w:val="32"/>
          <w:highlight w:val="none"/>
          <w:lang w:val="en-US" w:eastAsia="zh-CN"/>
        </w:rPr>
        <w:t>（二）政府出资方监管不够到位</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default"/>
          <w:lang w:val="en-US" w:eastAsia="zh-CN"/>
        </w:rPr>
      </w:pPr>
      <w:r>
        <w:rPr>
          <w:rFonts w:hint="eastAsia" w:cs="仿宋"/>
          <w:bCs/>
          <w:color w:val="auto"/>
          <w:sz w:val="32"/>
          <w:szCs w:val="32"/>
          <w:highlight w:val="none"/>
          <w:lang w:val="en-US" w:eastAsia="zh-CN"/>
        </w:rPr>
        <w:t>自项目公司成立以来，滹沱河公司向润石公司派驻财务副经理1名、副总经理1名。财务副经理未到润石公司就任，仅出席润石公司涉及财务工作的会议，对于金额超过500万元的付款事项进行审批签字；副总经理工作地点为润石公司，负责施工建设、养护运维及与政府方沟通的综合性事项；以上2名人员均于2021年12月末离职，滹沱河公司未再向润石公司重新派驻人员。滹沱河公司向云际公司派驻财务副部长1名，实际未到云际公司就任，仅对于支付金额超过500万元的工程款、设备款进行审批签字。未按协议规定参与项目公司管理。滹沱河公司并入水投集团后，2022年10月派驻人员已全部到位。</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cs="仿宋"/>
          <w:bCs/>
          <w:color w:val="auto"/>
          <w:sz w:val="32"/>
          <w:szCs w:val="32"/>
          <w:highlight w:val="none"/>
          <w:lang w:val="en-US" w:eastAsia="zh-CN"/>
        </w:rPr>
      </w:pPr>
      <w:r>
        <w:rPr>
          <w:rFonts w:hint="eastAsia"/>
          <w:b w:val="0"/>
          <w:bCs w:val="0"/>
          <w:color w:val="auto"/>
          <w:highlight w:val="none"/>
          <w:lang w:val="en-US" w:eastAsia="zh-CN"/>
        </w:rPr>
        <w:t>不符合</w:t>
      </w:r>
      <w:r>
        <w:rPr>
          <w:rFonts w:hint="eastAsia" w:cs="仿宋"/>
          <w:bCs/>
          <w:color w:val="auto"/>
          <w:sz w:val="32"/>
          <w:szCs w:val="32"/>
          <w:highlight w:val="none"/>
          <w:lang w:eastAsia="zh-CN"/>
        </w:rPr>
        <w:t>项目协议附件</w:t>
      </w:r>
      <w:r>
        <w:rPr>
          <w:rFonts w:hint="eastAsia" w:cs="仿宋"/>
          <w:bCs/>
          <w:color w:val="auto"/>
          <w:sz w:val="32"/>
          <w:szCs w:val="32"/>
          <w:highlight w:val="none"/>
          <w:lang w:val="en-US" w:eastAsia="zh-CN"/>
        </w:rPr>
        <w:t>2</w:t>
      </w:r>
      <w:r>
        <w:rPr>
          <w:rFonts w:hint="eastAsia" w:cs="仿宋"/>
          <w:bCs/>
          <w:color w:val="auto"/>
          <w:sz w:val="32"/>
          <w:szCs w:val="32"/>
          <w:highlight w:val="none"/>
          <w:lang w:eastAsia="zh-CN"/>
        </w:rPr>
        <w:t>《关于设立项目公司之合资协议》及附件</w:t>
      </w:r>
      <w:r>
        <w:rPr>
          <w:rFonts w:hint="eastAsia" w:cs="仿宋"/>
          <w:bCs/>
          <w:color w:val="auto"/>
          <w:sz w:val="32"/>
          <w:szCs w:val="32"/>
          <w:highlight w:val="none"/>
          <w:lang w:val="en-US" w:eastAsia="zh-CN"/>
        </w:rPr>
        <w:t>3《项目公司之公司章程》中“政府出资方提名的财务副经理参与对项目公司的预算、会计核算及财务管理等基本管理制度的拟定，并表达意见。享有对项目公司财务支出及会计账簿、运营相关财务数据的知晓权与查阅权。该名财务副经理可根据实际情况，将发现的问题提请甲方董事上报董事会审议”的约定。</w:t>
      </w:r>
    </w:p>
    <w:p>
      <w:pPr>
        <w:pStyle w:val="4"/>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楷体" w:hAnsi="楷体" w:eastAsia="楷体" w:cs="楷体"/>
          <w:highlight w:val="none"/>
          <w:lang w:val="en-US" w:eastAsia="zh-CN"/>
        </w:rPr>
      </w:pPr>
      <w:r>
        <w:rPr>
          <w:rFonts w:hint="eastAsia" w:ascii="楷体" w:hAnsi="楷体" w:eastAsia="楷体" w:cs="楷体"/>
          <w:highlight w:val="none"/>
          <w:lang w:val="en-US" w:eastAsia="zh-CN"/>
        </w:rPr>
        <w:t>（三）项目公司经营性项目开发力度小，经营性收入远低于协议目标</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根据项目协议中经营性项目收益指标，年度最低经营性收益为627万元，2021年度润石公司经营性项目收入39.27万元，只达到最低协议经营性收益的6.26%。年度最低经营性收益为372.05万元，2021年度云际公司经营性项目收入75.54万元，只达到最低协议经营性收益的20.30%。</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两个项目公司经营性项目少、规模小、内容单一，与运营资产和可开发资源不匹配。既有运营期短、受疫情影响、防洪限制、离市区较远等客观因素，也存在景观质量和档次不高、项目雷同、缺少特色和亮点，文体娱乐场地设施简单、功能单一、配套服务不足（如：儿童广场有一个跷跷板和沙坑），宣传推广力度小、公众关注和吸引力不足等问题。两个项目公司基础优势和特长是项目建设，缺乏文旅、农、林、水项目开发运营专业人才。在绩效考核上没有激励和约束机制，在经营开发上没有压力和动力。截至目前，还没有制定出系统的经营项目开发规划目标和措施。</w:t>
      </w:r>
    </w:p>
    <w:p>
      <w:pPr>
        <w:pStyle w:val="4"/>
        <w:keepNext w:val="0"/>
        <w:keepLines w:val="0"/>
        <w:pageBreakBefore w:val="0"/>
        <w:widowControl w:val="0"/>
        <w:kinsoku/>
        <w:wordWrap/>
        <w:overflowPunct/>
        <w:topLinePunct w:val="0"/>
        <w:autoSpaceDE w:val="0"/>
        <w:autoSpaceDN w:val="0"/>
        <w:bidi w:val="0"/>
        <w:spacing w:line="560" w:lineRule="exact"/>
        <w:jc w:val="both"/>
        <w:textAlignment w:val="auto"/>
        <w:rPr>
          <w:rFonts w:hint="eastAsia" w:ascii="楷体" w:hAnsi="楷体" w:eastAsia="楷体" w:cs="楷体"/>
          <w:highlight w:val="none"/>
          <w:lang w:val="en-US" w:eastAsia="zh-CN"/>
        </w:rPr>
      </w:pPr>
      <w:r>
        <w:rPr>
          <w:rFonts w:hint="eastAsia" w:ascii="楷体" w:hAnsi="楷体" w:eastAsia="楷体" w:cs="楷体"/>
          <w:highlight w:val="none"/>
          <w:lang w:val="en-US" w:eastAsia="zh-CN"/>
        </w:rPr>
        <w:t>（四）部分经营项目效益较差</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ascii="仿宋" w:hAnsi="仿宋" w:eastAsia="仿宋" w:cs="仿宋"/>
          <w:b/>
          <w:bCs/>
          <w:spacing w:val="0"/>
          <w:kern w:val="2"/>
          <w:highlight w:val="none"/>
          <w:lang w:val="en-US" w:eastAsia="zh-CN"/>
        </w:rPr>
        <w:t>1.</w:t>
      </w:r>
      <w:r>
        <w:rPr>
          <w:rFonts w:hint="eastAsia"/>
          <w:highlight w:val="none"/>
          <w:lang w:val="en-US" w:eastAsia="zh-CN"/>
        </w:rPr>
        <w:t>2021年3月润石公司与各中标单位签订《绿化管护及种植合同》，合同期限均为三年，自2021.3.25-2024.3.24，涉及种植面积共计6155.40亩，种植作物为药材、苜蓿、油菜等经济作物。合同中未对种植物销售收入及收益做出约定，润石公司未确认种植收入。</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default"/>
          <w:highlight w:val="none"/>
          <w:lang w:val="en-US" w:eastAsia="zh-CN"/>
        </w:rPr>
      </w:pPr>
      <w:r>
        <w:rPr>
          <w:rFonts w:hint="eastAsia" w:cs="仿宋"/>
          <w:b/>
          <w:bCs/>
          <w:spacing w:val="0"/>
          <w:kern w:val="2"/>
          <w:highlight w:val="none"/>
          <w:lang w:val="en-US" w:eastAsia="zh-CN"/>
        </w:rPr>
        <w:t>2</w:t>
      </w:r>
      <w:r>
        <w:rPr>
          <w:rFonts w:hint="eastAsia" w:ascii="仿宋" w:hAnsi="仿宋" w:eastAsia="仿宋" w:cs="仿宋"/>
          <w:b/>
          <w:bCs/>
          <w:spacing w:val="0"/>
          <w:kern w:val="2"/>
          <w:highlight w:val="none"/>
          <w:lang w:val="en-US" w:eastAsia="zh-CN"/>
        </w:rPr>
        <w:t>.</w:t>
      </w:r>
      <w:r>
        <w:rPr>
          <w:rFonts w:hint="eastAsia"/>
          <w:highlight w:val="none"/>
          <w:lang w:val="en-US" w:eastAsia="zh-CN"/>
        </w:rPr>
        <w:t>2021年4月1日云际公司与赵县德康梨果种植专业合作社签订《生态菜地种植委托协议》，期限为2021.4.1-2021.12.31,种植面积22亩。2021年其人工成本10.11万元，土地成本3.08万元（1400元*22亩），帐面收入仅1.3万元，成本高于收入10.15倍。</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spacing w:val="0"/>
          <w:kern w:val="2"/>
          <w:highlight w:val="none"/>
          <w:lang w:val="en-US" w:eastAsia="zh-CN"/>
        </w:rPr>
      </w:pPr>
      <w:r>
        <w:rPr>
          <w:rFonts w:hint="default"/>
          <w:spacing w:val="0"/>
          <w:kern w:val="2"/>
          <w:highlight w:val="none"/>
          <w:lang w:val="en-US" w:eastAsia="zh-CN"/>
        </w:rPr>
        <w:t>不符合《企业会计准则第14号—收入准则》第二条“收入，是指企业在日常活动中形成的、会导致所有者权益增加的、与所有者投入资本无关的经济利益的总流入”的规定。</w:t>
      </w:r>
    </w:p>
    <w:p>
      <w:pPr>
        <w:pStyle w:val="4"/>
        <w:keepNext w:val="0"/>
        <w:keepLines w:val="0"/>
        <w:pageBreakBefore w:val="0"/>
        <w:widowControl w:val="0"/>
        <w:kinsoku/>
        <w:wordWrap/>
        <w:overflowPunct/>
        <w:topLinePunct w:val="0"/>
        <w:autoSpaceDE w:val="0"/>
        <w:autoSpaceDN w:val="0"/>
        <w:bidi w:val="0"/>
        <w:spacing w:line="560" w:lineRule="exact"/>
        <w:jc w:val="both"/>
        <w:textAlignment w:val="auto"/>
        <w:rPr>
          <w:rFonts w:hint="eastAsia" w:ascii="楷体" w:hAnsi="楷体" w:eastAsia="楷体" w:cs="楷体"/>
          <w:highlight w:val="none"/>
          <w:lang w:val="en-US" w:eastAsia="zh-CN"/>
        </w:rPr>
      </w:pPr>
      <w:r>
        <w:rPr>
          <w:rFonts w:hint="eastAsia" w:ascii="楷体" w:hAnsi="楷体" w:eastAsia="楷体" w:cs="楷体"/>
          <w:spacing w:val="0"/>
          <w:kern w:val="2"/>
          <w:highlight w:val="none"/>
          <w:lang w:val="en-US" w:eastAsia="zh-CN"/>
        </w:rPr>
        <w:t>（五）项目公司</w:t>
      </w:r>
      <w:r>
        <w:rPr>
          <w:rFonts w:hint="eastAsia" w:ascii="楷体" w:hAnsi="楷体" w:eastAsia="楷体" w:cs="楷体"/>
          <w:highlight w:val="none"/>
          <w:lang w:val="en-US" w:eastAsia="zh-CN"/>
        </w:rPr>
        <w:t>维护管理不够规范</w:t>
      </w:r>
    </w:p>
    <w:p>
      <w:pPr>
        <w:keepNext w:val="0"/>
        <w:keepLines w:val="0"/>
        <w:pageBreakBefore w:val="0"/>
        <w:widowControl w:val="0"/>
        <w:kinsoku/>
        <w:wordWrap/>
        <w:overflowPunct/>
        <w:topLinePunct w:val="0"/>
        <w:autoSpaceDE w:val="0"/>
        <w:autoSpaceDN w:val="0"/>
        <w:bidi w:val="0"/>
        <w:spacing w:line="560" w:lineRule="exact"/>
        <w:jc w:val="both"/>
        <w:textAlignment w:val="auto"/>
        <w:rPr>
          <w:rFonts w:hint="eastAsia"/>
          <w:highlight w:val="none"/>
          <w:lang w:val="en-US" w:eastAsia="zh-CN"/>
        </w:rPr>
      </w:pPr>
      <w:r>
        <w:rPr>
          <w:rFonts w:hint="eastAsia"/>
          <w:highlight w:val="none"/>
          <w:lang w:val="en-US" w:eastAsia="zh-CN"/>
        </w:rPr>
        <w:t>根据水利工程、绿化管护等人员配备要求及运营实际需要，应配备技术管理、运行、观测及养护修理、园林绿化、项目开发等专业人才。润石公司和云际公司相关专业人员配备不足。</w:t>
      </w:r>
    </w:p>
    <w:p>
      <w:pPr>
        <w:keepNext w:val="0"/>
        <w:keepLines w:val="0"/>
        <w:pageBreakBefore w:val="0"/>
        <w:widowControl w:val="0"/>
        <w:kinsoku/>
        <w:wordWrap/>
        <w:overflowPunct/>
        <w:topLinePunct w:val="0"/>
        <w:autoSpaceDE w:val="0"/>
        <w:autoSpaceDN w:val="0"/>
        <w:bidi w:val="0"/>
        <w:adjustRightInd/>
        <w:snapToGrid/>
        <w:spacing w:line="560" w:lineRule="exact"/>
        <w:textAlignment w:val="auto"/>
        <w:rPr>
          <w:rFonts w:hint="default"/>
          <w:highlight w:val="none"/>
          <w:lang w:val="en-US" w:eastAsia="zh-CN"/>
        </w:rPr>
      </w:pPr>
      <w:r>
        <w:rPr>
          <w:rFonts w:hint="eastAsia"/>
          <w:highlight w:val="none"/>
          <w:lang w:val="en-US" w:eastAsia="zh-CN"/>
        </w:rPr>
        <w:t>两个公司运维管理、考核等不到位。润石公司设备维修记录、园林养护记录、河道清淤记录、卫生保洁记录、防火记录等不够完善，未及时发现和纠正存在问题。云际公司养护方案中养护数量按施工图数量填写，未按实际数量编写。补植记录不实。评价组对云际公司提供的病死株补植记录现场核查发现，病死株情况依然存在。有些病死株存在时间较长，补植不及时。</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highlight w:val="none"/>
          <w:lang w:val="en-US" w:eastAsia="zh-CN"/>
        </w:rPr>
      </w:pPr>
      <w:r>
        <w:rPr>
          <w:rFonts w:hint="eastAsia"/>
          <w:highlight w:val="none"/>
          <w:lang w:val="en-US" w:eastAsia="zh-CN"/>
        </w:rPr>
        <w:t>不符合项目协议第二十条：“在开始运营之前，乙方应准备一份设施的维护手册，维护手册包含但不限于下列内容：项目的维养计划；进行定期和年度检验、日常维护、年度维护、大修的程序和计划；维养记录；备品备件的领取及使用等。”</w:t>
      </w:r>
    </w:p>
    <w:p>
      <w:pPr>
        <w:pStyle w:val="4"/>
        <w:keepNext w:val="0"/>
        <w:keepLines w:val="0"/>
        <w:pageBreakBefore w:val="0"/>
        <w:widowControl w:val="0"/>
        <w:kinsoku/>
        <w:wordWrap/>
        <w:overflowPunct/>
        <w:topLinePunct w:val="0"/>
        <w:bidi w:val="0"/>
        <w:spacing w:line="560" w:lineRule="exact"/>
        <w:jc w:val="both"/>
        <w:textAlignment w:val="auto"/>
        <w:rPr>
          <w:rFonts w:hint="eastAsia" w:ascii="楷体" w:hAnsi="楷体" w:eastAsia="楷体" w:cs="楷体"/>
          <w:highlight w:val="none"/>
          <w:lang w:val="en-US" w:eastAsia="zh-CN"/>
        </w:rPr>
      </w:pPr>
      <w:r>
        <w:rPr>
          <w:rFonts w:hint="eastAsia" w:ascii="楷体" w:hAnsi="楷体" w:eastAsia="楷体" w:cs="楷体"/>
          <w:spacing w:val="0"/>
          <w:kern w:val="2"/>
          <w:highlight w:val="none"/>
          <w:lang w:val="en-US" w:eastAsia="zh-CN"/>
        </w:rPr>
        <w:t>（六）润石公司</w:t>
      </w:r>
      <w:r>
        <w:rPr>
          <w:rFonts w:hint="eastAsia" w:ascii="楷体" w:hAnsi="楷体" w:eastAsia="楷体" w:cs="楷体"/>
          <w:highlight w:val="none"/>
          <w:lang w:val="en-US" w:eastAsia="zh-CN"/>
        </w:rPr>
        <w:t>游客服务中心长期闲置</w:t>
      </w:r>
    </w:p>
    <w:p>
      <w:pPr>
        <w:keepNext w:val="0"/>
        <w:keepLines w:val="0"/>
        <w:pageBreakBefore w:val="0"/>
        <w:widowControl w:val="0"/>
        <w:kinsoku/>
        <w:wordWrap/>
        <w:overflowPunct/>
        <w:topLinePunct w:val="0"/>
        <w:bidi w:val="0"/>
        <w:spacing w:line="560" w:lineRule="exact"/>
        <w:jc w:val="both"/>
        <w:textAlignment w:val="auto"/>
        <w:rPr>
          <w:rFonts w:hint="eastAsia"/>
          <w:highlight w:val="none"/>
          <w:lang w:val="en-US" w:eastAsia="zh-CN"/>
        </w:rPr>
      </w:pPr>
      <w:r>
        <w:rPr>
          <w:rFonts w:hint="eastAsia"/>
          <w:highlight w:val="none"/>
          <w:lang w:val="en-US" w:eastAsia="zh-CN"/>
        </w:rPr>
        <w:t>润石公司游客服务中心占地面积20311.06㎡，总建筑面积3508.06㎡，总投资1209.9万元。其中游客服务中心建筑面积2533.06㎡，监控室（图纸工程名称：电瓶车停车检修场）建筑面积975.00㎡（包含：办公室、会议室、监控室、电瓶车检修及停放），监控室外院落面积16000.00㎡（申请建设时考虑增加办公用房）。建筑自2019年7月建成至今未正式投入使用，已闲置2年8个月。</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ascii="楷体" w:hAnsi="楷体" w:eastAsia="楷体" w:cs="楷体"/>
          <w:spacing w:val="0"/>
          <w:kern w:val="2"/>
          <w:highlight w:val="none"/>
          <w:lang w:val="en-US" w:eastAsia="zh-CN"/>
        </w:rPr>
      </w:pPr>
      <w:r>
        <w:rPr>
          <w:rFonts w:hint="eastAsia" w:ascii="楷体" w:hAnsi="楷体" w:eastAsia="楷体" w:cs="楷体"/>
          <w:spacing w:val="0"/>
          <w:kern w:val="2"/>
          <w:highlight w:val="none"/>
          <w:lang w:val="en-US" w:eastAsia="zh-CN"/>
        </w:rPr>
        <w:t>（七）部分验收时未完工的遗留工程仍未完成</w:t>
      </w:r>
    </w:p>
    <w:p>
      <w:pPr>
        <w:keepNext w:val="0"/>
        <w:keepLines w:val="0"/>
        <w:pageBreakBefore w:val="0"/>
        <w:widowControl w:val="0"/>
        <w:kinsoku/>
        <w:wordWrap/>
        <w:overflowPunct/>
        <w:topLinePunct w:val="0"/>
        <w:autoSpaceDE w:val="0"/>
        <w:autoSpaceDN w:val="0"/>
        <w:bidi w:val="0"/>
        <w:spacing w:line="560" w:lineRule="exact"/>
        <w:jc w:val="both"/>
        <w:textAlignment w:val="auto"/>
        <w:rPr>
          <w:rFonts w:hint="default"/>
          <w:highlight w:val="none"/>
          <w:lang w:val="en-US" w:eastAsia="zh-CN"/>
        </w:rPr>
      </w:pPr>
      <w:r>
        <w:rPr>
          <w:rFonts w:hint="eastAsia"/>
          <w:highlight w:val="none"/>
          <w:lang w:val="en-US" w:eastAsia="zh-CN"/>
        </w:rPr>
        <w:t>1.</w:t>
      </w:r>
      <w:r>
        <w:rPr>
          <w:rFonts w:hint="eastAsia" w:cs="仿宋"/>
          <w:spacing w:val="0"/>
          <w:kern w:val="2"/>
          <w:highlight w:val="none"/>
          <w:lang w:val="en-US" w:eastAsia="zh-CN"/>
        </w:rPr>
        <w:t>润石公司</w:t>
      </w:r>
      <w:r>
        <w:rPr>
          <w:rFonts w:hint="eastAsia" w:cs="仿宋"/>
          <w:color w:val="auto"/>
          <w:kern w:val="2"/>
          <w:sz w:val="32"/>
          <w:szCs w:val="24"/>
          <w:highlight w:val="none"/>
          <w:lang w:val="en-US" w:eastAsia="zh-CN" w:bidi="ar-SA"/>
        </w:rPr>
        <w:t>子项一（</w:t>
      </w:r>
      <w:r>
        <w:rPr>
          <w:rFonts w:hint="eastAsia" w:ascii="仿宋" w:hAnsi="仿宋" w:eastAsia="仿宋" w:cs="仿宋"/>
          <w:color w:val="auto"/>
          <w:kern w:val="2"/>
          <w:sz w:val="32"/>
          <w:szCs w:val="24"/>
          <w:highlight w:val="none"/>
          <w:lang w:val="en-US" w:eastAsia="zh-CN" w:bidi="ar-SA"/>
        </w:rPr>
        <w:t>新建右堤工程</w:t>
      </w:r>
      <w:r>
        <w:rPr>
          <w:rFonts w:hint="eastAsia" w:cs="仿宋"/>
          <w:color w:val="auto"/>
          <w:kern w:val="2"/>
          <w:sz w:val="32"/>
          <w:szCs w:val="24"/>
          <w:highlight w:val="none"/>
          <w:lang w:val="en-US" w:eastAsia="zh-CN" w:bidi="ar-SA"/>
        </w:rPr>
        <w:t>）,概算</w:t>
      </w:r>
      <w:r>
        <w:rPr>
          <w:rFonts w:hint="eastAsia" w:ascii="仿宋" w:hAnsi="仿宋" w:eastAsia="仿宋" w:cs="仿宋"/>
          <w:color w:val="auto"/>
          <w:kern w:val="2"/>
          <w:sz w:val="32"/>
          <w:szCs w:val="24"/>
          <w:highlight w:val="none"/>
          <w:lang w:val="en-US" w:eastAsia="zh-CN" w:bidi="ar-SA"/>
        </w:rPr>
        <w:t>36803.26万元</w:t>
      </w:r>
      <w:r>
        <w:rPr>
          <w:rFonts w:hint="eastAsia" w:cs="仿宋"/>
          <w:color w:val="auto"/>
          <w:kern w:val="2"/>
          <w:sz w:val="32"/>
          <w:szCs w:val="24"/>
          <w:highlight w:val="none"/>
          <w:lang w:val="en-US" w:eastAsia="zh-CN" w:bidi="ar-SA"/>
        </w:rPr>
        <w:t>，</w:t>
      </w:r>
      <w:r>
        <w:rPr>
          <w:rFonts w:hint="eastAsia"/>
          <w:highlight w:val="none"/>
          <w:lang w:val="en-US" w:eastAsia="zh-CN"/>
        </w:rPr>
        <w:t>2020年5月22日完工验收中</w:t>
      </w:r>
      <w:r>
        <w:rPr>
          <w:rFonts w:hint="eastAsia" w:ascii="仿宋" w:hAnsi="仿宋" w:eastAsia="仿宋" w:cs="仿宋"/>
          <w:color w:val="auto"/>
          <w:kern w:val="2"/>
          <w:sz w:val="32"/>
          <w:szCs w:val="24"/>
          <w:highlight w:val="none"/>
          <w:lang w:val="en-US" w:eastAsia="zh-CN" w:bidi="ar-SA"/>
        </w:rPr>
        <w:t>因征拆延误等原因未完工。</w:t>
      </w:r>
      <w:r>
        <w:rPr>
          <w:rFonts w:hint="eastAsia" w:cs="仿宋"/>
          <w:color w:val="auto"/>
          <w:kern w:val="2"/>
          <w:sz w:val="32"/>
          <w:szCs w:val="24"/>
          <w:highlight w:val="none"/>
          <w:lang w:val="en-US" w:eastAsia="zh-CN" w:bidi="ar-SA"/>
        </w:rPr>
        <w:t>截止目前，已完成现场施工，尚未完工验收。</w:t>
      </w:r>
    </w:p>
    <w:p>
      <w:pPr>
        <w:keepNext w:val="0"/>
        <w:keepLines w:val="0"/>
        <w:pageBreakBefore w:val="0"/>
        <w:widowControl w:val="0"/>
        <w:kinsoku/>
        <w:wordWrap/>
        <w:overflowPunct/>
        <w:topLinePunct w:val="0"/>
        <w:autoSpaceDE w:val="0"/>
        <w:autoSpaceDN w:val="0"/>
        <w:bidi w:val="0"/>
        <w:spacing w:line="560" w:lineRule="exact"/>
        <w:jc w:val="both"/>
        <w:textAlignment w:val="auto"/>
        <w:rPr>
          <w:rFonts w:hint="eastAsia"/>
          <w:color w:val="auto"/>
          <w:highlight w:val="none"/>
          <w:lang w:val="en-US" w:eastAsia="zh-CN"/>
        </w:rPr>
      </w:pPr>
      <w:r>
        <w:rPr>
          <w:rFonts w:hint="eastAsia"/>
          <w:highlight w:val="none"/>
          <w:lang w:val="en-US" w:eastAsia="zh-CN"/>
        </w:rPr>
        <w:t>2.云际公司</w:t>
      </w:r>
      <w:r>
        <w:rPr>
          <w:rFonts w:hint="eastAsia"/>
          <w:color w:val="auto"/>
          <w:highlight w:val="none"/>
          <w:lang w:val="en-US" w:eastAsia="zh-CN"/>
        </w:rPr>
        <w:t>验收时河道X59+300-X59+420段120米主河槽防洪工程，预算金额1659.79万元（按比例折算数），</w:t>
      </w:r>
      <w:r>
        <w:rPr>
          <w:rFonts w:hint="eastAsia"/>
          <w:highlight w:val="none"/>
          <w:lang w:val="en-US" w:eastAsia="zh-CN"/>
        </w:rPr>
        <w:t>2020年5月22日完工验收时</w:t>
      </w:r>
      <w:r>
        <w:rPr>
          <w:rFonts w:hint="eastAsia"/>
          <w:color w:val="auto"/>
          <w:highlight w:val="none"/>
          <w:lang w:val="en-US" w:eastAsia="zh-CN"/>
        </w:rPr>
        <w:t>因果王线漫水桥重建未施工。漫水桥已于2022年2月份建设完工，因未确定衔接方案，截止目前此段还未施工。</w:t>
      </w:r>
    </w:p>
    <w:p>
      <w:pPr>
        <w:keepNext w:val="0"/>
        <w:keepLines w:val="0"/>
        <w:pageBreakBefore w:val="0"/>
        <w:widowControl w:val="0"/>
        <w:kinsoku/>
        <w:wordWrap/>
        <w:overflowPunct/>
        <w:topLinePunct w:val="0"/>
        <w:autoSpaceDE/>
        <w:bidi w:val="0"/>
        <w:spacing w:line="560" w:lineRule="exact"/>
        <w:ind w:firstLine="640"/>
        <w:jc w:val="both"/>
        <w:textAlignment w:val="auto"/>
        <w:rPr>
          <w:rFonts w:ascii="黑体" w:hAnsi="黑体" w:eastAsia="黑体" w:cs="黑体"/>
          <w:szCs w:val="32"/>
          <w:lang w:val="en-US"/>
        </w:rPr>
      </w:pPr>
      <w:r>
        <w:rPr>
          <w:rFonts w:hint="eastAsia" w:ascii="黑体" w:hAnsi="黑体" w:eastAsia="黑体" w:cs="黑体"/>
          <w:szCs w:val="32"/>
          <w:lang w:val="en-US"/>
        </w:rPr>
        <w:t>四、整改建议</w:t>
      </w:r>
    </w:p>
    <w:p>
      <w:pPr>
        <w:keepNext w:val="0"/>
        <w:keepLines w:val="0"/>
        <w:pageBreakBefore w:val="0"/>
        <w:widowControl w:val="0"/>
        <w:kinsoku/>
        <w:wordWrap/>
        <w:overflowPunct/>
        <w:topLinePunct w:val="0"/>
        <w:bidi w:val="0"/>
        <w:snapToGrid w:val="0"/>
        <w:spacing w:line="560" w:lineRule="exact"/>
        <w:ind w:firstLine="640"/>
        <w:jc w:val="both"/>
        <w:textAlignment w:val="auto"/>
        <w:rPr>
          <w:szCs w:val="32"/>
          <w:lang w:val="en-US"/>
        </w:rPr>
      </w:pPr>
      <w:r>
        <w:rPr>
          <w:rFonts w:hint="eastAsia"/>
          <w:szCs w:val="32"/>
          <w:lang w:val="en-US"/>
        </w:rPr>
        <w:t>根据相关法规政策规定，结合</w:t>
      </w:r>
      <w:r>
        <w:rPr>
          <w:rFonts w:hint="eastAsia"/>
          <w:bCs/>
          <w:szCs w:val="32"/>
          <w:lang w:val="en-US"/>
        </w:rPr>
        <w:t>市委市政府</w:t>
      </w:r>
      <w:r>
        <w:rPr>
          <w:rFonts w:hint="eastAsia"/>
          <w:szCs w:val="32"/>
          <w:lang w:val="en-US"/>
        </w:rPr>
        <w:t>《石家庄市滹沱河沿线生态保护和市场化运营管护发展方案》、《关于加强滹沱河后期管理维护工作的实施方案》，经审理研究提出以下整改要求及建议：</w:t>
      </w:r>
    </w:p>
    <w:p>
      <w:pPr>
        <w:pStyle w:val="2"/>
        <w:keepNext w:val="0"/>
        <w:keepLines w:val="0"/>
        <w:pageBreakBefore w:val="0"/>
        <w:widowControl w:val="0"/>
        <w:kinsoku/>
        <w:wordWrap/>
        <w:overflowPunct/>
        <w:topLinePunct w:val="0"/>
        <w:bidi w:val="0"/>
        <w:spacing w:line="560" w:lineRule="exact"/>
        <w:ind w:firstLine="640"/>
        <w:jc w:val="both"/>
        <w:textAlignment w:val="auto"/>
        <w:rPr>
          <w:szCs w:val="32"/>
          <w:shd w:val="clear" w:color="auto" w:fill="FFFFFF"/>
          <w:lang w:val="en-US"/>
        </w:rPr>
      </w:pPr>
      <w:r>
        <w:rPr>
          <w:rFonts w:hint="eastAsia"/>
          <w:lang w:val="en-US"/>
        </w:rPr>
        <w:t>（</w:t>
      </w:r>
      <w:r>
        <w:rPr>
          <w:rFonts w:hint="eastAsia"/>
          <w:lang w:val="en-US" w:eastAsia="zh-CN"/>
        </w:rPr>
        <w:t>一</w:t>
      </w:r>
      <w:r>
        <w:rPr>
          <w:rFonts w:hint="eastAsia"/>
          <w:lang w:val="en-US"/>
        </w:rPr>
        <w:t>）</w:t>
      </w:r>
      <w:r>
        <w:rPr>
          <w:rFonts w:hint="eastAsia"/>
          <w:szCs w:val="32"/>
          <w:shd w:val="clear" w:color="auto" w:fill="FFFFFF"/>
          <w:lang w:val="en-US"/>
        </w:rPr>
        <w:t>建议市水利局完善项目运营期绩效考核机制。</w:t>
      </w:r>
    </w:p>
    <w:p>
      <w:pPr>
        <w:pStyle w:val="2"/>
        <w:keepNext w:val="0"/>
        <w:keepLines w:val="0"/>
        <w:pageBreakBefore w:val="0"/>
        <w:widowControl w:val="0"/>
        <w:kinsoku/>
        <w:wordWrap/>
        <w:overflowPunct/>
        <w:topLinePunct w:val="0"/>
        <w:bidi w:val="0"/>
        <w:spacing w:line="560" w:lineRule="exact"/>
        <w:ind w:firstLine="640"/>
        <w:jc w:val="both"/>
        <w:textAlignment w:val="auto"/>
        <w:rPr>
          <w:szCs w:val="32"/>
          <w:shd w:val="clear" w:color="auto" w:fill="FFFFFF"/>
          <w:lang w:val="en-US"/>
        </w:rPr>
      </w:pPr>
      <w:r>
        <w:rPr>
          <w:rFonts w:hint="eastAsia"/>
          <w:szCs w:val="32"/>
          <w:shd w:val="clear" w:color="auto" w:fill="FFFFFF"/>
          <w:lang w:val="en-US"/>
        </w:rPr>
        <w:t>一是合理确定维护养护质量等级和维护费标准。进一步完善项目整体景观建设规划，根据景观和工程特点，结合运营期实际运维情况及费用，对不同节点、不同区块因地制宜制定符合项目实际的维护管护质量等级标准、维护费用标准、绩效考核标准。</w:t>
      </w:r>
    </w:p>
    <w:p>
      <w:pPr>
        <w:keepNext w:val="0"/>
        <w:keepLines w:val="0"/>
        <w:pageBreakBefore w:val="0"/>
        <w:widowControl w:val="0"/>
        <w:kinsoku/>
        <w:wordWrap/>
        <w:overflowPunct/>
        <w:topLinePunct w:val="0"/>
        <w:bidi w:val="0"/>
        <w:spacing w:line="560" w:lineRule="exact"/>
        <w:ind w:firstLine="640"/>
        <w:jc w:val="both"/>
        <w:textAlignment w:val="auto"/>
        <w:rPr>
          <w:szCs w:val="32"/>
          <w:shd w:val="clear" w:color="auto" w:fill="FFFFFF"/>
          <w:lang w:val="en-US"/>
        </w:rPr>
      </w:pPr>
      <w:r>
        <w:rPr>
          <w:rFonts w:hint="eastAsia"/>
          <w:bCs/>
          <w:szCs w:val="32"/>
          <w:lang w:val="en-US"/>
        </w:rPr>
        <w:t>二是</w:t>
      </w:r>
      <w:r>
        <w:rPr>
          <w:rFonts w:hint="eastAsia"/>
          <w:kern w:val="2"/>
          <w:szCs w:val="24"/>
          <w:lang w:val="en-US" w:bidi="ar-SA"/>
        </w:rPr>
        <w:t>建立经营性收益的考核、激励机制。</w:t>
      </w:r>
      <w:r>
        <w:rPr>
          <w:rFonts w:hint="eastAsia"/>
          <w:bCs/>
          <w:szCs w:val="32"/>
          <w:lang w:val="en-US"/>
        </w:rPr>
        <w:t>增设经济效益指标，提高产出效益指标的分值权重，</w:t>
      </w:r>
      <w:r>
        <w:rPr>
          <w:rFonts w:hint="eastAsia"/>
          <w:kern w:val="2"/>
          <w:szCs w:val="24"/>
          <w:lang w:val="en-US" w:bidi="ar-SA"/>
        </w:rPr>
        <w:t>将经营性收益完成情况与运维绩效服务费挂钩。</w:t>
      </w:r>
      <w:r>
        <w:rPr>
          <w:rFonts w:hint="eastAsia"/>
          <w:szCs w:val="32"/>
          <w:shd w:val="clear" w:color="auto" w:fill="FFFFFF"/>
          <w:lang w:val="en-US"/>
        </w:rPr>
        <w:t>对项目公司运营期经营性收益，建议按三年一个区间，确定合理增长率。经营性收益政府分享比例建议实行固定比例或随收益增加分享比例递减的办法，调动项目公司的经营积极性，充分开发资源，提供丰富优质的服务，增加经营收入。</w:t>
      </w:r>
    </w:p>
    <w:p>
      <w:pPr>
        <w:pStyle w:val="2"/>
        <w:keepNext w:val="0"/>
        <w:keepLines w:val="0"/>
        <w:pageBreakBefore w:val="0"/>
        <w:widowControl w:val="0"/>
        <w:kinsoku/>
        <w:wordWrap/>
        <w:overflowPunct/>
        <w:topLinePunct w:val="0"/>
        <w:bidi w:val="0"/>
        <w:spacing w:line="560" w:lineRule="exact"/>
        <w:ind w:firstLine="640"/>
        <w:textAlignment w:val="auto"/>
        <w:rPr>
          <w:lang w:val="en-US"/>
        </w:rPr>
      </w:pPr>
      <w:r>
        <w:rPr>
          <w:rFonts w:hint="eastAsia"/>
          <w:szCs w:val="32"/>
          <w:shd w:val="clear" w:color="auto" w:fill="FFFFFF"/>
          <w:lang w:val="en-US"/>
        </w:rPr>
        <w:t>三是增加运维成本考核指标，引导项目公司合理控制、节约各项管护、养护的总体成本，提高成本效益。</w:t>
      </w:r>
    </w:p>
    <w:p>
      <w:pPr>
        <w:keepNext w:val="0"/>
        <w:keepLines w:val="0"/>
        <w:pageBreakBefore w:val="0"/>
        <w:widowControl w:val="0"/>
        <w:kinsoku/>
        <w:wordWrap/>
        <w:overflowPunct/>
        <w:topLinePunct w:val="0"/>
        <w:bidi w:val="0"/>
        <w:spacing w:line="560" w:lineRule="exact"/>
        <w:ind w:firstLine="640"/>
        <w:jc w:val="both"/>
        <w:textAlignment w:val="auto"/>
        <w:rPr>
          <w:bCs/>
          <w:szCs w:val="32"/>
          <w:lang w:val="en-US"/>
        </w:rPr>
      </w:pPr>
      <w:r>
        <w:rPr>
          <w:rFonts w:hint="eastAsia"/>
          <w:bCs/>
          <w:szCs w:val="32"/>
          <w:lang w:val="en-US"/>
        </w:rPr>
        <w:t>四是要明确</w:t>
      </w:r>
      <w:r>
        <w:rPr>
          <w:rFonts w:hint="eastAsia"/>
          <w:bCs/>
          <w:szCs w:val="32"/>
          <w:lang w:val="en-US" w:eastAsia="zh-CN"/>
        </w:rPr>
        <w:t>绩效考核</w:t>
      </w:r>
      <w:r>
        <w:rPr>
          <w:rFonts w:hint="eastAsia"/>
          <w:bCs/>
          <w:szCs w:val="32"/>
          <w:lang w:val="en-US"/>
        </w:rPr>
        <w:t>扣分对应问题的具体情况，现场管护问题要写明准确的地点和数量，管理类问题写明具体的缺失内容。对于考核中发现的问题，要明确整改时限及整改要求，督促及时整改到位。避免考核粗放，流于形式化。</w:t>
      </w:r>
    </w:p>
    <w:p>
      <w:pPr>
        <w:keepNext w:val="0"/>
        <w:keepLines w:val="0"/>
        <w:pageBreakBefore w:val="0"/>
        <w:widowControl w:val="0"/>
        <w:kinsoku/>
        <w:wordWrap/>
        <w:overflowPunct/>
        <w:topLinePunct w:val="0"/>
        <w:bidi w:val="0"/>
        <w:spacing w:line="560" w:lineRule="exact"/>
        <w:ind w:firstLine="640"/>
        <w:jc w:val="both"/>
        <w:textAlignment w:val="auto"/>
        <w:rPr>
          <w:bCs/>
          <w:szCs w:val="32"/>
          <w:lang w:val="en-US"/>
        </w:rPr>
      </w:pPr>
      <w:r>
        <w:rPr>
          <w:rFonts w:hint="eastAsia"/>
          <w:lang w:val="en-US"/>
        </w:rPr>
        <w:t>（</w:t>
      </w:r>
      <w:r>
        <w:rPr>
          <w:rFonts w:hint="eastAsia"/>
          <w:lang w:val="en-US" w:eastAsia="zh-CN"/>
        </w:rPr>
        <w:t>二</w:t>
      </w:r>
      <w:r>
        <w:rPr>
          <w:rFonts w:hint="eastAsia"/>
          <w:lang w:val="en-US"/>
        </w:rPr>
        <w:t>）落实政府出资方的监管责任。建议市水利局</w:t>
      </w:r>
      <w:r>
        <w:rPr>
          <w:rFonts w:hint="eastAsia"/>
          <w:lang w:val="en-US" w:eastAsia="zh-CN"/>
        </w:rPr>
        <w:t>会同市水投集团</w:t>
      </w:r>
      <w:r>
        <w:rPr>
          <w:rFonts w:hint="eastAsia"/>
          <w:lang w:val="en-US"/>
        </w:rPr>
        <w:t>根据项目运营实际进一步完善监管办法，落实监管人员及监管方式，明确派驻人员的岗位职责，对监管人员的履职情况进行定期考核。积极参与项目的运营管理、决策，履行政府出资方相应监管责任。</w:t>
      </w:r>
    </w:p>
    <w:p>
      <w:pPr>
        <w:keepNext w:val="0"/>
        <w:keepLines w:val="0"/>
        <w:pageBreakBefore w:val="0"/>
        <w:widowControl w:val="0"/>
        <w:kinsoku/>
        <w:wordWrap/>
        <w:overflowPunct/>
        <w:topLinePunct w:val="0"/>
        <w:bidi w:val="0"/>
        <w:spacing w:line="560" w:lineRule="exact"/>
        <w:ind w:firstLine="640"/>
        <w:jc w:val="both"/>
        <w:textAlignment w:val="auto"/>
        <w:rPr>
          <w:bCs/>
          <w:szCs w:val="32"/>
          <w:lang w:val="en-US"/>
        </w:rPr>
      </w:pPr>
      <w:r>
        <w:rPr>
          <w:rFonts w:hint="eastAsia"/>
          <w:bCs/>
          <w:szCs w:val="32"/>
          <w:lang w:val="en-US"/>
        </w:rPr>
        <w:t>（</w:t>
      </w:r>
      <w:r>
        <w:rPr>
          <w:rFonts w:hint="eastAsia"/>
          <w:bCs/>
          <w:szCs w:val="32"/>
          <w:lang w:val="en-US" w:eastAsia="zh-CN"/>
        </w:rPr>
        <w:t>三</w:t>
      </w:r>
      <w:r>
        <w:rPr>
          <w:rFonts w:hint="eastAsia"/>
          <w:bCs/>
          <w:szCs w:val="32"/>
          <w:lang w:val="en-US"/>
        </w:rPr>
        <w:t>）项目公司要积极发挥PPP项目的政策优势、资源优势、地缘优势，加大经营性项目开发力度。</w:t>
      </w:r>
    </w:p>
    <w:p>
      <w:pPr>
        <w:pStyle w:val="2"/>
        <w:keepNext w:val="0"/>
        <w:keepLines w:val="0"/>
        <w:pageBreakBefore w:val="0"/>
        <w:widowControl w:val="0"/>
        <w:kinsoku/>
        <w:wordWrap/>
        <w:overflowPunct/>
        <w:topLinePunct w:val="0"/>
        <w:bidi w:val="0"/>
        <w:spacing w:line="560" w:lineRule="exact"/>
        <w:ind w:firstLine="640"/>
        <w:jc w:val="both"/>
        <w:textAlignment w:val="auto"/>
        <w:rPr>
          <w:rFonts w:hint="eastAsia" w:ascii="仿宋" w:hAnsi="仿宋" w:eastAsia="仿宋" w:cs="仿宋"/>
          <w:bCs/>
          <w:sz w:val="32"/>
          <w:szCs w:val="32"/>
          <w:lang w:val="en-US" w:eastAsia="zh-CN" w:bidi="zh-CN"/>
        </w:rPr>
      </w:pPr>
      <w:r>
        <w:rPr>
          <w:rFonts w:hint="eastAsia" w:ascii="仿宋" w:hAnsi="仿宋" w:eastAsia="仿宋" w:cs="仿宋"/>
          <w:bCs/>
          <w:sz w:val="32"/>
          <w:szCs w:val="32"/>
          <w:lang w:val="en-US" w:eastAsia="zh-CN" w:bidi="zh-CN"/>
        </w:rPr>
        <w:t>一是根据滹沱河经济带发展规划，对PPP项目段资产进行经营化资本改造，吸引各类社会资本参与后续管护和开发运营。通过市场化运作，盘活沿河生态、产业和土地资源。</w:t>
      </w:r>
    </w:p>
    <w:p>
      <w:pPr>
        <w:pStyle w:val="2"/>
        <w:keepNext w:val="0"/>
        <w:keepLines w:val="0"/>
        <w:pageBreakBefore w:val="0"/>
        <w:widowControl w:val="0"/>
        <w:kinsoku/>
        <w:wordWrap/>
        <w:overflowPunct/>
        <w:topLinePunct w:val="0"/>
        <w:bidi w:val="0"/>
        <w:spacing w:line="560" w:lineRule="exact"/>
        <w:ind w:firstLine="640"/>
        <w:jc w:val="both"/>
        <w:textAlignment w:val="auto"/>
        <w:rPr>
          <w:rFonts w:hint="eastAsia" w:ascii="仿宋" w:hAnsi="仿宋" w:eastAsia="仿宋" w:cs="仿宋"/>
          <w:bCs/>
          <w:sz w:val="32"/>
          <w:szCs w:val="32"/>
          <w:lang w:val="en-US" w:eastAsia="zh-CN" w:bidi="zh-CN"/>
        </w:rPr>
      </w:pPr>
      <w:r>
        <w:rPr>
          <w:rFonts w:hint="eastAsia" w:ascii="仿宋" w:hAnsi="仿宋" w:eastAsia="仿宋" w:cs="仿宋"/>
          <w:bCs/>
          <w:sz w:val="32"/>
          <w:szCs w:val="32"/>
          <w:lang w:val="en-US" w:eastAsia="zh-CN" w:bidi="zh-CN"/>
        </w:rPr>
        <w:t>二是引入旅游运营经验丰富的企业进行合作开发，建设具有个性和吸引力的项目和景点，打造精品景观节点和特色活动品牌，如：承接赛车、马拉松、户外婚礼等活动，打造休闲文旅、亲子研学、水上乐园等特色旅游产品。聚集人气、带动商气。</w:t>
      </w:r>
    </w:p>
    <w:p>
      <w:pPr>
        <w:pStyle w:val="2"/>
        <w:keepNext w:val="0"/>
        <w:keepLines w:val="0"/>
        <w:pageBreakBefore w:val="0"/>
        <w:widowControl w:val="0"/>
        <w:kinsoku/>
        <w:wordWrap/>
        <w:overflowPunct/>
        <w:topLinePunct w:val="0"/>
        <w:bidi w:val="0"/>
        <w:spacing w:line="560" w:lineRule="exact"/>
        <w:ind w:firstLine="640"/>
        <w:jc w:val="both"/>
        <w:textAlignment w:val="auto"/>
        <w:rPr>
          <w:rFonts w:hint="eastAsia" w:ascii="仿宋" w:hAnsi="仿宋" w:eastAsia="仿宋" w:cs="仿宋"/>
          <w:bCs/>
          <w:sz w:val="32"/>
          <w:szCs w:val="32"/>
          <w:lang w:val="en-US" w:eastAsia="zh-CN" w:bidi="zh-CN"/>
        </w:rPr>
      </w:pPr>
      <w:r>
        <w:rPr>
          <w:rFonts w:hint="eastAsia" w:ascii="仿宋" w:hAnsi="仿宋" w:eastAsia="仿宋" w:cs="仿宋"/>
          <w:bCs/>
          <w:sz w:val="32"/>
          <w:szCs w:val="32"/>
          <w:lang w:val="en-US" w:eastAsia="zh-CN" w:bidi="zh-CN"/>
        </w:rPr>
        <w:t>三是围绕开发农业景观，延伸农林种植产业链，生产绿色农产品，形成滹沱河农业品牌。在沙洲、滨水平台、滩地、堤外林带种植景观效果好、经济价值高的中草药等经济作物。</w:t>
      </w:r>
    </w:p>
    <w:p>
      <w:pPr>
        <w:keepNext w:val="0"/>
        <w:keepLines w:val="0"/>
        <w:pageBreakBefore w:val="0"/>
        <w:widowControl w:val="0"/>
        <w:kinsoku/>
        <w:wordWrap/>
        <w:overflowPunct/>
        <w:topLinePunct w:val="0"/>
        <w:bidi w:val="0"/>
        <w:spacing w:line="560" w:lineRule="exact"/>
        <w:ind w:firstLine="640"/>
        <w:jc w:val="both"/>
        <w:textAlignment w:val="auto"/>
        <w:rPr>
          <w:kern w:val="2"/>
          <w:lang w:val="en-US"/>
        </w:rPr>
      </w:pPr>
      <w:r>
        <w:rPr>
          <w:rFonts w:hint="eastAsia"/>
          <w:kern w:val="2"/>
          <w:lang w:val="en-US"/>
        </w:rPr>
        <w:t>四是提高资产利用率，防止闲置浪费</w:t>
      </w:r>
      <w:r>
        <w:rPr>
          <w:rFonts w:hint="eastAsia" w:ascii="楷体" w:hAnsi="楷体" w:eastAsia="楷体" w:cs="楷体"/>
          <w:kern w:val="2"/>
          <w:lang w:val="en-US"/>
        </w:rPr>
        <w:t>。</w:t>
      </w:r>
      <w:r>
        <w:rPr>
          <w:rFonts w:hint="eastAsia"/>
          <w:kern w:val="2"/>
          <w:lang w:val="en-US"/>
        </w:rPr>
        <w:t>两个项目公司对长期闲置的游客服务中心、售卖亭、停车场等设施，要因地制宜，逐个制定开发利用方案，尽快投入使用，发挥效益。对使用率过低的运动场地等，要积极研究制定提高使用率的具体措施。</w:t>
      </w:r>
    </w:p>
    <w:p>
      <w:pPr>
        <w:keepNext w:val="0"/>
        <w:keepLines w:val="0"/>
        <w:pageBreakBefore w:val="0"/>
        <w:widowControl w:val="0"/>
        <w:kinsoku/>
        <w:wordWrap/>
        <w:overflowPunct/>
        <w:topLinePunct w:val="0"/>
        <w:bidi w:val="0"/>
        <w:spacing w:line="560" w:lineRule="exact"/>
        <w:ind w:firstLine="640"/>
        <w:jc w:val="both"/>
        <w:textAlignment w:val="auto"/>
        <w:rPr>
          <w:bCs/>
          <w:szCs w:val="32"/>
          <w:lang w:val="en-US"/>
        </w:rPr>
      </w:pPr>
      <w:r>
        <w:rPr>
          <w:rFonts w:hint="eastAsia" w:ascii="仿宋_GB2312" w:hAnsi="仿宋_GB2312" w:cs="仿宋_GB2312"/>
          <w:color w:val="36363D"/>
          <w:szCs w:val="32"/>
        </w:rPr>
        <w:t>五是</w:t>
      </w:r>
      <w:r>
        <w:rPr>
          <w:rFonts w:hint="eastAsia"/>
          <w:bCs/>
          <w:szCs w:val="32"/>
          <w:lang w:val="en-US"/>
        </w:rPr>
        <w:t>充分利用自媒体等各种有效形式宣传推介，打造多个网红打卡地，提高景区活力和影响力。</w:t>
      </w:r>
    </w:p>
    <w:p>
      <w:pPr>
        <w:keepNext w:val="0"/>
        <w:keepLines w:val="0"/>
        <w:pageBreakBefore w:val="0"/>
        <w:widowControl w:val="0"/>
        <w:kinsoku/>
        <w:wordWrap/>
        <w:overflowPunct/>
        <w:topLinePunct w:val="0"/>
        <w:bidi w:val="0"/>
        <w:spacing w:line="560" w:lineRule="exact"/>
        <w:ind w:firstLine="640"/>
        <w:jc w:val="both"/>
        <w:textAlignment w:val="auto"/>
        <w:rPr>
          <w:rFonts w:hint="eastAsia"/>
          <w:lang w:val="en-US"/>
        </w:rPr>
      </w:pPr>
      <w:r>
        <w:rPr>
          <w:rFonts w:hint="eastAsia"/>
          <w:lang w:val="en-US"/>
        </w:rPr>
        <w:t>（</w:t>
      </w:r>
      <w:r>
        <w:rPr>
          <w:rFonts w:hint="eastAsia"/>
          <w:lang w:val="en-US" w:eastAsia="zh-CN"/>
        </w:rPr>
        <w:t>四</w:t>
      </w:r>
      <w:r>
        <w:rPr>
          <w:rFonts w:hint="eastAsia"/>
          <w:lang w:val="en-US"/>
        </w:rPr>
        <w:t>）全面完成批复设计的各项工程，完整实现项目功能。</w:t>
      </w:r>
    </w:p>
    <w:p>
      <w:pPr>
        <w:keepNext w:val="0"/>
        <w:keepLines w:val="0"/>
        <w:pageBreakBefore w:val="0"/>
        <w:widowControl w:val="0"/>
        <w:kinsoku/>
        <w:wordWrap/>
        <w:overflowPunct/>
        <w:topLinePunct w:val="0"/>
        <w:bidi w:val="0"/>
        <w:spacing w:line="560" w:lineRule="exact"/>
        <w:ind w:firstLine="640"/>
        <w:jc w:val="both"/>
        <w:textAlignment w:val="auto"/>
        <w:rPr>
          <w:lang w:val="en-US"/>
        </w:rPr>
      </w:pPr>
      <w:r>
        <w:rPr>
          <w:rFonts w:hint="eastAsia"/>
          <w:kern w:val="2"/>
          <w:lang w:val="en-US"/>
        </w:rPr>
        <w:t>润石公司</w:t>
      </w:r>
      <w:r>
        <w:rPr>
          <w:rFonts w:hint="eastAsia"/>
          <w:kern w:val="2"/>
          <w:szCs w:val="24"/>
          <w:lang w:val="en-US" w:bidi="ar-SA"/>
        </w:rPr>
        <w:t>子项一（新建右堤工程）,要尽快组织完工验收，早日交付使用。</w:t>
      </w:r>
      <w:r>
        <w:rPr>
          <w:rFonts w:hint="eastAsia"/>
          <w:lang w:val="en-US"/>
        </w:rPr>
        <w:t>对未完成初设要求的雨水收集利用工程、周汉河湿地工程、停车场</w:t>
      </w:r>
      <w:r>
        <w:rPr>
          <w:rFonts w:hint="eastAsia"/>
          <w:lang w:val="en-US" w:eastAsia="zh-CN"/>
        </w:rPr>
        <w:t>、照明景观灯工程</w:t>
      </w:r>
      <w:r>
        <w:rPr>
          <w:rFonts w:hint="eastAsia"/>
          <w:lang w:val="en-US"/>
        </w:rPr>
        <w:t>及5个文旅园，要根据实际办理设计变更手续，调整工程预算；不能办理变更的，要按原设计要求完成。云际公司X59+300-X59+420段120米主河槽防洪工程，要尽快确定实施方案，组织施工。对未完成初设要求的雨水收集利用、停车场工程，要根据实际办理设计变更手续，调整工程预算；不能办理变更的，要按原设计要求完成。</w:t>
      </w:r>
    </w:p>
    <w:p>
      <w:pPr>
        <w:pStyle w:val="2"/>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default"/>
          <w:highlight w:val="none"/>
          <w:lang w:val="en-US" w:eastAsia="zh-CN"/>
        </w:rPr>
      </w:pPr>
    </w:p>
    <w:sectPr>
      <w:footerReference r:id="rId5" w:type="default"/>
      <w:pgSz w:w="11906" w:h="16838"/>
      <w:pgMar w:top="1984" w:right="1474" w:bottom="1701" w:left="1587" w:header="851" w:footer="992" w:gutter="0"/>
      <w:pgBorders>
        <w:top w:val="none" w:sz="0" w:space="0"/>
        <w:left w:val="none" w:sz="0" w:space="0"/>
        <w:bottom w:val="none" w:sz="0" w:space="0"/>
        <w:right w:val="none" w:sz="0" w:space="0"/>
      </w:pgBorders>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1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640"/>
      </w:pPr>
      <w:r>
        <w:separator/>
      </w:r>
    </w:p>
  </w:footnote>
  <w:footnote w:type="continuationSeparator" w:id="1">
    <w:p>
      <w:pPr>
        <w:spacing w:line="36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49335A"/>
    <w:multiLevelType w:val="singleLevel"/>
    <w:tmpl w:val="8E49335A"/>
    <w:lvl w:ilvl="0" w:tentative="0">
      <w:start w:val="1"/>
      <w:numFmt w:val="decimal"/>
      <w:pStyle w:val="7"/>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3ABB3F21"/>
    <w:rsid w:val="00031393"/>
    <w:rsid w:val="001C2260"/>
    <w:rsid w:val="002520CB"/>
    <w:rsid w:val="00353E63"/>
    <w:rsid w:val="003A2A45"/>
    <w:rsid w:val="004351BC"/>
    <w:rsid w:val="0048756F"/>
    <w:rsid w:val="005C381C"/>
    <w:rsid w:val="005D6A1F"/>
    <w:rsid w:val="005E4D75"/>
    <w:rsid w:val="007458B7"/>
    <w:rsid w:val="00783B81"/>
    <w:rsid w:val="00800140"/>
    <w:rsid w:val="009051E9"/>
    <w:rsid w:val="00934711"/>
    <w:rsid w:val="009542DE"/>
    <w:rsid w:val="009D5C59"/>
    <w:rsid w:val="00BC595E"/>
    <w:rsid w:val="00C51D1E"/>
    <w:rsid w:val="00C5369C"/>
    <w:rsid w:val="00E46B07"/>
    <w:rsid w:val="00EB7D17"/>
    <w:rsid w:val="00F844F4"/>
    <w:rsid w:val="00FD485C"/>
    <w:rsid w:val="01170C3C"/>
    <w:rsid w:val="01207A90"/>
    <w:rsid w:val="012E526D"/>
    <w:rsid w:val="013B3CE2"/>
    <w:rsid w:val="01415244"/>
    <w:rsid w:val="01422E35"/>
    <w:rsid w:val="01473D92"/>
    <w:rsid w:val="015554EA"/>
    <w:rsid w:val="016C52ED"/>
    <w:rsid w:val="01734121"/>
    <w:rsid w:val="01776531"/>
    <w:rsid w:val="01806136"/>
    <w:rsid w:val="01963E8B"/>
    <w:rsid w:val="01A1749F"/>
    <w:rsid w:val="01A546A8"/>
    <w:rsid w:val="01CD7CED"/>
    <w:rsid w:val="020016E9"/>
    <w:rsid w:val="02005B01"/>
    <w:rsid w:val="02040F5A"/>
    <w:rsid w:val="020700DD"/>
    <w:rsid w:val="025861DB"/>
    <w:rsid w:val="02596970"/>
    <w:rsid w:val="025F0FD2"/>
    <w:rsid w:val="02762CC3"/>
    <w:rsid w:val="0277055E"/>
    <w:rsid w:val="028C266B"/>
    <w:rsid w:val="02D077E9"/>
    <w:rsid w:val="02E37E8F"/>
    <w:rsid w:val="02E55073"/>
    <w:rsid w:val="03376773"/>
    <w:rsid w:val="033C4ED1"/>
    <w:rsid w:val="03511AAD"/>
    <w:rsid w:val="0361228E"/>
    <w:rsid w:val="036E16F4"/>
    <w:rsid w:val="03741F26"/>
    <w:rsid w:val="03773C2D"/>
    <w:rsid w:val="039452B5"/>
    <w:rsid w:val="03972967"/>
    <w:rsid w:val="03AE592E"/>
    <w:rsid w:val="03C15665"/>
    <w:rsid w:val="03C44E21"/>
    <w:rsid w:val="03CE4C81"/>
    <w:rsid w:val="03F03C62"/>
    <w:rsid w:val="03FC350D"/>
    <w:rsid w:val="043265F7"/>
    <w:rsid w:val="04340B00"/>
    <w:rsid w:val="04341699"/>
    <w:rsid w:val="044542EA"/>
    <w:rsid w:val="046627F1"/>
    <w:rsid w:val="04765186"/>
    <w:rsid w:val="047F351B"/>
    <w:rsid w:val="048E0146"/>
    <w:rsid w:val="049E1A92"/>
    <w:rsid w:val="04AA0ED9"/>
    <w:rsid w:val="04B8781E"/>
    <w:rsid w:val="04D246E2"/>
    <w:rsid w:val="04D45118"/>
    <w:rsid w:val="04D61947"/>
    <w:rsid w:val="04DF08EC"/>
    <w:rsid w:val="04E93038"/>
    <w:rsid w:val="04EC37C4"/>
    <w:rsid w:val="04F27DB7"/>
    <w:rsid w:val="04F80DA7"/>
    <w:rsid w:val="05042E33"/>
    <w:rsid w:val="053C594E"/>
    <w:rsid w:val="054602AE"/>
    <w:rsid w:val="054C1552"/>
    <w:rsid w:val="055E38D3"/>
    <w:rsid w:val="058566DC"/>
    <w:rsid w:val="05973229"/>
    <w:rsid w:val="059C67CF"/>
    <w:rsid w:val="05C14D43"/>
    <w:rsid w:val="05CB0E31"/>
    <w:rsid w:val="05D134E6"/>
    <w:rsid w:val="05D26837"/>
    <w:rsid w:val="05D3642B"/>
    <w:rsid w:val="05D53382"/>
    <w:rsid w:val="05EE46B9"/>
    <w:rsid w:val="05EF1EB7"/>
    <w:rsid w:val="061A72BE"/>
    <w:rsid w:val="063059CA"/>
    <w:rsid w:val="064C5A0C"/>
    <w:rsid w:val="06577850"/>
    <w:rsid w:val="065C472A"/>
    <w:rsid w:val="06624DC0"/>
    <w:rsid w:val="066421D6"/>
    <w:rsid w:val="066D1AB6"/>
    <w:rsid w:val="067A1C70"/>
    <w:rsid w:val="067E40FF"/>
    <w:rsid w:val="068F5C3F"/>
    <w:rsid w:val="06B0767F"/>
    <w:rsid w:val="06B67A49"/>
    <w:rsid w:val="06C15FA6"/>
    <w:rsid w:val="06DF68EC"/>
    <w:rsid w:val="06E24B66"/>
    <w:rsid w:val="06F05428"/>
    <w:rsid w:val="07032AD3"/>
    <w:rsid w:val="07037B94"/>
    <w:rsid w:val="071B1B51"/>
    <w:rsid w:val="07247D8E"/>
    <w:rsid w:val="07263FF9"/>
    <w:rsid w:val="073F5F70"/>
    <w:rsid w:val="07464F7F"/>
    <w:rsid w:val="07587A7C"/>
    <w:rsid w:val="075B5367"/>
    <w:rsid w:val="07801828"/>
    <w:rsid w:val="078A4233"/>
    <w:rsid w:val="078C4ED4"/>
    <w:rsid w:val="07AC3D9B"/>
    <w:rsid w:val="07AC5355"/>
    <w:rsid w:val="07B41FED"/>
    <w:rsid w:val="07C87A79"/>
    <w:rsid w:val="07D36FFE"/>
    <w:rsid w:val="07E442F5"/>
    <w:rsid w:val="07F13B9E"/>
    <w:rsid w:val="080B2110"/>
    <w:rsid w:val="080C2BCE"/>
    <w:rsid w:val="082161FE"/>
    <w:rsid w:val="08324345"/>
    <w:rsid w:val="083E0441"/>
    <w:rsid w:val="0852034D"/>
    <w:rsid w:val="085A77B2"/>
    <w:rsid w:val="08601134"/>
    <w:rsid w:val="08614E98"/>
    <w:rsid w:val="086521B2"/>
    <w:rsid w:val="0871282D"/>
    <w:rsid w:val="0873585C"/>
    <w:rsid w:val="08780BA2"/>
    <w:rsid w:val="088B2332"/>
    <w:rsid w:val="088D3430"/>
    <w:rsid w:val="0894631B"/>
    <w:rsid w:val="089F35A4"/>
    <w:rsid w:val="08AF069F"/>
    <w:rsid w:val="08B079FA"/>
    <w:rsid w:val="08C234AD"/>
    <w:rsid w:val="08F141C8"/>
    <w:rsid w:val="08F71FB3"/>
    <w:rsid w:val="0916775A"/>
    <w:rsid w:val="09173F15"/>
    <w:rsid w:val="091A7102"/>
    <w:rsid w:val="09382257"/>
    <w:rsid w:val="095812DD"/>
    <w:rsid w:val="095A2CF7"/>
    <w:rsid w:val="095A7356"/>
    <w:rsid w:val="097C04BE"/>
    <w:rsid w:val="0987601E"/>
    <w:rsid w:val="09AC189D"/>
    <w:rsid w:val="09AC76B3"/>
    <w:rsid w:val="09BF50D5"/>
    <w:rsid w:val="09C43029"/>
    <w:rsid w:val="09CE676D"/>
    <w:rsid w:val="09D47D0E"/>
    <w:rsid w:val="09D61690"/>
    <w:rsid w:val="09DD33E4"/>
    <w:rsid w:val="09E203FF"/>
    <w:rsid w:val="09E4454B"/>
    <w:rsid w:val="09E672E4"/>
    <w:rsid w:val="09EB5493"/>
    <w:rsid w:val="0A07012C"/>
    <w:rsid w:val="0A26619C"/>
    <w:rsid w:val="0A2B229D"/>
    <w:rsid w:val="0A40607E"/>
    <w:rsid w:val="0A5E1F4A"/>
    <w:rsid w:val="0A6F352B"/>
    <w:rsid w:val="0A8E4536"/>
    <w:rsid w:val="0A9776D6"/>
    <w:rsid w:val="0AA95449"/>
    <w:rsid w:val="0AAA6D9C"/>
    <w:rsid w:val="0ABC1AA8"/>
    <w:rsid w:val="0AC67825"/>
    <w:rsid w:val="0AC974DD"/>
    <w:rsid w:val="0AD93CEE"/>
    <w:rsid w:val="0B181501"/>
    <w:rsid w:val="0B240A7F"/>
    <w:rsid w:val="0B266351"/>
    <w:rsid w:val="0B303E7B"/>
    <w:rsid w:val="0B4D5ED3"/>
    <w:rsid w:val="0B5B137D"/>
    <w:rsid w:val="0B5C5DE2"/>
    <w:rsid w:val="0B5D2DFC"/>
    <w:rsid w:val="0B5D6344"/>
    <w:rsid w:val="0B6E24D6"/>
    <w:rsid w:val="0B6F6F2B"/>
    <w:rsid w:val="0B7544CF"/>
    <w:rsid w:val="0B7A36E0"/>
    <w:rsid w:val="0B9A3DF1"/>
    <w:rsid w:val="0B9B27FB"/>
    <w:rsid w:val="0BAD4527"/>
    <w:rsid w:val="0BBD3EF1"/>
    <w:rsid w:val="0BCC2200"/>
    <w:rsid w:val="0BCF3F06"/>
    <w:rsid w:val="0BD06734"/>
    <w:rsid w:val="0BD366F1"/>
    <w:rsid w:val="0BDC30A8"/>
    <w:rsid w:val="0BEE6064"/>
    <w:rsid w:val="0BF32A3D"/>
    <w:rsid w:val="0BF33D8B"/>
    <w:rsid w:val="0BF42486"/>
    <w:rsid w:val="0C15431E"/>
    <w:rsid w:val="0C287B89"/>
    <w:rsid w:val="0C3628D7"/>
    <w:rsid w:val="0C3B1F92"/>
    <w:rsid w:val="0C3B2D31"/>
    <w:rsid w:val="0C460B9D"/>
    <w:rsid w:val="0C4F3BE7"/>
    <w:rsid w:val="0C737D27"/>
    <w:rsid w:val="0C757C50"/>
    <w:rsid w:val="0C805000"/>
    <w:rsid w:val="0C891D4E"/>
    <w:rsid w:val="0C917EE9"/>
    <w:rsid w:val="0C976AE7"/>
    <w:rsid w:val="0C9A777F"/>
    <w:rsid w:val="0CA17417"/>
    <w:rsid w:val="0CC26C92"/>
    <w:rsid w:val="0CD13901"/>
    <w:rsid w:val="0CE34EC9"/>
    <w:rsid w:val="0CE60E01"/>
    <w:rsid w:val="0CE74009"/>
    <w:rsid w:val="0CE7461F"/>
    <w:rsid w:val="0CE83E5B"/>
    <w:rsid w:val="0CF95011"/>
    <w:rsid w:val="0D005D12"/>
    <w:rsid w:val="0D02589B"/>
    <w:rsid w:val="0D09448B"/>
    <w:rsid w:val="0D0A4AA4"/>
    <w:rsid w:val="0D137DCC"/>
    <w:rsid w:val="0D5532AF"/>
    <w:rsid w:val="0D5E1CB9"/>
    <w:rsid w:val="0D805A4B"/>
    <w:rsid w:val="0DB317B6"/>
    <w:rsid w:val="0DB855A4"/>
    <w:rsid w:val="0DC10F28"/>
    <w:rsid w:val="0DC81634"/>
    <w:rsid w:val="0DCD2366"/>
    <w:rsid w:val="0DCE4B21"/>
    <w:rsid w:val="0DD07403"/>
    <w:rsid w:val="0DEC6C01"/>
    <w:rsid w:val="0DF04EB1"/>
    <w:rsid w:val="0DF660D9"/>
    <w:rsid w:val="0E0A3DB4"/>
    <w:rsid w:val="0E213FC1"/>
    <w:rsid w:val="0E234A94"/>
    <w:rsid w:val="0E244B58"/>
    <w:rsid w:val="0E2844A2"/>
    <w:rsid w:val="0E321C17"/>
    <w:rsid w:val="0E365F7D"/>
    <w:rsid w:val="0E3D6493"/>
    <w:rsid w:val="0E4E225B"/>
    <w:rsid w:val="0E75089B"/>
    <w:rsid w:val="0E8950B6"/>
    <w:rsid w:val="0E8D4B99"/>
    <w:rsid w:val="0E8F6D73"/>
    <w:rsid w:val="0E903ED3"/>
    <w:rsid w:val="0E9079F5"/>
    <w:rsid w:val="0EA9683D"/>
    <w:rsid w:val="0EC91DA1"/>
    <w:rsid w:val="0ECA65E9"/>
    <w:rsid w:val="0EE3138A"/>
    <w:rsid w:val="0EEF102E"/>
    <w:rsid w:val="0F172B75"/>
    <w:rsid w:val="0F1C2714"/>
    <w:rsid w:val="0F27112C"/>
    <w:rsid w:val="0F2D27B1"/>
    <w:rsid w:val="0F2E6D00"/>
    <w:rsid w:val="0F2E76E7"/>
    <w:rsid w:val="0F3C23A4"/>
    <w:rsid w:val="0F442C36"/>
    <w:rsid w:val="0F4A7175"/>
    <w:rsid w:val="0F5E645C"/>
    <w:rsid w:val="0F5F02F0"/>
    <w:rsid w:val="0F693D41"/>
    <w:rsid w:val="0F6972E8"/>
    <w:rsid w:val="0F766514"/>
    <w:rsid w:val="0F8B0C8C"/>
    <w:rsid w:val="0F8D6973"/>
    <w:rsid w:val="0FAE6C62"/>
    <w:rsid w:val="0FC23B18"/>
    <w:rsid w:val="0FCE4AA0"/>
    <w:rsid w:val="0FDB4B4D"/>
    <w:rsid w:val="0FED47CA"/>
    <w:rsid w:val="0FFC012B"/>
    <w:rsid w:val="1000330A"/>
    <w:rsid w:val="100A7A41"/>
    <w:rsid w:val="100B0621"/>
    <w:rsid w:val="100C3674"/>
    <w:rsid w:val="102C3240"/>
    <w:rsid w:val="102F5FF2"/>
    <w:rsid w:val="1043121B"/>
    <w:rsid w:val="1051106A"/>
    <w:rsid w:val="1051558D"/>
    <w:rsid w:val="105A1CB6"/>
    <w:rsid w:val="10626760"/>
    <w:rsid w:val="107F0318"/>
    <w:rsid w:val="10832C2A"/>
    <w:rsid w:val="108A0D56"/>
    <w:rsid w:val="109D0238"/>
    <w:rsid w:val="10A44C4D"/>
    <w:rsid w:val="10B34828"/>
    <w:rsid w:val="10BF18FD"/>
    <w:rsid w:val="10CF372F"/>
    <w:rsid w:val="10DE083F"/>
    <w:rsid w:val="10F30DA8"/>
    <w:rsid w:val="10F719B2"/>
    <w:rsid w:val="110611D0"/>
    <w:rsid w:val="111B37BF"/>
    <w:rsid w:val="112517EA"/>
    <w:rsid w:val="112C118A"/>
    <w:rsid w:val="1130313C"/>
    <w:rsid w:val="113F5733"/>
    <w:rsid w:val="114125B3"/>
    <w:rsid w:val="114442B6"/>
    <w:rsid w:val="115733C4"/>
    <w:rsid w:val="116414D5"/>
    <w:rsid w:val="11644A6A"/>
    <w:rsid w:val="117D2CE8"/>
    <w:rsid w:val="11833C45"/>
    <w:rsid w:val="118F3546"/>
    <w:rsid w:val="119847B0"/>
    <w:rsid w:val="11A02FDE"/>
    <w:rsid w:val="11A25DCB"/>
    <w:rsid w:val="11B66D22"/>
    <w:rsid w:val="11BC5733"/>
    <w:rsid w:val="11BD1775"/>
    <w:rsid w:val="11C415F8"/>
    <w:rsid w:val="11CC15E8"/>
    <w:rsid w:val="11D23FE5"/>
    <w:rsid w:val="11DA435D"/>
    <w:rsid w:val="11E75999"/>
    <w:rsid w:val="11F84147"/>
    <w:rsid w:val="11FB5400"/>
    <w:rsid w:val="11FC2116"/>
    <w:rsid w:val="120C1D9F"/>
    <w:rsid w:val="1221198B"/>
    <w:rsid w:val="12251711"/>
    <w:rsid w:val="123F6C7A"/>
    <w:rsid w:val="124E213A"/>
    <w:rsid w:val="125332D1"/>
    <w:rsid w:val="12571BB5"/>
    <w:rsid w:val="12985351"/>
    <w:rsid w:val="12A66151"/>
    <w:rsid w:val="12CF287F"/>
    <w:rsid w:val="12D00147"/>
    <w:rsid w:val="12D17464"/>
    <w:rsid w:val="12D9295D"/>
    <w:rsid w:val="12E64E3F"/>
    <w:rsid w:val="12EA0020"/>
    <w:rsid w:val="13010F25"/>
    <w:rsid w:val="130111BA"/>
    <w:rsid w:val="130B7B00"/>
    <w:rsid w:val="13106BD3"/>
    <w:rsid w:val="131213A8"/>
    <w:rsid w:val="131D3C73"/>
    <w:rsid w:val="132808C9"/>
    <w:rsid w:val="132B2ADE"/>
    <w:rsid w:val="133356D0"/>
    <w:rsid w:val="1339623C"/>
    <w:rsid w:val="134319FD"/>
    <w:rsid w:val="134358DA"/>
    <w:rsid w:val="134957DC"/>
    <w:rsid w:val="13525666"/>
    <w:rsid w:val="13580551"/>
    <w:rsid w:val="13596F49"/>
    <w:rsid w:val="135C188D"/>
    <w:rsid w:val="136214C8"/>
    <w:rsid w:val="13665D10"/>
    <w:rsid w:val="13734DD7"/>
    <w:rsid w:val="137A6C21"/>
    <w:rsid w:val="138911AB"/>
    <w:rsid w:val="138A05E6"/>
    <w:rsid w:val="139352AB"/>
    <w:rsid w:val="13943F6A"/>
    <w:rsid w:val="139502A9"/>
    <w:rsid w:val="139A506B"/>
    <w:rsid w:val="139C31BD"/>
    <w:rsid w:val="13A4788D"/>
    <w:rsid w:val="13D60314"/>
    <w:rsid w:val="13E048C6"/>
    <w:rsid w:val="13EA643B"/>
    <w:rsid w:val="13F22CC3"/>
    <w:rsid w:val="13FF15EE"/>
    <w:rsid w:val="14054ECB"/>
    <w:rsid w:val="140847AE"/>
    <w:rsid w:val="141F47F6"/>
    <w:rsid w:val="142416D3"/>
    <w:rsid w:val="142E388E"/>
    <w:rsid w:val="14353660"/>
    <w:rsid w:val="143B6FF4"/>
    <w:rsid w:val="14423DE3"/>
    <w:rsid w:val="14554145"/>
    <w:rsid w:val="146F1414"/>
    <w:rsid w:val="1485709D"/>
    <w:rsid w:val="149A52F6"/>
    <w:rsid w:val="149C7E98"/>
    <w:rsid w:val="149E308E"/>
    <w:rsid w:val="14B6108E"/>
    <w:rsid w:val="14C57E3B"/>
    <w:rsid w:val="14CC3430"/>
    <w:rsid w:val="14DB7F08"/>
    <w:rsid w:val="14F62227"/>
    <w:rsid w:val="14FE520C"/>
    <w:rsid w:val="151D1896"/>
    <w:rsid w:val="152D3A8F"/>
    <w:rsid w:val="15425622"/>
    <w:rsid w:val="15502B4A"/>
    <w:rsid w:val="155902CF"/>
    <w:rsid w:val="15670F4D"/>
    <w:rsid w:val="157B6F65"/>
    <w:rsid w:val="15873EC7"/>
    <w:rsid w:val="15A16139"/>
    <w:rsid w:val="15AF50B2"/>
    <w:rsid w:val="15B2680C"/>
    <w:rsid w:val="15B90F4A"/>
    <w:rsid w:val="15BC3529"/>
    <w:rsid w:val="15BE790F"/>
    <w:rsid w:val="15C16B48"/>
    <w:rsid w:val="15CA03B1"/>
    <w:rsid w:val="15D51ED5"/>
    <w:rsid w:val="15DE497A"/>
    <w:rsid w:val="15E046D8"/>
    <w:rsid w:val="15E33608"/>
    <w:rsid w:val="15E551B7"/>
    <w:rsid w:val="160E2170"/>
    <w:rsid w:val="16132005"/>
    <w:rsid w:val="16186934"/>
    <w:rsid w:val="161C2282"/>
    <w:rsid w:val="16204DDD"/>
    <w:rsid w:val="16294DAF"/>
    <w:rsid w:val="16343D24"/>
    <w:rsid w:val="163E27BC"/>
    <w:rsid w:val="165C556F"/>
    <w:rsid w:val="16684B13"/>
    <w:rsid w:val="167376CF"/>
    <w:rsid w:val="168A5D16"/>
    <w:rsid w:val="16A205D6"/>
    <w:rsid w:val="16A7052F"/>
    <w:rsid w:val="16A76046"/>
    <w:rsid w:val="16A77482"/>
    <w:rsid w:val="16A95227"/>
    <w:rsid w:val="16B0125C"/>
    <w:rsid w:val="16BC1C9E"/>
    <w:rsid w:val="16BE5FFB"/>
    <w:rsid w:val="16C0249A"/>
    <w:rsid w:val="16C12117"/>
    <w:rsid w:val="16C82012"/>
    <w:rsid w:val="16D324CB"/>
    <w:rsid w:val="16D44D89"/>
    <w:rsid w:val="16E20FBD"/>
    <w:rsid w:val="16E66316"/>
    <w:rsid w:val="16F21390"/>
    <w:rsid w:val="16F76E1C"/>
    <w:rsid w:val="17150B35"/>
    <w:rsid w:val="1720581D"/>
    <w:rsid w:val="172229B2"/>
    <w:rsid w:val="173070FA"/>
    <w:rsid w:val="173F1A9E"/>
    <w:rsid w:val="17495F25"/>
    <w:rsid w:val="177C3A5B"/>
    <w:rsid w:val="178440FD"/>
    <w:rsid w:val="178D3CCD"/>
    <w:rsid w:val="179A003A"/>
    <w:rsid w:val="17AD1AB6"/>
    <w:rsid w:val="17B1333A"/>
    <w:rsid w:val="17CC4952"/>
    <w:rsid w:val="17D05987"/>
    <w:rsid w:val="17D17301"/>
    <w:rsid w:val="17D952E2"/>
    <w:rsid w:val="17F40A01"/>
    <w:rsid w:val="17FE2020"/>
    <w:rsid w:val="180418A0"/>
    <w:rsid w:val="1808648B"/>
    <w:rsid w:val="18163F14"/>
    <w:rsid w:val="181D3EA8"/>
    <w:rsid w:val="18252048"/>
    <w:rsid w:val="18276EF9"/>
    <w:rsid w:val="1836586E"/>
    <w:rsid w:val="184029DB"/>
    <w:rsid w:val="1845328F"/>
    <w:rsid w:val="184A0D4D"/>
    <w:rsid w:val="187E73B5"/>
    <w:rsid w:val="188F4422"/>
    <w:rsid w:val="18904539"/>
    <w:rsid w:val="189870B3"/>
    <w:rsid w:val="18AC3FEF"/>
    <w:rsid w:val="18B22350"/>
    <w:rsid w:val="18C05E01"/>
    <w:rsid w:val="18DD2C70"/>
    <w:rsid w:val="18DE4372"/>
    <w:rsid w:val="18DF2738"/>
    <w:rsid w:val="18F8652A"/>
    <w:rsid w:val="18FD4F43"/>
    <w:rsid w:val="191D500D"/>
    <w:rsid w:val="19223929"/>
    <w:rsid w:val="19440ADC"/>
    <w:rsid w:val="194E7133"/>
    <w:rsid w:val="196B51EE"/>
    <w:rsid w:val="197F2905"/>
    <w:rsid w:val="19882502"/>
    <w:rsid w:val="19A3764E"/>
    <w:rsid w:val="19BA513F"/>
    <w:rsid w:val="19BA573E"/>
    <w:rsid w:val="19C64F2A"/>
    <w:rsid w:val="19E0422B"/>
    <w:rsid w:val="19E213E5"/>
    <w:rsid w:val="19EE0145"/>
    <w:rsid w:val="19F365B6"/>
    <w:rsid w:val="1A205E27"/>
    <w:rsid w:val="1A237D74"/>
    <w:rsid w:val="1A294BB9"/>
    <w:rsid w:val="1A4708C4"/>
    <w:rsid w:val="1A4C0DF4"/>
    <w:rsid w:val="1A6E4FF3"/>
    <w:rsid w:val="1A716DD8"/>
    <w:rsid w:val="1A762CB8"/>
    <w:rsid w:val="1A780191"/>
    <w:rsid w:val="1A78150E"/>
    <w:rsid w:val="1A8332D6"/>
    <w:rsid w:val="1A852313"/>
    <w:rsid w:val="1A9613C5"/>
    <w:rsid w:val="1A9A7DDE"/>
    <w:rsid w:val="1AAB6CE1"/>
    <w:rsid w:val="1AAC20B2"/>
    <w:rsid w:val="1AB624CF"/>
    <w:rsid w:val="1AC369AC"/>
    <w:rsid w:val="1AC9476A"/>
    <w:rsid w:val="1AD94FFD"/>
    <w:rsid w:val="1AE15362"/>
    <w:rsid w:val="1AFE59C0"/>
    <w:rsid w:val="1B045408"/>
    <w:rsid w:val="1B3C1F7D"/>
    <w:rsid w:val="1B52523E"/>
    <w:rsid w:val="1B5B36F6"/>
    <w:rsid w:val="1B7B4289"/>
    <w:rsid w:val="1B847B3C"/>
    <w:rsid w:val="1B867924"/>
    <w:rsid w:val="1B8F7D82"/>
    <w:rsid w:val="1BA2611D"/>
    <w:rsid w:val="1BA3160C"/>
    <w:rsid w:val="1BAD3868"/>
    <w:rsid w:val="1BC15092"/>
    <w:rsid w:val="1BC958DB"/>
    <w:rsid w:val="1BE62EB1"/>
    <w:rsid w:val="1C004BE9"/>
    <w:rsid w:val="1C173DD5"/>
    <w:rsid w:val="1C1B7422"/>
    <w:rsid w:val="1C276A64"/>
    <w:rsid w:val="1C45104D"/>
    <w:rsid w:val="1C4663CE"/>
    <w:rsid w:val="1C486BCF"/>
    <w:rsid w:val="1C502D95"/>
    <w:rsid w:val="1C57777F"/>
    <w:rsid w:val="1C5F515B"/>
    <w:rsid w:val="1C727B76"/>
    <w:rsid w:val="1C806F3F"/>
    <w:rsid w:val="1C8071F7"/>
    <w:rsid w:val="1C864418"/>
    <w:rsid w:val="1CB60891"/>
    <w:rsid w:val="1CB76B04"/>
    <w:rsid w:val="1CC23109"/>
    <w:rsid w:val="1CC77368"/>
    <w:rsid w:val="1CFB0CE2"/>
    <w:rsid w:val="1D014CCD"/>
    <w:rsid w:val="1D1C1970"/>
    <w:rsid w:val="1D276144"/>
    <w:rsid w:val="1D380B22"/>
    <w:rsid w:val="1D3F6D9D"/>
    <w:rsid w:val="1D413170"/>
    <w:rsid w:val="1D4440BA"/>
    <w:rsid w:val="1D595EAF"/>
    <w:rsid w:val="1D6123AA"/>
    <w:rsid w:val="1D761D89"/>
    <w:rsid w:val="1D82261E"/>
    <w:rsid w:val="1D856D43"/>
    <w:rsid w:val="1D8D3449"/>
    <w:rsid w:val="1D942F3E"/>
    <w:rsid w:val="1DA87B4B"/>
    <w:rsid w:val="1DBC5D8E"/>
    <w:rsid w:val="1DD83A46"/>
    <w:rsid w:val="1DDA385C"/>
    <w:rsid w:val="1DEA2E5C"/>
    <w:rsid w:val="1DF66AFC"/>
    <w:rsid w:val="1E0043B2"/>
    <w:rsid w:val="1E175B8E"/>
    <w:rsid w:val="1E2A606A"/>
    <w:rsid w:val="1E2F6442"/>
    <w:rsid w:val="1E356735"/>
    <w:rsid w:val="1E36138A"/>
    <w:rsid w:val="1E414C7F"/>
    <w:rsid w:val="1E473AFA"/>
    <w:rsid w:val="1E5366E1"/>
    <w:rsid w:val="1E560C46"/>
    <w:rsid w:val="1E593404"/>
    <w:rsid w:val="1E77779E"/>
    <w:rsid w:val="1E783A11"/>
    <w:rsid w:val="1E7C09E2"/>
    <w:rsid w:val="1E936A82"/>
    <w:rsid w:val="1EA416D1"/>
    <w:rsid w:val="1EA90E62"/>
    <w:rsid w:val="1EBC1D0B"/>
    <w:rsid w:val="1EC04283"/>
    <w:rsid w:val="1EC20D77"/>
    <w:rsid w:val="1F194F7A"/>
    <w:rsid w:val="1F1D0C50"/>
    <w:rsid w:val="1F4B1B3D"/>
    <w:rsid w:val="1F732419"/>
    <w:rsid w:val="1F771F30"/>
    <w:rsid w:val="1F7A0F04"/>
    <w:rsid w:val="1F7D3E58"/>
    <w:rsid w:val="1F8535E4"/>
    <w:rsid w:val="1F8654CC"/>
    <w:rsid w:val="1F87789F"/>
    <w:rsid w:val="1F8E068A"/>
    <w:rsid w:val="1F906675"/>
    <w:rsid w:val="1FAF130D"/>
    <w:rsid w:val="1FB40BF0"/>
    <w:rsid w:val="1FBF7BCB"/>
    <w:rsid w:val="1FCE1F72"/>
    <w:rsid w:val="1FCE64F7"/>
    <w:rsid w:val="1FD2470B"/>
    <w:rsid w:val="1FE33327"/>
    <w:rsid w:val="1FEE3029"/>
    <w:rsid w:val="1FEF785C"/>
    <w:rsid w:val="20125BE8"/>
    <w:rsid w:val="2014238D"/>
    <w:rsid w:val="2022032A"/>
    <w:rsid w:val="20221801"/>
    <w:rsid w:val="20496583"/>
    <w:rsid w:val="20503409"/>
    <w:rsid w:val="2056574B"/>
    <w:rsid w:val="20576CBD"/>
    <w:rsid w:val="205C5B73"/>
    <w:rsid w:val="20632E4B"/>
    <w:rsid w:val="206C080A"/>
    <w:rsid w:val="2070444D"/>
    <w:rsid w:val="20792960"/>
    <w:rsid w:val="209E56EC"/>
    <w:rsid w:val="20A445DD"/>
    <w:rsid w:val="20A748D6"/>
    <w:rsid w:val="20B7037B"/>
    <w:rsid w:val="20DE184F"/>
    <w:rsid w:val="20E144F2"/>
    <w:rsid w:val="20E26B85"/>
    <w:rsid w:val="20EC5407"/>
    <w:rsid w:val="21027C6B"/>
    <w:rsid w:val="21125BC3"/>
    <w:rsid w:val="21203642"/>
    <w:rsid w:val="2128791C"/>
    <w:rsid w:val="213F01B2"/>
    <w:rsid w:val="214529CD"/>
    <w:rsid w:val="215400DA"/>
    <w:rsid w:val="215561D0"/>
    <w:rsid w:val="215C7794"/>
    <w:rsid w:val="215D7D43"/>
    <w:rsid w:val="215F47C5"/>
    <w:rsid w:val="21687B8F"/>
    <w:rsid w:val="2186739A"/>
    <w:rsid w:val="21985FF9"/>
    <w:rsid w:val="21B068A5"/>
    <w:rsid w:val="21B2444D"/>
    <w:rsid w:val="21C77788"/>
    <w:rsid w:val="21CE3C12"/>
    <w:rsid w:val="21D56C20"/>
    <w:rsid w:val="21E17A2F"/>
    <w:rsid w:val="21F77FA8"/>
    <w:rsid w:val="21FC1E66"/>
    <w:rsid w:val="22077381"/>
    <w:rsid w:val="220A13B0"/>
    <w:rsid w:val="220B6C6D"/>
    <w:rsid w:val="22225210"/>
    <w:rsid w:val="22285E17"/>
    <w:rsid w:val="2250408C"/>
    <w:rsid w:val="22522A32"/>
    <w:rsid w:val="22587E59"/>
    <w:rsid w:val="225E06E7"/>
    <w:rsid w:val="226B2757"/>
    <w:rsid w:val="226D7459"/>
    <w:rsid w:val="22871828"/>
    <w:rsid w:val="228E3570"/>
    <w:rsid w:val="229268CC"/>
    <w:rsid w:val="229710D2"/>
    <w:rsid w:val="22981523"/>
    <w:rsid w:val="22A2162E"/>
    <w:rsid w:val="22B82988"/>
    <w:rsid w:val="22C00F68"/>
    <w:rsid w:val="22E14A32"/>
    <w:rsid w:val="22E37CC2"/>
    <w:rsid w:val="22E52B05"/>
    <w:rsid w:val="22E57E94"/>
    <w:rsid w:val="22ED4AAA"/>
    <w:rsid w:val="22F1532F"/>
    <w:rsid w:val="22FA5AAF"/>
    <w:rsid w:val="230121FD"/>
    <w:rsid w:val="23014805"/>
    <w:rsid w:val="232441C4"/>
    <w:rsid w:val="2335567E"/>
    <w:rsid w:val="233D7691"/>
    <w:rsid w:val="236A598E"/>
    <w:rsid w:val="23715574"/>
    <w:rsid w:val="23836EDB"/>
    <w:rsid w:val="238840F5"/>
    <w:rsid w:val="23897A00"/>
    <w:rsid w:val="238C07FB"/>
    <w:rsid w:val="23927901"/>
    <w:rsid w:val="23A96BCE"/>
    <w:rsid w:val="23D20521"/>
    <w:rsid w:val="23DC0974"/>
    <w:rsid w:val="23E373CE"/>
    <w:rsid w:val="23EF65C3"/>
    <w:rsid w:val="23FB17EF"/>
    <w:rsid w:val="23FE749F"/>
    <w:rsid w:val="2401256B"/>
    <w:rsid w:val="241A7B8F"/>
    <w:rsid w:val="243C3540"/>
    <w:rsid w:val="24460F1E"/>
    <w:rsid w:val="245B7E1B"/>
    <w:rsid w:val="24686E96"/>
    <w:rsid w:val="249D1EA1"/>
    <w:rsid w:val="24A14822"/>
    <w:rsid w:val="24AE00B6"/>
    <w:rsid w:val="24B60BE2"/>
    <w:rsid w:val="24BD184A"/>
    <w:rsid w:val="24BF79E4"/>
    <w:rsid w:val="24C207AD"/>
    <w:rsid w:val="24CC0E61"/>
    <w:rsid w:val="24CE1133"/>
    <w:rsid w:val="24D4498B"/>
    <w:rsid w:val="24EB5841"/>
    <w:rsid w:val="24FC7362"/>
    <w:rsid w:val="251F5358"/>
    <w:rsid w:val="25250F22"/>
    <w:rsid w:val="25370DB3"/>
    <w:rsid w:val="254473EB"/>
    <w:rsid w:val="255419E8"/>
    <w:rsid w:val="257C1EC8"/>
    <w:rsid w:val="258228B0"/>
    <w:rsid w:val="25986668"/>
    <w:rsid w:val="25AB1786"/>
    <w:rsid w:val="25B4523B"/>
    <w:rsid w:val="25C93150"/>
    <w:rsid w:val="25D10E05"/>
    <w:rsid w:val="25D51A01"/>
    <w:rsid w:val="25ED77C0"/>
    <w:rsid w:val="25EE2E3C"/>
    <w:rsid w:val="25F102A6"/>
    <w:rsid w:val="260632BC"/>
    <w:rsid w:val="261331BC"/>
    <w:rsid w:val="261D6787"/>
    <w:rsid w:val="262D6B75"/>
    <w:rsid w:val="263F1CE0"/>
    <w:rsid w:val="265544A2"/>
    <w:rsid w:val="265F4685"/>
    <w:rsid w:val="26735C00"/>
    <w:rsid w:val="267E6AC0"/>
    <w:rsid w:val="268969B3"/>
    <w:rsid w:val="269C4936"/>
    <w:rsid w:val="26A00057"/>
    <w:rsid w:val="26B00F6A"/>
    <w:rsid w:val="26C60923"/>
    <w:rsid w:val="26C9471A"/>
    <w:rsid w:val="26F11DE4"/>
    <w:rsid w:val="26FC4863"/>
    <w:rsid w:val="27191A32"/>
    <w:rsid w:val="27230ECA"/>
    <w:rsid w:val="274A26C6"/>
    <w:rsid w:val="275258CE"/>
    <w:rsid w:val="275405DE"/>
    <w:rsid w:val="27543C35"/>
    <w:rsid w:val="275E4080"/>
    <w:rsid w:val="27620A9F"/>
    <w:rsid w:val="27644611"/>
    <w:rsid w:val="276C06F8"/>
    <w:rsid w:val="276F2C2B"/>
    <w:rsid w:val="278A5515"/>
    <w:rsid w:val="27A65DE0"/>
    <w:rsid w:val="27AB6B63"/>
    <w:rsid w:val="27D24883"/>
    <w:rsid w:val="27F02AEC"/>
    <w:rsid w:val="27F57085"/>
    <w:rsid w:val="28035E6D"/>
    <w:rsid w:val="280E36F5"/>
    <w:rsid w:val="281D035D"/>
    <w:rsid w:val="282B1AD9"/>
    <w:rsid w:val="282E1FB4"/>
    <w:rsid w:val="28343684"/>
    <w:rsid w:val="28362EEA"/>
    <w:rsid w:val="284A1A00"/>
    <w:rsid w:val="284B36F3"/>
    <w:rsid w:val="284F0187"/>
    <w:rsid w:val="28500CF5"/>
    <w:rsid w:val="2852209C"/>
    <w:rsid w:val="286E2A34"/>
    <w:rsid w:val="28A50BFB"/>
    <w:rsid w:val="28BC7FBA"/>
    <w:rsid w:val="28EB7AC3"/>
    <w:rsid w:val="29086AF7"/>
    <w:rsid w:val="290A2602"/>
    <w:rsid w:val="290F10CB"/>
    <w:rsid w:val="292A1796"/>
    <w:rsid w:val="29315E17"/>
    <w:rsid w:val="295038CE"/>
    <w:rsid w:val="295513C7"/>
    <w:rsid w:val="296E30E0"/>
    <w:rsid w:val="296E67E7"/>
    <w:rsid w:val="2973478B"/>
    <w:rsid w:val="297A6249"/>
    <w:rsid w:val="298C0467"/>
    <w:rsid w:val="299100A6"/>
    <w:rsid w:val="299644DB"/>
    <w:rsid w:val="29C03D76"/>
    <w:rsid w:val="29DF3306"/>
    <w:rsid w:val="29E80A0D"/>
    <w:rsid w:val="29EA50AD"/>
    <w:rsid w:val="29FD5CF9"/>
    <w:rsid w:val="2A03660D"/>
    <w:rsid w:val="2A2431FC"/>
    <w:rsid w:val="2A313286"/>
    <w:rsid w:val="2A5B46DE"/>
    <w:rsid w:val="2A614CA7"/>
    <w:rsid w:val="2A6955B2"/>
    <w:rsid w:val="2A7012E9"/>
    <w:rsid w:val="2A7F3764"/>
    <w:rsid w:val="2A81520E"/>
    <w:rsid w:val="2A8C43BE"/>
    <w:rsid w:val="2A915767"/>
    <w:rsid w:val="2A955BC0"/>
    <w:rsid w:val="2A9B4F5B"/>
    <w:rsid w:val="2AA556C2"/>
    <w:rsid w:val="2AB230F3"/>
    <w:rsid w:val="2ABC49E3"/>
    <w:rsid w:val="2AE14742"/>
    <w:rsid w:val="2AEA14E6"/>
    <w:rsid w:val="2AF659D1"/>
    <w:rsid w:val="2AFF1CC8"/>
    <w:rsid w:val="2B1E5F90"/>
    <w:rsid w:val="2B29277B"/>
    <w:rsid w:val="2B4D32E7"/>
    <w:rsid w:val="2B584069"/>
    <w:rsid w:val="2B623EAA"/>
    <w:rsid w:val="2B6A1B3F"/>
    <w:rsid w:val="2B7A68A7"/>
    <w:rsid w:val="2B7C0A20"/>
    <w:rsid w:val="2B8C58AE"/>
    <w:rsid w:val="2BB83151"/>
    <w:rsid w:val="2BBA119F"/>
    <w:rsid w:val="2BC03088"/>
    <w:rsid w:val="2BC109BF"/>
    <w:rsid w:val="2BC33D24"/>
    <w:rsid w:val="2BD33716"/>
    <w:rsid w:val="2BEE7147"/>
    <w:rsid w:val="2C17073D"/>
    <w:rsid w:val="2C28269E"/>
    <w:rsid w:val="2C3B2FAB"/>
    <w:rsid w:val="2C484235"/>
    <w:rsid w:val="2C5846E6"/>
    <w:rsid w:val="2C6B0B34"/>
    <w:rsid w:val="2C755B2F"/>
    <w:rsid w:val="2C8D0AFB"/>
    <w:rsid w:val="2C954FA0"/>
    <w:rsid w:val="2C9B1C52"/>
    <w:rsid w:val="2C9E75C6"/>
    <w:rsid w:val="2CAD51CD"/>
    <w:rsid w:val="2CCF4AD9"/>
    <w:rsid w:val="2CF40CAA"/>
    <w:rsid w:val="2D0C2733"/>
    <w:rsid w:val="2D100F85"/>
    <w:rsid w:val="2D15380D"/>
    <w:rsid w:val="2D181465"/>
    <w:rsid w:val="2D1A49ED"/>
    <w:rsid w:val="2D1F312C"/>
    <w:rsid w:val="2D203339"/>
    <w:rsid w:val="2D2B041A"/>
    <w:rsid w:val="2D2D5CC6"/>
    <w:rsid w:val="2D44622F"/>
    <w:rsid w:val="2D482C6E"/>
    <w:rsid w:val="2D643E3F"/>
    <w:rsid w:val="2D6F20A8"/>
    <w:rsid w:val="2D7142F7"/>
    <w:rsid w:val="2D725740"/>
    <w:rsid w:val="2D7C5431"/>
    <w:rsid w:val="2DA30EC0"/>
    <w:rsid w:val="2DCB0B9C"/>
    <w:rsid w:val="2DD9794D"/>
    <w:rsid w:val="2DE85B44"/>
    <w:rsid w:val="2DEC763A"/>
    <w:rsid w:val="2DFA2021"/>
    <w:rsid w:val="2DFD1A61"/>
    <w:rsid w:val="2E06407C"/>
    <w:rsid w:val="2E0870F6"/>
    <w:rsid w:val="2E0A6052"/>
    <w:rsid w:val="2E13225F"/>
    <w:rsid w:val="2E1753E6"/>
    <w:rsid w:val="2E3E5FF8"/>
    <w:rsid w:val="2E3F2E22"/>
    <w:rsid w:val="2E5A6044"/>
    <w:rsid w:val="2E5B123A"/>
    <w:rsid w:val="2E644265"/>
    <w:rsid w:val="2E666D6C"/>
    <w:rsid w:val="2E6D3FD0"/>
    <w:rsid w:val="2E6D4381"/>
    <w:rsid w:val="2E772FA3"/>
    <w:rsid w:val="2E79675C"/>
    <w:rsid w:val="2E927026"/>
    <w:rsid w:val="2E9A4FCF"/>
    <w:rsid w:val="2EB57234"/>
    <w:rsid w:val="2EB7201C"/>
    <w:rsid w:val="2EC06DE5"/>
    <w:rsid w:val="2ED86DBB"/>
    <w:rsid w:val="2F0C472F"/>
    <w:rsid w:val="2F131DDB"/>
    <w:rsid w:val="2F1A75A9"/>
    <w:rsid w:val="2F1D6650"/>
    <w:rsid w:val="2F2444C0"/>
    <w:rsid w:val="2F2500DB"/>
    <w:rsid w:val="2F364917"/>
    <w:rsid w:val="2F3B2850"/>
    <w:rsid w:val="2F4B0BF3"/>
    <w:rsid w:val="2F707EC0"/>
    <w:rsid w:val="2F7E5C85"/>
    <w:rsid w:val="2F8D6518"/>
    <w:rsid w:val="2F8F4E1E"/>
    <w:rsid w:val="2F9D0F0C"/>
    <w:rsid w:val="2FA8421A"/>
    <w:rsid w:val="2FA97C00"/>
    <w:rsid w:val="2FB0149B"/>
    <w:rsid w:val="2FB32CD8"/>
    <w:rsid w:val="2FB67A93"/>
    <w:rsid w:val="2FDD6BB4"/>
    <w:rsid w:val="30184A24"/>
    <w:rsid w:val="30187E20"/>
    <w:rsid w:val="30383550"/>
    <w:rsid w:val="30506874"/>
    <w:rsid w:val="30580D10"/>
    <w:rsid w:val="306F7122"/>
    <w:rsid w:val="307346A7"/>
    <w:rsid w:val="307A5C7A"/>
    <w:rsid w:val="307E40F2"/>
    <w:rsid w:val="308968AE"/>
    <w:rsid w:val="3092139A"/>
    <w:rsid w:val="30940735"/>
    <w:rsid w:val="30950E8C"/>
    <w:rsid w:val="30970980"/>
    <w:rsid w:val="309D4B63"/>
    <w:rsid w:val="309E5608"/>
    <w:rsid w:val="30BB1AF6"/>
    <w:rsid w:val="30C2329C"/>
    <w:rsid w:val="30CF5220"/>
    <w:rsid w:val="30E65CDD"/>
    <w:rsid w:val="30E708F3"/>
    <w:rsid w:val="30E843C3"/>
    <w:rsid w:val="30F14D75"/>
    <w:rsid w:val="3103543E"/>
    <w:rsid w:val="31056EE9"/>
    <w:rsid w:val="31121BD4"/>
    <w:rsid w:val="31151AF1"/>
    <w:rsid w:val="31252E86"/>
    <w:rsid w:val="312D4E52"/>
    <w:rsid w:val="312F00A5"/>
    <w:rsid w:val="313E5C07"/>
    <w:rsid w:val="313F1ACC"/>
    <w:rsid w:val="31427B5C"/>
    <w:rsid w:val="314714CB"/>
    <w:rsid w:val="31492F7E"/>
    <w:rsid w:val="31503DFB"/>
    <w:rsid w:val="31546C81"/>
    <w:rsid w:val="31560AF4"/>
    <w:rsid w:val="316E3066"/>
    <w:rsid w:val="316E6F33"/>
    <w:rsid w:val="31727625"/>
    <w:rsid w:val="317E1F58"/>
    <w:rsid w:val="318B207C"/>
    <w:rsid w:val="318E427C"/>
    <w:rsid w:val="31912A36"/>
    <w:rsid w:val="31A410E8"/>
    <w:rsid w:val="31B04161"/>
    <w:rsid w:val="31BC1E5D"/>
    <w:rsid w:val="31C10D03"/>
    <w:rsid w:val="320B1E7D"/>
    <w:rsid w:val="322518E6"/>
    <w:rsid w:val="32355AFA"/>
    <w:rsid w:val="32395B79"/>
    <w:rsid w:val="3249330C"/>
    <w:rsid w:val="324B444A"/>
    <w:rsid w:val="3252314B"/>
    <w:rsid w:val="326456ED"/>
    <w:rsid w:val="32732E0F"/>
    <w:rsid w:val="328E4DDA"/>
    <w:rsid w:val="32B32CD2"/>
    <w:rsid w:val="32B52C0C"/>
    <w:rsid w:val="32C02EBD"/>
    <w:rsid w:val="32CE6605"/>
    <w:rsid w:val="32E672CB"/>
    <w:rsid w:val="331969BE"/>
    <w:rsid w:val="333A5B9B"/>
    <w:rsid w:val="333C53B5"/>
    <w:rsid w:val="334C64CC"/>
    <w:rsid w:val="334F1629"/>
    <w:rsid w:val="33691A4C"/>
    <w:rsid w:val="33953AD8"/>
    <w:rsid w:val="33C03CB5"/>
    <w:rsid w:val="33C8339B"/>
    <w:rsid w:val="33D556BD"/>
    <w:rsid w:val="33D8604C"/>
    <w:rsid w:val="33DB4102"/>
    <w:rsid w:val="33DD29D5"/>
    <w:rsid w:val="33E73B57"/>
    <w:rsid w:val="33F758C4"/>
    <w:rsid w:val="340126E2"/>
    <w:rsid w:val="340405A3"/>
    <w:rsid w:val="340D57AB"/>
    <w:rsid w:val="34222219"/>
    <w:rsid w:val="34290C39"/>
    <w:rsid w:val="34567390"/>
    <w:rsid w:val="34733F8E"/>
    <w:rsid w:val="348A731A"/>
    <w:rsid w:val="348C0ED0"/>
    <w:rsid w:val="349D0E96"/>
    <w:rsid w:val="34A41CA9"/>
    <w:rsid w:val="34AA6E04"/>
    <w:rsid w:val="34AB4033"/>
    <w:rsid w:val="34B201C2"/>
    <w:rsid w:val="34B405DE"/>
    <w:rsid w:val="34BB03BB"/>
    <w:rsid w:val="34C30981"/>
    <w:rsid w:val="34DC5733"/>
    <w:rsid w:val="34E14551"/>
    <w:rsid w:val="34E1656D"/>
    <w:rsid w:val="34FA3516"/>
    <w:rsid w:val="34FE7FC3"/>
    <w:rsid w:val="350371C8"/>
    <w:rsid w:val="350E577D"/>
    <w:rsid w:val="350E781F"/>
    <w:rsid w:val="351B42B9"/>
    <w:rsid w:val="351D7AE6"/>
    <w:rsid w:val="351F3B5B"/>
    <w:rsid w:val="353D42E4"/>
    <w:rsid w:val="35517E7F"/>
    <w:rsid w:val="3565398C"/>
    <w:rsid w:val="3566156E"/>
    <w:rsid w:val="356D768F"/>
    <w:rsid w:val="35745DE1"/>
    <w:rsid w:val="35831458"/>
    <w:rsid w:val="35852830"/>
    <w:rsid w:val="35874FE6"/>
    <w:rsid w:val="35884616"/>
    <w:rsid w:val="358B08B7"/>
    <w:rsid w:val="35917CA9"/>
    <w:rsid w:val="35996447"/>
    <w:rsid w:val="359D0E62"/>
    <w:rsid w:val="35B03C72"/>
    <w:rsid w:val="35B8603D"/>
    <w:rsid w:val="35C230DE"/>
    <w:rsid w:val="35C56C98"/>
    <w:rsid w:val="35C839EB"/>
    <w:rsid w:val="35CC551E"/>
    <w:rsid w:val="35EA0C4A"/>
    <w:rsid w:val="35F912CD"/>
    <w:rsid w:val="36164A92"/>
    <w:rsid w:val="361F5453"/>
    <w:rsid w:val="36447666"/>
    <w:rsid w:val="364E0DD0"/>
    <w:rsid w:val="3655259C"/>
    <w:rsid w:val="365A247B"/>
    <w:rsid w:val="366F65C2"/>
    <w:rsid w:val="36780396"/>
    <w:rsid w:val="367D405A"/>
    <w:rsid w:val="367E48F6"/>
    <w:rsid w:val="368C39B3"/>
    <w:rsid w:val="369F5CD4"/>
    <w:rsid w:val="36A211CA"/>
    <w:rsid w:val="36AD1CC9"/>
    <w:rsid w:val="36AF116B"/>
    <w:rsid w:val="36C3303E"/>
    <w:rsid w:val="36D6407D"/>
    <w:rsid w:val="36E272DC"/>
    <w:rsid w:val="36E47989"/>
    <w:rsid w:val="36E81F9D"/>
    <w:rsid w:val="36F54CB8"/>
    <w:rsid w:val="36FC117A"/>
    <w:rsid w:val="37095397"/>
    <w:rsid w:val="370D4E0C"/>
    <w:rsid w:val="37136612"/>
    <w:rsid w:val="371B6641"/>
    <w:rsid w:val="373D7C23"/>
    <w:rsid w:val="3752755C"/>
    <w:rsid w:val="375634D0"/>
    <w:rsid w:val="376203DD"/>
    <w:rsid w:val="37781173"/>
    <w:rsid w:val="377A3721"/>
    <w:rsid w:val="377F6350"/>
    <w:rsid w:val="378D56EB"/>
    <w:rsid w:val="3790091F"/>
    <w:rsid w:val="379927E5"/>
    <w:rsid w:val="37A93CB0"/>
    <w:rsid w:val="37AB1AF2"/>
    <w:rsid w:val="37AC5421"/>
    <w:rsid w:val="37EE3783"/>
    <w:rsid w:val="37FF5C55"/>
    <w:rsid w:val="38096581"/>
    <w:rsid w:val="382371AA"/>
    <w:rsid w:val="382529E6"/>
    <w:rsid w:val="38262F76"/>
    <w:rsid w:val="38691591"/>
    <w:rsid w:val="387324F6"/>
    <w:rsid w:val="3877283D"/>
    <w:rsid w:val="38855675"/>
    <w:rsid w:val="38985359"/>
    <w:rsid w:val="38A621EC"/>
    <w:rsid w:val="38AC55B8"/>
    <w:rsid w:val="38B37421"/>
    <w:rsid w:val="38B83B80"/>
    <w:rsid w:val="38CF363B"/>
    <w:rsid w:val="38D81C49"/>
    <w:rsid w:val="38E15404"/>
    <w:rsid w:val="39001FB6"/>
    <w:rsid w:val="3908583E"/>
    <w:rsid w:val="3910634A"/>
    <w:rsid w:val="39190CBE"/>
    <w:rsid w:val="392313B2"/>
    <w:rsid w:val="393222E5"/>
    <w:rsid w:val="39395FDB"/>
    <w:rsid w:val="393E2B59"/>
    <w:rsid w:val="396320B9"/>
    <w:rsid w:val="397828A6"/>
    <w:rsid w:val="397D1ACE"/>
    <w:rsid w:val="39882471"/>
    <w:rsid w:val="398B605E"/>
    <w:rsid w:val="39A00451"/>
    <w:rsid w:val="39A9109A"/>
    <w:rsid w:val="39AF7D81"/>
    <w:rsid w:val="39CA0AE0"/>
    <w:rsid w:val="3A011B94"/>
    <w:rsid w:val="3A1F56C5"/>
    <w:rsid w:val="3A4C17BE"/>
    <w:rsid w:val="3A4D1479"/>
    <w:rsid w:val="3A510610"/>
    <w:rsid w:val="3A6E48F4"/>
    <w:rsid w:val="3A783571"/>
    <w:rsid w:val="3A8E2F9D"/>
    <w:rsid w:val="3AB0794A"/>
    <w:rsid w:val="3AB46F36"/>
    <w:rsid w:val="3ABB3F21"/>
    <w:rsid w:val="3AC4456B"/>
    <w:rsid w:val="3ACE6EF5"/>
    <w:rsid w:val="3AD56CBC"/>
    <w:rsid w:val="3ADB3D5B"/>
    <w:rsid w:val="3ADF68BF"/>
    <w:rsid w:val="3AE43E52"/>
    <w:rsid w:val="3AF765C9"/>
    <w:rsid w:val="3B011AEB"/>
    <w:rsid w:val="3B0D4897"/>
    <w:rsid w:val="3B286606"/>
    <w:rsid w:val="3B29640C"/>
    <w:rsid w:val="3B376AC5"/>
    <w:rsid w:val="3BB1189E"/>
    <w:rsid w:val="3BBC2B3E"/>
    <w:rsid w:val="3BC97BA9"/>
    <w:rsid w:val="3BD7738D"/>
    <w:rsid w:val="3BDC0C74"/>
    <w:rsid w:val="3BE83D72"/>
    <w:rsid w:val="3C104702"/>
    <w:rsid w:val="3C225708"/>
    <w:rsid w:val="3C2803B4"/>
    <w:rsid w:val="3C3E6EFE"/>
    <w:rsid w:val="3C4A42D3"/>
    <w:rsid w:val="3C4F1E23"/>
    <w:rsid w:val="3C537AAA"/>
    <w:rsid w:val="3C60052A"/>
    <w:rsid w:val="3C673CDD"/>
    <w:rsid w:val="3C6C2B29"/>
    <w:rsid w:val="3C6F2B64"/>
    <w:rsid w:val="3C73660D"/>
    <w:rsid w:val="3C750707"/>
    <w:rsid w:val="3C845B06"/>
    <w:rsid w:val="3C942D24"/>
    <w:rsid w:val="3CC21B70"/>
    <w:rsid w:val="3CC526AF"/>
    <w:rsid w:val="3CD86EFE"/>
    <w:rsid w:val="3CE7206D"/>
    <w:rsid w:val="3CEB66B1"/>
    <w:rsid w:val="3CEE6AFA"/>
    <w:rsid w:val="3CFB3641"/>
    <w:rsid w:val="3D220618"/>
    <w:rsid w:val="3D3568D4"/>
    <w:rsid w:val="3D5874A0"/>
    <w:rsid w:val="3D6D18C8"/>
    <w:rsid w:val="3D6E372B"/>
    <w:rsid w:val="3D6F490C"/>
    <w:rsid w:val="3D8C7CFA"/>
    <w:rsid w:val="3D920945"/>
    <w:rsid w:val="3D9F1324"/>
    <w:rsid w:val="3DAD0EB3"/>
    <w:rsid w:val="3DB773B6"/>
    <w:rsid w:val="3DB9074E"/>
    <w:rsid w:val="3DD32064"/>
    <w:rsid w:val="3DD43B55"/>
    <w:rsid w:val="3DDA387C"/>
    <w:rsid w:val="3DDF6AA6"/>
    <w:rsid w:val="3DFB29E2"/>
    <w:rsid w:val="3E1215F2"/>
    <w:rsid w:val="3E135A63"/>
    <w:rsid w:val="3E2E3D3F"/>
    <w:rsid w:val="3E682024"/>
    <w:rsid w:val="3E6B7B57"/>
    <w:rsid w:val="3E710590"/>
    <w:rsid w:val="3E7979F2"/>
    <w:rsid w:val="3E853D9B"/>
    <w:rsid w:val="3E9E3E08"/>
    <w:rsid w:val="3EA267BB"/>
    <w:rsid w:val="3EB5200D"/>
    <w:rsid w:val="3EB5540A"/>
    <w:rsid w:val="3EBA1457"/>
    <w:rsid w:val="3EC344C3"/>
    <w:rsid w:val="3EED2E3A"/>
    <w:rsid w:val="3EF85F3F"/>
    <w:rsid w:val="3F016D67"/>
    <w:rsid w:val="3F0A115C"/>
    <w:rsid w:val="3F1D06F7"/>
    <w:rsid w:val="3F226D9C"/>
    <w:rsid w:val="3F4B03CE"/>
    <w:rsid w:val="3F4C5111"/>
    <w:rsid w:val="3F5C184A"/>
    <w:rsid w:val="3F5D1E04"/>
    <w:rsid w:val="3F6C7CAA"/>
    <w:rsid w:val="3F7845F9"/>
    <w:rsid w:val="3F932A2F"/>
    <w:rsid w:val="3F9802DC"/>
    <w:rsid w:val="3F9902CA"/>
    <w:rsid w:val="3FA01D08"/>
    <w:rsid w:val="3FA75717"/>
    <w:rsid w:val="3FAC07C1"/>
    <w:rsid w:val="3FAD31E3"/>
    <w:rsid w:val="3FAE4C62"/>
    <w:rsid w:val="3FAE76D3"/>
    <w:rsid w:val="3FB33E55"/>
    <w:rsid w:val="3FBC32B9"/>
    <w:rsid w:val="3FC3263D"/>
    <w:rsid w:val="3FC3565C"/>
    <w:rsid w:val="3FC84C31"/>
    <w:rsid w:val="3FC86308"/>
    <w:rsid w:val="3FDF773B"/>
    <w:rsid w:val="3FEF7333"/>
    <w:rsid w:val="400E6F2E"/>
    <w:rsid w:val="401F1994"/>
    <w:rsid w:val="403046EB"/>
    <w:rsid w:val="403B3797"/>
    <w:rsid w:val="403E375B"/>
    <w:rsid w:val="40432F9D"/>
    <w:rsid w:val="40444195"/>
    <w:rsid w:val="40517371"/>
    <w:rsid w:val="40722167"/>
    <w:rsid w:val="407342C7"/>
    <w:rsid w:val="4074591F"/>
    <w:rsid w:val="40B24307"/>
    <w:rsid w:val="40C51D9F"/>
    <w:rsid w:val="40D61002"/>
    <w:rsid w:val="40E32989"/>
    <w:rsid w:val="40EA046F"/>
    <w:rsid w:val="40F62B08"/>
    <w:rsid w:val="41033EC9"/>
    <w:rsid w:val="410B1343"/>
    <w:rsid w:val="411D2EB8"/>
    <w:rsid w:val="41486F06"/>
    <w:rsid w:val="415149FE"/>
    <w:rsid w:val="415554BD"/>
    <w:rsid w:val="416D1A3B"/>
    <w:rsid w:val="418005E1"/>
    <w:rsid w:val="418361CD"/>
    <w:rsid w:val="418619BB"/>
    <w:rsid w:val="41A23FC0"/>
    <w:rsid w:val="41AC6D6C"/>
    <w:rsid w:val="41C854AA"/>
    <w:rsid w:val="41D66999"/>
    <w:rsid w:val="41D8011A"/>
    <w:rsid w:val="41E13167"/>
    <w:rsid w:val="41E47391"/>
    <w:rsid w:val="41E60EF7"/>
    <w:rsid w:val="41E7051E"/>
    <w:rsid w:val="41F74967"/>
    <w:rsid w:val="422F3FB4"/>
    <w:rsid w:val="425F6A49"/>
    <w:rsid w:val="4260410C"/>
    <w:rsid w:val="42706A14"/>
    <w:rsid w:val="42740103"/>
    <w:rsid w:val="4275728D"/>
    <w:rsid w:val="428E6068"/>
    <w:rsid w:val="429B531C"/>
    <w:rsid w:val="429C3B79"/>
    <w:rsid w:val="42A060CF"/>
    <w:rsid w:val="42A41F7B"/>
    <w:rsid w:val="42AA256E"/>
    <w:rsid w:val="42CA313B"/>
    <w:rsid w:val="42E92F76"/>
    <w:rsid w:val="42F01EAE"/>
    <w:rsid w:val="42FA3775"/>
    <w:rsid w:val="4314611A"/>
    <w:rsid w:val="43183960"/>
    <w:rsid w:val="431E3BE6"/>
    <w:rsid w:val="43237E07"/>
    <w:rsid w:val="4332761C"/>
    <w:rsid w:val="433F3636"/>
    <w:rsid w:val="434E2974"/>
    <w:rsid w:val="4354051B"/>
    <w:rsid w:val="4354375D"/>
    <w:rsid w:val="43663531"/>
    <w:rsid w:val="43683BEB"/>
    <w:rsid w:val="436F055F"/>
    <w:rsid w:val="437A0D84"/>
    <w:rsid w:val="437B1B6B"/>
    <w:rsid w:val="438A1C2C"/>
    <w:rsid w:val="438A459B"/>
    <w:rsid w:val="438C1548"/>
    <w:rsid w:val="439C674C"/>
    <w:rsid w:val="43BF1A8C"/>
    <w:rsid w:val="43C755E8"/>
    <w:rsid w:val="43CC78E4"/>
    <w:rsid w:val="43D10EB4"/>
    <w:rsid w:val="43D233EF"/>
    <w:rsid w:val="43DC4D08"/>
    <w:rsid w:val="43E40F95"/>
    <w:rsid w:val="43EE0BFF"/>
    <w:rsid w:val="43F03C2E"/>
    <w:rsid w:val="43F35898"/>
    <w:rsid w:val="43FB4971"/>
    <w:rsid w:val="440370D1"/>
    <w:rsid w:val="440E2B75"/>
    <w:rsid w:val="4415166B"/>
    <w:rsid w:val="44212F47"/>
    <w:rsid w:val="442242C8"/>
    <w:rsid w:val="442B38C1"/>
    <w:rsid w:val="442B7435"/>
    <w:rsid w:val="4434622E"/>
    <w:rsid w:val="44355092"/>
    <w:rsid w:val="44461721"/>
    <w:rsid w:val="44480FB6"/>
    <w:rsid w:val="446068D8"/>
    <w:rsid w:val="44641089"/>
    <w:rsid w:val="44661A04"/>
    <w:rsid w:val="44684193"/>
    <w:rsid w:val="4484159E"/>
    <w:rsid w:val="44976972"/>
    <w:rsid w:val="44A71967"/>
    <w:rsid w:val="44B742EE"/>
    <w:rsid w:val="44BA6B24"/>
    <w:rsid w:val="44CA7EA9"/>
    <w:rsid w:val="44CE67A5"/>
    <w:rsid w:val="44D07C0E"/>
    <w:rsid w:val="44D16A94"/>
    <w:rsid w:val="44D36CF8"/>
    <w:rsid w:val="44D9541E"/>
    <w:rsid w:val="44DF5FA5"/>
    <w:rsid w:val="44EA7755"/>
    <w:rsid w:val="44EC5B19"/>
    <w:rsid w:val="44F869A2"/>
    <w:rsid w:val="450073E5"/>
    <w:rsid w:val="450E4C47"/>
    <w:rsid w:val="45206CFD"/>
    <w:rsid w:val="45547120"/>
    <w:rsid w:val="45644E15"/>
    <w:rsid w:val="456776EC"/>
    <w:rsid w:val="45753A6A"/>
    <w:rsid w:val="457E6DE1"/>
    <w:rsid w:val="4589345E"/>
    <w:rsid w:val="4592528C"/>
    <w:rsid w:val="45A8054F"/>
    <w:rsid w:val="45AC30A6"/>
    <w:rsid w:val="45BE4D7D"/>
    <w:rsid w:val="45BF20DF"/>
    <w:rsid w:val="45C85DA3"/>
    <w:rsid w:val="45CD2EEE"/>
    <w:rsid w:val="45EF6A07"/>
    <w:rsid w:val="45F65CF5"/>
    <w:rsid w:val="46103242"/>
    <w:rsid w:val="461F4666"/>
    <w:rsid w:val="4631126D"/>
    <w:rsid w:val="46352679"/>
    <w:rsid w:val="46362F3C"/>
    <w:rsid w:val="464068AD"/>
    <w:rsid w:val="465E1711"/>
    <w:rsid w:val="466062A9"/>
    <w:rsid w:val="466222F4"/>
    <w:rsid w:val="46652BC0"/>
    <w:rsid w:val="468450DB"/>
    <w:rsid w:val="46954F2F"/>
    <w:rsid w:val="4698209D"/>
    <w:rsid w:val="469C5188"/>
    <w:rsid w:val="46B77E1C"/>
    <w:rsid w:val="46C37282"/>
    <w:rsid w:val="46CA1C48"/>
    <w:rsid w:val="47010E4F"/>
    <w:rsid w:val="47074FE7"/>
    <w:rsid w:val="470A49E4"/>
    <w:rsid w:val="470B0E14"/>
    <w:rsid w:val="470C72D8"/>
    <w:rsid w:val="473C3C01"/>
    <w:rsid w:val="473E6C9A"/>
    <w:rsid w:val="47464F2D"/>
    <w:rsid w:val="474F1079"/>
    <w:rsid w:val="47504324"/>
    <w:rsid w:val="475B49DF"/>
    <w:rsid w:val="476F0611"/>
    <w:rsid w:val="47702CD3"/>
    <w:rsid w:val="47772D8A"/>
    <w:rsid w:val="477A7377"/>
    <w:rsid w:val="478245C8"/>
    <w:rsid w:val="47885F81"/>
    <w:rsid w:val="47891607"/>
    <w:rsid w:val="478A34FC"/>
    <w:rsid w:val="478B06AC"/>
    <w:rsid w:val="478B1022"/>
    <w:rsid w:val="47CF6E30"/>
    <w:rsid w:val="47E34E57"/>
    <w:rsid w:val="47E72C8A"/>
    <w:rsid w:val="47ED0BC0"/>
    <w:rsid w:val="47ED4A68"/>
    <w:rsid w:val="480F3093"/>
    <w:rsid w:val="4810743B"/>
    <w:rsid w:val="4814505C"/>
    <w:rsid w:val="48442BF2"/>
    <w:rsid w:val="48541135"/>
    <w:rsid w:val="485469F8"/>
    <w:rsid w:val="48597148"/>
    <w:rsid w:val="485A6263"/>
    <w:rsid w:val="486A68CB"/>
    <w:rsid w:val="48835682"/>
    <w:rsid w:val="488E5FC7"/>
    <w:rsid w:val="4895161F"/>
    <w:rsid w:val="489D2362"/>
    <w:rsid w:val="48C56D8E"/>
    <w:rsid w:val="48D158B4"/>
    <w:rsid w:val="48D8436F"/>
    <w:rsid w:val="48E2036E"/>
    <w:rsid w:val="48EA5D32"/>
    <w:rsid w:val="48F61F62"/>
    <w:rsid w:val="490C518F"/>
    <w:rsid w:val="490E4E5F"/>
    <w:rsid w:val="49134942"/>
    <w:rsid w:val="49427176"/>
    <w:rsid w:val="4949316E"/>
    <w:rsid w:val="49515591"/>
    <w:rsid w:val="496067DE"/>
    <w:rsid w:val="496D5D50"/>
    <w:rsid w:val="497E406C"/>
    <w:rsid w:val="498C6CDC"/>
    <w:rsid w:val="499606B9"/>
    <w:rsid w:val="49986C65"/>
    <w:rsid w:val="49A137D9"/>
    <w:rsid w:val="49A3327D"/>
    <w:rsid w:val="49A715DA"/>
    <w:rsid w:val="49A9773A"/>
    <w:rsid w:val="49AD58A3"/>
    <w:rsid w:val="49B30916"/>
    <w:rsid w:val="49C91670"/>
    <w:rsid w:val="49D65ED8"/>
    <w:rsid w:val="49D841EF"/>
    <w:rsid w:val="49E721B2"/>
    <w:rsid w:val="49E84412"/>
    <w:rsid w:val="49E90F17"/>
    <w:rsid w:val="49EF64BC"/>
    <w:rsid w:val="49F527E1"/>
    <w:rsid w:val="49F75CEB"/>
    <w:rsid w:val="4A26501C"/>
    <w:rsid w:val="4A2820C0"/>
    <w:rsid w:val="4A393670"/>
    <w:rsid w:val="4A4476BF"/>
    <w:rsid w:val="4A4D6202"/>
    <w:rsid w:val="4A6A7A17"/>
    <w:rsid w:val="4A7A1B61"/>
    <w:rsid w:val="4A7A4D71"/>
    <w:rsid w:val="4A8038D7"/>
    <w:rsid w:val="4A825348"/>
    <w:rsid w:val="4A8345EA"/>
    <w:rsid w:val="4AAB6FD1"/>
    <w:rsid w:val="4AB04C66"/>
    <w:rsid w:val="4AB96CDF"/>
    <w:rsid w:val="4AC64FD6"/>
    <w:rsid w:val="4ACA2609"/>
    <w:rsid w:val="4ADA6DAE"/>
    <w:rsid w:val="4AEC69E2"/>
    <w:rsid w:val="4AEE0CAD"/>
    <w:rsid w:val="4AF07FDD"/>
    <w:rsid w:val="4AF86F93"/>
    <w:rsid w:val="4B057B82"/>
    <w:rsid w:val="4B0F232F"/>
    <w:rsid w:val="4B0F5CE8"/>
    <w:rsid w:val="4B114AB9"/>
    <w:rsid w:val="4B161230"/>
    <w:rsid w:val="4B1C18DF"/>
    <w:rsid w:val="4B2632BB"/>
    <w:rsid w:val="4B2A5319"/>
    <w:rsid w:val="4B35377F"/>
    <w:rsid w:val="4B3B2BB0"/>
    <w:rsid w:val="4B4271B4"/>
    <w:rsid w:val="4B5A0062"/>
    <w:rsid w:val="4B647A4E"/>
    <w:rsid w:val="4B7124FE"/>
    <w:rsid w:val="4B7664F7"/>
    <w:rsid w:val="4BC038A3"/>
    <w:rsid w:val="4BDD4B75"/>
    <w:rsid w:val="4BF3297B"/>
    <w:rsid w:val="4BF81DE8"/>
    <w:rsid w:val="4BFE6A13"/>
    <w:rsid w:val="4C2335A6"/>
    <w:rsid w:val="4C2A43FB"/>
    <w:rsid w:val="4C2A602D"/>
    <w:rsid w:val="4C5F7FE6"/>
    <w:rsid w:val="4C667E62"/>
    <w:rsid w:val="4C6A121F"/>
    <w:rsid w:val="4C756EC6"/>
    <w:rsid w:val="4C7A0BDC"/>
    <w:rsid w:val="4C851EF2"/>
    <w:rsid w:val="4C8652AA"/>
    <w:rsid w:val="4C8F331B"/>
    <w:rsid w:val="4CA6537B"/>
    <w:rsid w:val="4CA72CC7"/>
    <w:rsid w:val="4CD171FA"/>
    <w:rsid w:val="4CD63F74"/>
    <w:rsid w:val="4CD6689C"/>
    <w:rsid w:val="4CE75366"/>
    <w:rsid w:val="4CEF4538"/>
    <w:rsid w:val="4CF02DC8"/>
    <w:rsid w:val="4CFB7DCD"/>
    <w:rsid w:val="4D0A4BE6"/>
    <w:rsid w:val="4D0C5801"/>
    <w:rsid w:val="4D12025A"/>
    <w:rsid w:val="4D162842"/>
    <w:rsid w:val="4D1C76DC"/>
    <w:rsid w:val="4D394F07"/>
    <w:rsid w:val="4D3C635A"/>
    <w:rsid w:val="4D3E3904"/>
    <w:rsid w:val="4D4A3EB9"/>
    <w:rsid w:val="4D52686A"/>
    <w:rsid w:val="4D671006"/>
    <w:rsid w:val="4D7101D5"/>
    <w:rsid w:val="4D7C5263"/>
    <w:rsid w:val="4D7F1153"/>
    <w:rsid w:val="4D8617D4"/>
    <w:rsid w:val="4D8A57A9"/>
    <w:rsid w:val="4DA12699"/>
    <w:rsid w:val="4DAA0AFA"/>
    <w:rsid w:val="4DAA2EAA"/>
    <w:rsid w:val="4DAF569B"/>
    <w:rsid w:val="4DB06D41"/>
    <w:rsid w:val="4DC27235"/>
    <w:rsid w:val="4DD63576"/>
    <w:rsid w:val="4DE2245D"/>
    <w:rsid w:val="4DE94903"/>
    <w:rsid w:val="4DF9773B"/>
    <w:rsid w:val="4E057174"/>
    <w:rsid w:val="4E0F3063"/>
    <w:rsid w:val="4E106BA1"/>
    <w:rsid w:val="4E1626C2"/>
    <w:rsid w:val="4E234396"/>
    <w:rsid w:val="4E315DF4"/>
    <w:rsid w:val="4E467E8E"/>
    <w:rsid w:val="4E563088"/>
    <w:rsid w:val="4E5D5AE5"/>
    <w:rsid w:val="4E617C13"/>
    <w:rsid w:val="4E710EC1"/>
    <w:rsid w:val="4E716E32"/>
    <w:rsid w:val="4E854D43"/>
    <w:rsid w:val="4E886826"/>
    <w:rsid w:val="4EA16733"/>
    <w:rsid w:val="4EAD026C"/>
    <w:rsid w:val="4EB41B4A"/>
    <w:rsid w:val="4EBA5A25"/>
    <w:rsid w:val="4EC03178"/>
    <w:rsid w:val="4EC327FA"/>
    <w:rsid w:val="4ED70FC0"/>
    <w:rsid w:val="4ED908AC"/>
    <w:rsid w:val="4EDC219C"/>
    <w:rsid w:val="4EF42F23"/>
    <w:rsid w:val="4EF45F06"/>
    <w:rsid w:val="4EF66525"/>
    <w:rsid w:val="4EF70E3B"/>
    <w:rsid w:val="4EFC5641"/>
    <w:rsid w:val="4F0519DC"/>
    <w:rsid w:val="4F307AB2"/>
    <w:rsid w:val="4F3B5FC1"/>
    <w:rsid w:val="4F4A706E"/>
    <w:rsid w:val="4F4C58A3"/>
    <w:rsid w:val="4F557B01"/>
    <w:rsid w:val="4F6F3E38"/>
    <w:rsid w:val="4F7827D8"/>
    <w:rsid w:val="4F7C6907"/>
    <w:rsid w:val="4F7E7F87"/>
    <w:rsid w:val="4F826E50"/>
    <w:rsid w:val="4F8901BE"/>
    <w:rsid w:val="4FA50C3F"/>
    <w:rsid w:val="4FA70EBB"/>
    <w:rsid w:val="4FB736FA"/>
    <w:rsid w:val="4FBD6CBF"/>
    <w:rsid w:val="4FC51D77"/>
    <w:rsid w:val="4FC844E1"/>
    <w:rsid w:val="4FCC683A"/>
    <w:rsid w:val="4FCF4FD5"/>
    <w:rsid w:val="4FD946AA"/>
    <w:rsid w:val="4FDF0F64"/>
    <w:rsid w:val="4FDF7A07"/>
    <w:rsid w:val="4FE12115"/>
    <w:rsid w:val="4FE41A35"/>
    <w:rsid w:val="4FF925EC"/>
    <w:rsid w:val="4FFB45B7"/>
    <w:rsid w:val="500B08F7"/>
    <w:rsid w:val="500F52C4"/>
    <w:rsid w:val="501309B9"/>
    <w:rsid w:val="501D7366"/>
    <w:rsid w:val="50365762"/>
    <w:rsid w:val="503B71FB"/>
    <w:rsid w:val="50453C16"/>
    <w:rsid w:val="505A7042"/>
    <w:rsid w:val="506251EC"/>
    <w:rsid w:val="506F0679"/>
    <w:rsid w:val="50781503"/>
    <w:rsid w:val="507B09B6"/>
    <w:rsid w:val="50851D89"/>
    <w:rsid w:val="50A16933"/>
    <w:rsid w:val="50A50F43"/>
    <w:rsid w:val="50A82F22"/>
    <w:rsid w:val="50BD2EA4"/>
    <w:rsid w:val="50C01A23"/>
    <w:rsid w:val="50EE0C92"/>
    <w:rsid w:val="5114545F"/>
    <w:rsid w:val="511C2C03"/>
    <w:rsid w:val="511C7C39"/>
    <w:rsid w:val="512249C7"/>
    <w:rsid w:val="512E3C34"/>
    <w:rsid w:val="512F04FB"/>
    <w:rsid w:val="5134396F"/>
    <w:rsid w:val="51401E3C"/>
    <w:rsid w:val="514068BD"/>
    <w:rsid w:val="51516431"/>
    <w:rsid w:val="515751D2"/>
    <w:rsid w:val="5160739A"/>
    <w:rsid w:val="516727AE"/>
    <w:rsid w:val="5175602B"/>
    <w:rsid w:val="517654A5"/>
    <w:rsid w:val="517F4D02"/>
    <w:rsid w:val="51AC3D60"/>
    <w:rsid w:val="51CC7361"/>
    <w:rsid w:val="51E35971"/>
    <w:rsid w:val="51E93138"/>
    <w:rsid w:val="51EA4C24"/>
    <w:rsid w:val="51EF5D10"/>
    <w:rsid w:val="52014EA2"/>
    <w:rsid w:val="52092B88"/>
    <w:rsid w:val="52145FF4"/>
    <w:rsid w:val="521D5957"/>
    <w:rsid w:val="524A2777"/>
    <w:rsid w:val="525553D6"/>
    <w:rsid w:val="5267436E"/>
    <w:rsid w:val="52770DA8"/>
    <w:rsid w:val="527C4642"/>
    <w:rsid w:val="527F1ADB"/>
    <w:rsid w:val="528832DA"/>
    <w:rsid w:val="52920C42"/>
    <w:rsid w:val="52992845"/>
    <w:rsid w:val="52A228FF"/>
    <w:rsid w:val="52A82FC7"/>
    <w:rsid w:val="52B70858"/>
    <w:rsid w:val="52C26EF3"/>
    <w:rsid w:val="52C65D4D"/>
    <w:rsid w:val="52D545E1"/>
    <w:rsid w:val="52DB4E93"/>
    <w:rsid w:val="52DD79D3"/>
    <w:rsid w:val="52F27E61"/>
    <w:rsid w:val="531618F1"/>
    <w:rsid w:val="5328115A"/>
    <w:rsid w:val="533C7877"/>
    <w:rsid w:val="534221B4"/>
    <w:rsid w:val="535652BB"/>
    <w:rsid w:val="536E19BB"/>
    <w:rsid w:val="537361CE"/>
    <w:rsid w:val="539266D7"/>
    <w:rsid w:val="53A362A9"/>
    <w:rsid w:val="53A670EB"/>
    <w:rsid w:val="53AC248D"/>
    <w:rsid w:val="53AE0F48"/>
    <w:rsid w:val="53B332CF"/>
    <w:rsid w:val="53B420BF"/>
    <w:rsid w:val="53C71634"/>
    <w:rsid w:val="53D52CD0"/>
    <w:rsid w:val="53E10C34"/>
    <w:rsid w:val="53F07EF9"/>
    <w:rsid w:val="53FD0BB2"/>
    <w:rsid w:val="54020F3A"/>
    <w:rsid w:val="54224BBE"/>
    <w:rsid w:val="542E4536"/>
    <w:rsid w:val="54321676"/>
    <w:rsid w:val="543832BC"/>
    <w:rsid w:val="54462559"/>
    <w:rsid w:val="545514BF"/>
    <w:rsid w:val="545C053B"/>
    <w:rsid w:val="54661CFB"/>
    <w:rsid w:val="54872F51"/>
    <w:rsid w:val="54900E71"/>
    <w:rsid w:val="54943390"/>
    <w:rsid w:val="54A90FDA"/>
    <w:rsid w:val="54A953DA"/>
    <w:rsid w:val="54DD0740"/>
    <w:rsid w:val="54ED7DF0"/>
    <w:rsid w:val="54F61192"/>
    <w:rsid w:val="54F66C6A"/>
    <w:rsid w:val="54FB3C5D"/>
    <w:rsid w:val="55083BFE"/>
    <w:rsid w:val="550C27B6"/>
    <w:rsid w:val="551D14CF"/>
    <w:rsid w:val="55200FFC"/>
    <w:rsid w:val="5520600B"/>
    <w:rsid w:val="552A2C76"/>
    <w:rsid w:val="552A638D"/>
    <w:rsid w:val="552B080D"/>
    <w:rsid w:val="552F3E6E"/>
    <w:rsid w:val="552F45F1"/>
    <w:rsid w:val="553648D3"/>
    <w:rsid w:val="554309D5"/>
    <w:rsid w:val="554B0A0C"/>
    <w:rsid w:val="554E574A"/>
    <w:rsid w:val="555561B1"/>
    <w:rsid w:val="555A4A00"/>
    <w:rsid w:val="557867E0"/>
    <w:rsid w:val="55805F3E"/>
    <w:rsid w:val="558C49C1"/>
    <w:rsid w:val="558D76C1"/>
    <w:rsid w:val="55974726"/>
    <w:rsid w:val="55A808B5"/>
    <w:rsid w:val="55BF4183"/>
    <w:rsid w:val="55C125EC"/>
    <w:rsid w:val="55CC2217"/>
    <w:rsid w:val="55F60495"/>
    <w:rsid w:val="55FD5B5B"/>
    <w:rsid w:val="56135DE7"/>
    <w:rsid w:val="56184248"/>
    <w:rsid w:val="56212E8C"/>
    <w:rsid w:val="56215AB4"/>
    <w:rsid w:val="562778F4"/>
    <w:rsid w:val="56312373"/>
    <w:rsid w:val="56495575"/>
    <w:rsid w:val="56514FC2"/>
    <w:rsid w:val="56555E65"/>
    <w:rsid w:val="5658335A"/>
    <w:rsid w:val="56586454"/>
    <w:rsid w:val="565B4AC9"/>
    <w:rsid w:val="56750DAE"/>
    <w:rsid w:val="56792FFC"/>
    <w:rsid w:val="56855ED1"/>
    <w:rsid w:val="569A0BCD"/>
    <w:rsid w:val="56A66D54"/>
    <w:rsid w:val="56AE20D4"/>
    <w:rsid w:val="56AF075E"/>
    <w:rsid w:val="56D15DFA"/>
    <w:rsid w:val="56DC6C95"/>
    <w:rsid w:val="56F901DF"/>
    <w:rsid w:val="56FC58A6"/>
    <w:rsid w:val="56FC6A97"/>
    <w:rsid w:val="571E2F99"/>
    <w:rsid w:val="573D48E7"/>
    <w:rsid w:val="57405E68"/>
    <w:rsid w:val="57637B88"/>
    <w:rsid w:val="5773294D"/>
    <w:rsid w:val="57736FCA"/>
    <w:rsid w:val="577976D3"/>
    <w:rsid w:val="57AC6A1C"/>
    <w:rsid w:val="57B471C1"/>
    <w:rsid w:val="57C530F7"/>
    <w:rsid w:val="57C53C1D"/>
    <w:rsid w:val="57C62AC4"/>
    <w:rsid w:val="57C67D2E"/>
    <w:rsid w:val="57C90AD7"/>
    <w:rsid w:val="57D870AB"/>
    <w:rsid w:val="57DE5CF0"/>
    <w:rsid w:val="57E91762"/>
    <w:rsid w:val="57F06CDD"/>
    <w:rsid w:val="580B521F"/>
    <w:rsid w:val="583B71DD"/>
    <w:rsid w:val="58547AA1"/>
    <w:rsid w:val="5860752A"/>
    <w:rsid w:val="586B1E58"/>
    <w:rsid w:val="587B7DF3"/>
    <w:rsid w:val="589162A4"/>
    <w:rsid w:val="589910DA"/>
    <w:rsid w:val="58B77EC9"/>
    <w:rsid w:val="58C17272"/>
    <w:rsid w:val="58C21646"/>
    <w:rsid w:val="58D75FE9"/>
    <w:rsid w:val="58D9171A"/>
    <w:rsid w:val="58F153A7"/>
    <w:rsid w:val="590D42E4"/>
    <w:rsid w:val="59101387"/>
    <w:rsid w:val="59116355"/>
    <w:rsid w:val="5915641D"/>
    <w:rsid w:val="59202963"/>
    <w:rsid w:val="59286825"/>
    <w:rsid w:val="592E44C6"/>
    <w:rsid w:val="593B762C"/>
    <w:rsid w:val="59471189"/>
    <w:rsid w:val="59533BE2"/>
    <w:rsid w:val="59791FA6"/>
    <w:rsid w:val="598737F8"/>
    <w:rsid w:val="59953D5A"/>
    <w:rsid w:val="59A64791"/>
    <w:rsid w:val="59AB5CC5"/>
    <w:rsid w:val="59B30E43"/>
    <w:rsid w:val="59B9008A"/>
    <w:rsid w:val="59B97FA4"/>
    <w:rsid w:val="59C61029"/>
    <w:rsid w:val="59C801AF"/>
    <w:rsid w:val="59CB61A6"/>
    <w:rsid w:val="59D202B7"/>
    <w:rsid w:val="59D502E3"/>
    <w:rsid w:val="59E05AC9"/>
    <w:rsid w:val="59E072F7"/>
    <w:rsid w:val="59E638FC"/>
    <w:rsid w:val="59EC4721"/>
    <w:rsid w:val="59F47FD4"/>
    <w:rsid w:val="5A0745C8"/>
    <w:rsid w:val="5A0E1ED5"/>
    <w:rsid w:val="5A220761"/>
    <w:rsid w:val="5A336E77"/>
    <w:rsid w:val="5A3436E0"/>
    <w:rsid w:val="5A3D7A88"/>
    <w:rsid w:val="5A414789"/>
    <w:rsid w:val="5A477EBC"/>
    <w:rsid w:val="5A623232"/>
    <w:rsid w:val="5A772FF6"/>
    <w:rsid w:val="5A8A10C1"/>
    <w:rsid w:val="5A93446C"/>
    <w:rsid w:val="5A9543EF"/>
    <w:rsid w:val="5A954DBF"/>
    <w:rsid w:val="5A9D1A58"/>
    <w:rsid w:val="5AA154E2"/>
    <w:rsid w:val="5AA86836"/>
    <w:rsid w:val="5AB53F41"/>
    <w:rsid w:val="5ABD642C"/>
    <w:rsid w:val="5ABF45C2"/>
    <w:rsid w:val="5ACD48B9"/>
    <w:rsid w:val="5AD70F83"/>
    <w:rsid w:val="5AF1137A"/>
    <w:rsid w:val="5AF233BD"/>
    <w:rsid w:val="5B1E5373"/>
    <w:rsid w:val="5B2B6746"/>
    <w:rsid w:val="5B2D09AC"/>
    <w:rsid w:val="5B3660A0"/>
    <w:rsid w:val="5B3A1ABB"/>
    <w:rsid w:val="5B3F061B"/>
    <w:rsid w:val="5B595A20"/>
    <w:rsid w:val="5B6632C4"/>
    <w:rsid w:val="5B745AB4"/>
    <w:rsid w:val="5B777142"/>
    <w:rsid w:val="5B940E36"/>
    <w:rsid w:val="5B96778C"/>
    <w:rsid w:val="5B9D1F2F"/>
    <w:rsid w:val="5BA61BC4"/>
    <w:rsid w:val="5BA90567"/>
    <w:rsid w:val="5BB43D86"/>
    <w:rsid w:val="5BBE38DC"/>
    <w:rsid w:val="5BC4219A"/>
    <w:rsid w:val="5BD37191"/>
    <w:rsid w:val="5BD9765D"/>
    <w:rsid w:val="5BDB181D"/>
    <w:rsid w:val="5BE3295E"/>
    <w:rsid w:val="5BE80B73"/>
    <w:rsid w:val="5BF314C6"/>
    <w:rsid w:val="5C1A51D2"/>
    <w:rsid w:val="5C252D2B"/>
    <w:rsid w:val="5C355549"/>
    <w:rsid w:val="5C401AA2"/>
    <w:rsid w:val="5C440353"/>
    <w:rsid w:val="5C6F004A"/>
    <w:rsid w:val="5C7E50B4"/>
    <w:rsid w:val="5C8B09DF"/>
    <w:rsid w:val="5C991298"/>
    <w:rsid w:val="5CA13974"/>
    <w:rsid w:val="5CAE19A3"/>
    <w:rsid w:val="5CEA12AA"/>
    <w:rsid w:val="5CFC30CA"/>
    <w:rsid w:val="5D0272DD"/>
    <w:rsid w:val="5D037ACB"/>
    <w:rsid w:val="5D1D5D39"/>
    <w:rsid w:val="5D424EDD"/>
    <w:rsid w:val="5D590D99"/>
    <w:rsid w:val="5D607C2E"/>
    <w:rsid w:val="5D894C8E"/>
    <w:rsid w:val="5D8B1D30"/>
    <w:rsid w:val="5D8C76DC"/>
    <w:rsid w:val="5D8D5514"/>
    <w:rsid w:val="5D9241DC"/>
    <w:rsid w:val="5D992AA6"/>
    <w:rsid w:val="5DA31F57"/>
    <w:rsid w:val="5DAC61AD"/>
    <w:rsid w:val="5DB420AA"/>
    <w:rsid w:val="5DC25CA8"/>
    <w:rsid w:val="5DD270B3"/>
    <w:rsid w:val="5DE564EF"/>
    <w:rsid w:val="5DEF1FB3"/>
    <w:rsid w:val="5DF03A2F"/>
    <w:rsid w:val="5DF254FF"/>
    <w:rsid w:val="5DFA6259"/>
    <w:rsid w:val="5DFF0AA9"/>
    <w:rsid w:val="5E0B5F45"/>
    <w:rsid w:val="5E2E0870"/>
    <w:rsid w:val="5E3B2A15"/>
    <w:rsid w:val="5E44180E"/>
    <w:rsid w:val="5E50012D"/>
    <w:rsid w:val="5E7C62BC"/>
    <w:rsid w:val="5E7D2D62"/>
    <w:rsid w:val="5E8A0D5D"/>
    <w:rsid w:val="5E8C517B"/>
    <w:rsid w:val="5E906CC9"/>
    <w:rsid w:val="5E933AB3"/>
    <w:rsid w:val="5E9C7C37"/>
    <w:rsid w:val="5EA85E33"/>
    <w:rsid w:val="5EC01E83"/>
    <w:rsid w:val="5EC85EFB"/>
    <w:rsid w:val="5ECD011C"/>
    <w:rsid w:val="5ED31E80"/>
    <w:rsid w:val="5ED62ED8"/>
    <w:rsid w:val="5EDD5FC1"/>
    <w:rsid w:val="5EE914A2"/>
    <w:rsid w:val="5EFC7AB9"/>
    <w:rsid w:val="5F0F7562"/>
    <w:rsid w:val="5F117D70"/>
    <w:rsid w:val="5F124E9B"/>
    <w:rsid w:val="5F28589B"/>
    <w:rsid w:val="5F3071BD"/>
    <w:rsid w:val="5F49538C"/>
    <w:rsid w:val="5F4C652E"/>
    <w:rsid w:val="5F5E2122"/>
    <w:rsid w:val="5F5E4C3F"/>
    <w:rsid w:val="5F641646"/>
    <w:rsid w:val="5F6A79E0"/>
    <w:rsid w:val="5F700265"/>
    <w:rsid w:val="5F8727E8"/>
    <w:rsid w:val="5F9C347C"/>
    <w:rsid w:val="5FA306E8"/>
    <w:rsid w:val="5FB67DA5"/>
    <w:rsid w:val="5FC033CB"/>
    <w:rsid w:val="5FCD5C73"/>
    <w:rsid w:val="5FCF3D07"/>
    <w:rsid w:val="5FE03FBC"/>
    <w:rsid w:val="5FF13277"/>
    <w:rsid w:val="601F19EF"/>
    <w:rsid w:val="60483E7F"/>
    <w:rsid w:val="604E3AF7"/>
    <w:rsid w:val="60550320"/>
    <w:rsid w:val="6064352A"/>
    <w:rsid w:val="606F55B7"/>
    <w:rsid w:val="60834F32"/>
    <w:rsid w:val="6085066F"/>
    <w:rsid w:val="60910E65"/>
    <w:rsid w:val="609D4519"/>
    <w:rsid w:val="60B959D0"/>
    <w:rsid w:val="60ED0408"/>
    <w:rsid w:val="60F24C11"/>
    <w:rsid w:val="60F86699"/>
    <w:rsid w:val="61065C77"/>
    <w:rsid w:val="611E14DE"/>
    <w:rsid w:val="612D2B12"/>
    <w:rsid w:val="61302A10"/>
    <w:rsid w:val="61686054"/>
    <w:rsid w:val="6169667E"/>
    <w:rsid w:val="61733FBA"/>
    <w:rsid w:val="6176590F"/>
    <w:rsid w:val="617E7C8B"/>
    <w:rsid w:val="61802958"/>
    <w:rsid w:val="61826C82"/>
    <w:rsid w:val="618318E7"/>
    <w:rsid w:val="6195578B"/>
    <w:rsid w:val="61983649"/>
    <w:rsid w:val="619D6584"/>
    <w:rsid w:val="61AB4708"/>
    <w:rsid w:val="61C470FB"/>
    <w:rsid w:val="61F00488"/>
    <w:rsid w:val="61F542E5"/>
    <w:rsid w:val="61FA0075"/>
    <w:rsid w:val="621A6695"/>
    <w:rsid w:val="62203B86"/>
    <w:rsid w:val="622E511D"/>
    <w:rsid w:val="62313FBD"/>
    <w:rsid w:val="62426F85"/>
    <w:rsid w:val="62496D7D"/>
    <w:rsid w:val="624F4225"/>
    <w:rsid w:val="629651BA"/>
    <w:rsid w:val="62AE626D"/>
    <w:rsid w:val="62B6402D"/>
    <w:rsid w:val="62BD2F13"/>
    <w:rsid w:val="62D63048"/>
    <w:rsid w:val="62D638EF"/>
    <w:rsid w:val="63057B0B"/>
    <w:rsid w:val="6306507D"/>
    <w:rsid w:val="630943FF"/>
    <w:rsid w:val="630C7A74"/>
    <w:rsid w:val="632056EE"/>
    <w:rsid w:val="633D2631"/>
    <w:rsid w:val="634748C5"/>
    <w:rsid w:val="63516709"/>
    <w:rsid w:val="635B1B99"/>
    <w:rsid w:val="635F02E3"/>
    <w:rsid w:val="63600F99"/>
    <w:rsid w:val="636457CF"/>
    <w:rsid w:val="63687998"/>
    <w:rsid w:val="63807B0F"/>
    <w:rsid w:val="63A81341"/>
    <w:rsid w:val="63AE6771"/>
    <w:rsid w:val="63B328BB"/>
    <w:rsid w:val="63B75894"/>
    <w:rsid w:val="63B95EB2"/>
    <w:rsid w:val="63BB21CB"/>
    <w:rsid w:val="63BD0C9B"/>
    <w:rsid w:val="63DC37D9"/>
    <w:rsid w:val="63DC5CD6"/>
    <w:rsid w:val="63DD2846"/>
    <w:rsid w:val="63DE55AD"/>
    <w:rsid w:val="63EE3805"/>
    <w:rsid w:val="63F665D5"/>
    <w:rsid w:val="641725D0"/>
    <w:rsid w:val="641A0C78"/>
    <w:rsid w:val="641B2468"/>
    <w:rsid w:val="641C505F"/>
    <w:rsid w:val="641D2ADD"/>
    <w:rsid w:val="641E3445"/>
    <w:rsid w:val="64264518"/>
    <w:rsid w:val="642B708E"/>
    <w:rsid w:val="642E1981"/>
    <w:rsid w:val="64372140"/>
    <w:rsid w:val="643F32D8"/>
    <w:rsid w:val="64416144"/>
    <w:rsid w:val="645572A2"/>
    <w:rsid w:val="6486588A"/>
    <w:rsid w:val="648E7413"/>
    <w:rsid w:val="649430A6"/>
    <w:rsid w:val="64995F34"/>
    <w:rsid w:val="64A5705C"/>
    <w:rsid w:val="64C0635E"/>
    <w:rsid w:val="64E263EC"/>
    <w:rsid w:val="64E43C30"/>
    <w:rsid w:val="64FF49FE"/>
    <w:rsid w:val="65036193"/>
    <w:rsid w:val="650A1F0A"/>
    <w:rsid w:val="651828E6"/>
    <w:rsid w:val="65210F44"/>
    <w:rsid w:val="652B6DA8"/>
    <w:rsid w:val="652C3B1D"/>
    <w:rsid w:val="652E75C7"/>
    <w:rsid w:val="653B6131"/>
    <w:rsid w:val="653D72DC"/>
    <w:rsid w:val="654B573B"/>
    <w:rsid w:val="65642274"/>
    <w:rsid w:val="65652BBB"/>
    <w:rsid w:val="657A02B4"/>
    <w:rsid w:val="658E352C"/>
    <w:rsid w:val="659225B3"/>
    <w:rsid w:val="65A05485"/>
    <w:rsid w:val="65A4558D"/>
    <w:rsid w:val="65CA3A5E"/>
    <w:rsid w:val="65D270B0"/>
    <w:rsid w:val="65E337D7"/>
    <w:rsid w:val="65F92935"/>
    <w:rsid w:val="66065EDA"/>
    <w:rsid w:val="66126707"/>
    <w:rsid w:val="661E26F1"/>
    <w:rsid w:val="66202CBA"/>
    <w:rsid w:val="66254EF5"/>
    <w:rsid w:val="665D646F"/>
    <w:rsid w:val="666267B9"/>
    <w:rsid w:val="66825672"/>
    <w:rsid w:val="668640EA"/>
    <w:rsid w:val="668C1E88"/>
    <w:rsid w:val="66987668"/>
    <w:rsid w:val="66C55D68"/>
    <w:rsid w:val="66C8742A"/>
    <w:rsid w:val="66C90584"/>
    <w:rsid w:val="67036D47"/>
    <w:rsid w:val="670D081C"/>
    <w:rsid w:val="671973BB"/>
    <w:rsid w:val="671D6941"/>
    <w:rsid w:val="67233E7B"/>
    <w:rsid w:val="672A4529"/>
    <w:rsid w:val="675D1D98"/>
    <w:rsid w:val="676317AB"/>
    <w:rsid w:val="67695311"/>
    <w:rsid w:val="678423F4"/>
    <w:rsid w:val="67AF1D68"/>
    <w:rsid w:val="67C142C0"/>
    <w:rsid w:val="67C41A78"/>
    <w:rsid w:val="67C732E5"/>
    <w:rsid w:val="67C973FA"/>
    <w:rsid w:val="67D70A3A"/>
    <w:rsid w:val="67E9020C"/>
    <w:rsid w:val="67EF6A74"/>
    <w:rsid w:val="67F146F8"/>
    <w:rsid w:val="67F17F37"/>
    <w:rsid w:val="67F9461E"/>
    <w:rsid w:val="68145A4E"/>
    <w:rsid w:val="682236A9"/>
    <w:rsid w:val="68312FCC"/>
    <w:rsid w:val="6831454F"/>
    <w:rsid w:val="683677A8"/>
    <w:rsid w:val="684E26D6"/>
    <w:rsid w:val="685D6100"/>
    <w:rsid w:val="687531DC"/>
    <w:rsid w:val="68766C3A"/>
    <w:rsid w:val="68862C01"/>
    <w:rsid w:val="688E62D1"/>
    <w:rsid w:val="688E7371"/>
    <w:rsid w:val="68936B5A"/>
    <w:rsid w:val="68941579"/>
    <w:rsid w:val="68981FE2"/>
    <w:rsid w:val="68A44FB4"/>
    <w:rsid w:val="68B84F08"/>
    <w:rsid w:val="68B875E4"/>
    <w:rsid w:val="68C37720"/>
    <w:rsid w:val="68DC2258"/>
    <w:rsid w:val="68E85986"/>
    <w:rsid w:val="68FF32A7"/>
    <w:rsid w:val="69022904"/>
    <w:rsid w:val="69092C39"/>
    <w:rsid w:val="693067F2"/>
    <w:rsid w:val="69363501"/>
    <w:rsid w:val="69522CAE"/>
    <w:rsid w:val="6962650A"/>
    <w:rsid w:val="69633BE0"/>
    <w:rsid w:val="698D05F4"/>
    <w:rsid w:val="69A00BDD"/>
    <w:rsid w:val="69A742E7"/>
    <w:rsid w:val="69CA6F78"/>
    <w:rsid w:val="69CE2D2F"/>
    <w:rsid w:val="69E34DA6"/>
    <w:rsid w:val="69E52647"/>
    <w:rsid w:val="69F5403E"/>
    <w:rsid w:val="6A2B4776"/>
    <w:rsid w:val="6A331962"/>
    <w:rsid w:val="6A3656E5"/>
    <w:rsid w:val="6A3A0EE9"/>
    <w:rsid w:val="6A541475"/>
    <w:rsid w:val="6A570724"/>
    <w:rsid w:val="6A5E0F6D"/>
    <w:rsid w:val="6A675634"/>
    <w:rsid w:val="6A8D7308"/>
    <w:rsid w:val="6A90005E"/>
    <w:rsid w:val="6ABB1AFB"/>
    <w:rsid w:val="6AC33F98"/>
    <w:rsid w:val="6AEB648A"/>
    <w:rsid w:val="6AF54A48"/>
    <w:rsid w:val="6B0445F5"/>
    <w:rsid w:val="6B086C26"/>
    <w:rsid w:val="6B0F575E"/>
    <w:rsid w:val="6B2C6EA5"/>
    <w:rsid w:val="6B454EC0"/>
    <w:rsid w:val="6B4940F9"/>
    <w:rsid w:val="6B517AE7"/>
    <w:rsid w:val="6B523472"/>
    <w:rsid w:val="6B5B2D31"/>
    <w:rsid w:val="6B645061"/>
    <w:rsid w:val="6B65340C"/>
    <w:rsid w:val="6B6C62D9"/>
    <w:rsid w:val="6B735ED1"/>
    <w:rsid w:val="6B790FD8"/>
    <w:rsid w:val="6B7E2406"/>
    <w:rsid w:val="6B9E2D0E"/>
    <w:rsid w:val="6BA140D0"/>
    <w:rsid w:val="6BB267EC"/>
    <w:rsid w:val="6BB40397"/>
    <w:rsid w:val="6BB7490E"/>
    <w:rsid w:val="6BC56818"/>
    <w:rsid w:val="6BD70DE1"/>
    <w:rsid w:val="6BE33B40"/>
    <w:rsid w:val="6BF74E73"/>
    <w:rsid w:val="6C020724"/>
    <w:rsid w:val="6C086E44"/>
    <w:rsid w:val="6C0B01B5"/>
    <w:rsid w:val="6C473289"/>
    <w:rsid w:val="6C48445C"/>
    <w:rsid w:val="6C5B188B"/>
    <w:rsid w:val="6C633B8E"/>
    <w:rsid w:val="6C72458E"/>
    <w:rsid w:val="6C757F4F"/>
    <w:rsid w:val="6C8612D7"/>
    <w:rsid w:val="6C8833A7"/>
    <w:rsid w:val="6C9A0972"/>
    <w:rsid w:val="6C9D4905"/>
    <w:rsid w:val="6CA43AA1"/>
    <w:rsid w:val="6CA460A0"/>
    <w:rsid w:val="6CB00174"/>
    <w:rsid w:val="6CD736F9"/>
    <w:rsid w:val="6CE758BD"/>
    <w:rsid w:val="6CEA3C7B"/>
    <w:rsid w:val="6CF9523E"/>
    <w:rsid w:val="6D0D609E"/>
    <w:rsid w:val="6D2151A3"/>
    <w:rsid w:val="6D271C9B"/>
    <w:rsid w:val="6D4D45FB"/>
    <w:rsid w:val="6D525B11"/>
    <w:rsid w:val="6D526B6E"/>
    <w:rsid w:val="6D574712"/>
    <w:rsid w:val="6D5D6101"/>
    <w:rsid w:val="6D602EC7"/>
    <w:rsid w:val="6D730682"/>
    <w:rsid w:val="6D7D06EF"/>
    <w:rsid w:val="6D9B28B9"/>
    <w:rsid w:val="6DA571FA"/>
    <w:rsid w:val="6DA678DF"/>
    <w:rsid w:val="6DC81DD9"/>
    <w:rsid w:val="6DCB7F52"/>
    <w:rsid w:val="6DDB5FB0"/>
    <w:rsid w:val="6DDC5C7B"/>
    <w:rsid w:val="6DE34DC7"/>
    <w:rsid w:val="6DF730C7"/>
    <w:rsid w:val="6E0046CC"/>
    <w:rsid w:val="6E01766E"/>
    <w:rsid w:val="6E0A6291"/>
    <w:rsid w:val="6E0F6A72"/>
    <w:rsid w:val="6E203BF6"/>
    <w:rsid w:val="6E2267EC"/>
    <w:rsid w:val="6E3A4C84"/>
    <w:rsid w:val="6E3E707F"/>
    <w:rsid w:val="6E472E21"/>
    <w:rsid w:val="6E56237C"/>
    <w:rsid w:val="6E61085B"/>
    <w:rsid w:val="6E694CAE"/>
    <w:rsid w:val="6EA02D52"/>
    <w:rsid w:val="6EA42C2D"/>
    <w:rsid w:val="6EA840E4"/>
    <w:rsid w:val="6EA9177C"/>
    <w:rsid w:val="6EAA5021"/>
    <w:rsid w:val="6EB07D99"/>
    <w:rsid w:val="6EB476A6"/>
    <w:rsid w:val="6ECA786E"/>
    <w:rsid w:val="6EDB63B4"/>
    <w:rsid w:val="6EEB4CAE"/>
    <w:rsid w:val="6EEE18B5"/>
    <w:rsid w:val="6EFB06B6"/>
    <w:rsid w:val="6F071165"/>
    <w:rsid w:val="6F0C3F97"/>
    <w:rsid w:val="6F133B3E"/>
    <w:rsid w:val="6F356C73"/>
    <w:rsid w:val="6F4D21F4"/>
    <w:rsid w:val="6F733C36"/>
    <w:rsid w:val="6FBE159C"/>
    <w:rsid w:val="6FBF3ABA"/>
    <w:rsid w:val="6FC1709D"/>
    <w:rsid w:val="6FDE3AB5"/>
    <w:rsid w:val="6FEA3101"/>
    <w:rsid w:val="6FEE055B"/>
    <w:rsid w:val="6FF36E00"/>
    <w:rsid w:val="6FFC6EF5"/>
    <w:rsid w:val="700C2451"/>
    <w:rsid w:val="701E68B0"/>
    <w:rsid w:val="702A6581"/>
    <w:rsid w:val="706162CB"/>
    <w:rsid w:val="70625E83"/>
    <w:rsid w:val="70634ED0"/>
    <w:rsid w:val="706527F5"/>
    <w:rsid w:val="706D79EB"/>
    <w:rsid w:val="7071047F"/>
    <w:rsid w:val="707A7D7E"/>
    <w:rsid w:val="707B42C6"/>
    <w:rsid w:val="708106AF"/>
    <w:rsid w:val="708D7C36"/>
    <w:rsid w:val="709334C6"/>
    <w:rsid w:val="70960A01"/>
    <w:rsid w:val="70A45DF9"/>
    <w:rsid w:val="70B4095E"/>
    <w:rsid w:val="711524FD"/>
    <w:rsid w:val="711E1616"/>
    <w:rsid w:val="712076F3"/>
    <w:rsid w:val="71212E7A"/>
    <w:rsid w:val="71231C1E"/>
    <w:rsid w:val="71280E03"/>
    <w:rsid w:val="712E0BB8"/>
    <w:rsid w:val="71343446"/>
    <w:rsid w:val="713B6DEA"/>
    <w:rsid w:val="713E5A98"/>
    <w:rsid w:val="714255E8"/>
    <w:rsid w:val="714838EB"/>
    <w:rsid w:val="71515807"/>
    <w:rsid w:val="715501E5"/>
    <w:rsid w:val="715C3A92"/>
    <w:rsid w:val="715C6E42"/>
    <w:rsid w:val="7160387F"/>
    <w:rsid w:val="71616BEB"/>
    <w:rsid w:val="716535E1"/>
    <w:rsid w:val="717C0086"/>
    <w:rsid w:val="71C650E2"/>
    <w:rsid w:val="71C837C7"/>
    <w:rsid w:val="71DB76D4"/>
    <w:rsid w:val="71F03F3B"/>
    <w:rsid w:val="71F3340F"/>
    <w:rsid w:val="71F800D9"/>
    <w:rsid w:val="720012BB"/>
    <w:rsid w:val="720563C2"/>
    <w:rsid w:val="720817CC"/>
    <w:rsid w:val="721225C8"/>
    <w:rsid w:val="72285BE3"/>
    <w:rsid w:val="724228CA"/>
    <w:rsid w:val="724E3097"/>
    <w:rsid w:val="725511A0"/>
    <w:rsid w:val="72556331"/>
    <w:rsid w:val="725D5024"/>
    <w:rsid w:val="7260537A"/>
    <w:rsid w:val="72686FB4"/>
    <w:rsid w:val="72741E17"/>
    <w:rsid w:val="72766627"/>
    <w:rsid w:val="728F2E4B"/>
    <w:rsid w:val="729C4281"/>
    <w:rsid w:val="72AC5556"/>
    <w:rsid w:val="72B51275"/>
    <w:rsid w:val="72B5440C"/>
    <w:rsid w:val="72BA6194"/>
    <w:rsid w:val="72BC1584"/>
    <w:rsid w:val="72C221AC"/>
    <w:rsid w:val="72C30C5B"/>
    <w:rsid w:val="72C46D85"/>
    <w:rsid w:val="72C61B6B"/>
    <w:rsid w:val="72C90653"/>
    <w:rsid w:val="72D101E9"/>
    <w:rsid w:val="72E245D9"/>
    <w:rsid w:val="72EE2B83"/>
    <w:rsid w:val="72F84F1B"/>
    <w:rsid w:val="72FB4061"/>
    <w:rsid w:val="7300140D"/>
    <w:rsid w:val="73153E76"/>
    <w:rsid w:val="733213DD"/>
    <w:rsid w:val="733427ED"/>
    <w:rsid w:val="734A7C98"/>
    <w:rsid w:val="735414AF"/>
    <w:rsid w:val="73884ACE"/>
    <w:rsid w:val="73885379"/>
    <w:rsid w:val="73887E93"/>
    <w:rsid w:val="738A0EBE"/>
    <w:rsid w:val="739F4D28"/>
    <w:rsid w:val="73A543CF"/>
    <w:rsid w:val="73A84507"/>
    <w:rsid w:val="73B72C3E"/>
    <w:rsid w:val="73B928EF"/>
    <w:rsid w:val="73BD045D"/>
    <w:rsid w:val="73CF084E"/>
    <w:rsid w:val="73DE151B"/>
    <w:rsid w:val="73E25CD9"/>
    <w:rsid w:val="73F943A0"/>
    <w:rsid w:val="742159B5"/>
    <w:rsid w:val="742D1004"/>
    <w:rsid w:val="74351C8A"/>
    <w:rsid w:val="74457E07"/>
    <w:rsid w:val="744F0463"/>
    <w:rsid w:val="74851310"/>
    <w:rsid w:val="74893E5F"/>
    <w:rsid w:val="748A1407"/>
    <w:rsid w:val="74935353"/>
    <w:rsid w:val="749E3B1E"/>
    <w:rsid w:val="749F6E6A"/>
    <w:rsid w:val="749F7B03"/>
    <w:rsid w:val="74CA7C5D"/>
    <w:rsid w:val="74D97C82"/>
    <w:rsid w:val="74F579F4"/>
    <w:rsid w:val="74FD68D9"/>
    <w:rsid w:val="75020B13"/>
    <w:rsid w:val="75044423"/>
    <w:rsid w:val="751260EA"/>
    <w:rsid w:val="75175695"/>
    <w:rsid w:val="7521498E"/>
    <w:rsid w:val="75255D3F"/>
    <w:rsid w:val="752C06A9"/>
    <w:rsid w:val="753A60CB"/>
    <w:rsid w:val="75514BAC"/>
    <w:rsid w:val="755C4654"/>
    <w:rsid w:val="756226B3"/>
    <w:rsid w:val="756C4C0A"/>
    <w:rsid w:val="75B107BC"/>
    <w:rsid w:val="75B72BD3"/>
    <w:rsid w:val="75B93729"/>
    <w:rsid w:val="75CC3EF1"/>
    <w:rsid w:val="75D540E8"/>
    <w:rsid w:val="75DE14F0"/>
    <w:rsid w:val="75E66322"/>
    <w:rsid w:val="75EE4E99"/>
    <w:rsid w:val="75EF287D"/>
    <w:rsid w:val="75F115FF"/>
    <w:rsid w:val="75F21502"/>
    <w:rsid w:val="7608464C"/>
    <w:rsid w:val="760B480C"/>
    <w:rsid w:val="760B6BC6"/>
    <w:rsid w:val="76164635"/>
    <w:rsid w:val="764114D2"/>
    <w:rsid w:val="76434FB8"/>
    <w:rsid w:val="76464560"/>
    <w:rsid w:val="765C36CF"/>
    <w:rsid w:val="76640390"/>
    <w:rsid w:val="76641D4F"/>
    <w:rsid w:val="76690544"/>
    <w:rsid w:val="76727C5F"/>
    <w:rsid w:val="76753D12"/>
    <w:rsid w:val="767710B2"/>
    <w:rsid w:val="7677579D"/>
    <w:rsid w:val="76971875"/>
    <w:rsid w:val="769830A6"/>
    <w:rsid w:val="76A13B39"/>
    <w:rsid w:val="76A42146"/>
    <w:rsid w:val="76BB796C"/>
    <w:rsid w:val="76CB5351"/>
    <w:rsid w:val="76D43A46"/>
    <w:rsid w:val="76E21A25"/>
    <w:rsid w:val="76EC4D8A"/>
    <w:rsid w:val="76FA7D74"/>
    <w:rsid w:val="770A1C78"/>
    <w:rsid w:val="771B74B3"/>
    <w:rsid w:val="77246734"/>
    <w:rsid w:val="775534AB"/>
    <w:rsid w:val="775A126F"/>
    <w:rsid w:val="775E3A69"/>
    <w:rsid w:val="77705991"/>
    <w:rsid w:val="7775346E"/>
    <w:rsid w:val="777B4B77"/>
    <w:rsid w:val="77871699"/>
    <w:rsid w:val="779602B6"/>
    <w:rsid w:val="77961276"/>
    <w:rsid w:val="779A4546"/>
    <w:rsid w:val="77A330B3"/>
    <w:rsid w:val="77D30130"/>
    <w:rsid w:val="77DA31BD"/>
    <w:rsid w:val="78046CA9"/>
    <w:rsid w:val="780F0D30"/>
    <w:rsid w:val="78284D9D"/>
    <w:rsid w:val="782F5963"/>
    <w:rsid w:val="78413CE4"/>
    <w:rsid w:val="7842123C"/>
    <w:rsid w:val="784632B1"/>
    <w:rsid w:val="785A1799"/>
    <w:rsid w:val="786B4F1F"/>
    <w:rsid w:val="786C68EC"/>
    <w:rsid w:val="788610F5"/>
    <w:rsid w:val="78882F2F"/>
    <w:rsid w:val="78904852"/>
    <w:rsid w:val="78952E6B"/>
    <w:rsid w:val="789925A3"/>
    <w:rsid w:val="78A31B3B"/>
    <w:rsid w:val="78A70B7D"/>
    <w:rsid w:val="78D542D4"/>
    <w:rsid w:val="78F16181"/>
    <w:rsid w:val="78F17A6A"/>
    <w:rsid w:val="78F65E25"/>
    <w:rsid w:val="79017697"/>
    <w:rsid w:val="79330036"/>
    <w:rsid w:val="7938104D"/>
    <w:rsid w:val="793F5ADD"/>
    <w:rsid w:val="796411EC"/>
    <w:rsid w:val="796821EC"/>
    <w:rsid w:val="797D4643"/>
    <w:rsid w:val="79850298"/>
    <w:rsid w:val="798F46D3"/>
    <w:rsid w:val="79960C66"/>
    <w:rsid w:val="79A5711D"/>
    <w:rsid w:val="79BF4903"/>
    <w:rsid w:val="79D87839"/>
    <w:rsid w:val="79E1723B"/>
    <w:rsid w:val="79EA53E4"/>
    <w:rsid w:val="79EF5BCA"/>
    <w:rsid w:val="7A016A84"/>
    <w:rsid w:val="7A1408B6"/>
    <w:rsid w:val="7A257433"/>
    <w:rsid w:val="7A2B7CA7"/>
    <w:rsid w:val="7A462DCA"/>
    <w:rsid w:val="7A5A258C"/>
    <w:rsid w:val="7A5E6445"/>
    <w:rsid w:val="7A711C00"/>
    <w:rsid w:val="7A780FF2"/>
    <w:rsid w:val="7A7F030E"/>
    <w:rsid w:val="7A816B4A"/>
    <w:rsid w:val="7A9A3AFC"/>
    <w:rsid w:val="7A9F5700"/>
    <w:rsid w:val="7AAC4B0C"/>
    <w:rsid w:val="7AB4059F"/>
    <w:rsid w:val="7AC074A0"/>
    <w:rsid w:val="7AC36DA4"/>
    <w:rsid w:val="7ACA587E"/>
    <w:rsid w:val="7AED172A"/>
    <w:rsid w:val="7B150CE1"/>
    <w:rsid w:val="7B1F5E15"/>
    <w:rsid w:val="7B287347"/>
    <w:rsid w:val="7B2C71D7"/>
    <w:rsid w:val="7B33731F"/>
    <w:rsid w:val="7B3B5E8B"/>
    <w:rsid w:val="7B5C1B21"/>
    <w:rsid w:val="7B671713"/>
    <w:rsid w:val="7B7740D9"/>
    <w:rsid w:val="7B8E1FE6"/>
    <w:rsid w:val="7B9E233A"/>
    <w:rsid w:val="7BA149F1"/>
    <w:rsid w:val="7BA539E2"/>
    <w:rsid w:val="7BAA73F4"/>
    <w:rsid w:val="7BC0745E"/>
    <w:rsid w:val="7BFD35EC"/>
    <w:rsid w:val="7C0335B2"/>
    <w:rsid w:val="7C0C648A"/>
    <w:rsid w:val="7C16081A"/>
    <w:rsid w:val="7C3C1732"/>
    <w:rsid w:val="7C4B51B1"/>
    <w:rsid w:val="7C5D4A1B"/>
    <w:rsid w:val="7C5F507B"/>
    <w:rsid w:val="7C603A89"/>
    <w:rsid w:val="7C655FAB"/>
    <w:rsid w:val="7C7B0C56"/>
    <w:rsid w:val="7C86079C"/>
    <w:rsid w:val="7C9047BF"/>
    <w:rsid w:val="7CBB5D6C"/>
    <w:rsid w:val="7CBF3D58"/>
    <w:rsid w:val="7CCA32D0"/>
    <w:rsid w:val="7CCF22C2"/>
    <w:rsid w:val="7CDB4FE1"/>
    <w:rsid w:val="7CE901F8"/>
    <w:rsid w:val="7CF17F12"/>
    <w:rsid w:val="7CF4697E"/>
    <w:rsid w:val="7D140B38"/>
    <w:rsid w:val="7D195A37"/>
    <w:rsid w:val="7D1A1B31"/>
    <w:rsid w:val="7D227D3B"/>
    <w:rsid w:val="7D2B4E29"/>
    <w:rsid w:val="7D4104FE"/>
    <w:rsid w:val="7D451C13"/>
    <w:rsid w:val="7D537AE7"/>
    <w:rsid w:val="7D5A7318"/>
    <w:rsid w:val="7D77093D"/>
    <w:rsid w:val="7D8117B3"/>
    <w:rsid w:val="7D84621A"/>
    <w:rsid w:val="7D8B73E8"/>
    <w:rsid w:val="7D9C6696"/>
    <w:rsid w:val="7DA357DB"/>
    <w:rsid w:val="7DA73FB0"/>
    <w:rsid w:val="7DB92BCF"/>
    <w:rsid w:val="7DC82336"/>
    <w:rsid w:val="7DD15D6D"/>
    <w:rsid w:val="7DDF3B06"/>
    <w:rsid w:val="7DE53624"/>
    <w:rsid w:val="7DF23311"/>
    <w:rsid w:val="7DF365E6"/>
    <w:rsid w:val="7E033D5F"/>
    <w:rsid w:val="7E071276"/>
    <w:rsid w:val="7E094E37"/>
    <w:rsid w:val="7E2857F3"/>
    <w:rsid w:val="7E2E0E20"/>
    <w:rsid w:val="7E3D1CB9"/>
    <w:rsid w:val="7E561E4A"/>
    <w:rsid w:val="7E624E2F"/>
    <w:rsid w:val="7E731D9E"/>
    <w:rsid w:val="7E73579C"/>
    <w:rsid w:val="7E9506D6"/>
    <w:rsid w:val="7E996FBA"/>
    <w:rsid w:val="7E9A685D"/>
    <w:rsid w:val="7E9E5AB0"/>
    <w:rsid w:val="7EDE2CBE"/>
    <w:rsid w:val="7EFF6C83"/>
    <w:rsid w:val="7F206BE6"/>
    <w:rsid w:val="7F2869C0"/>
    <w:rsid w:val="7F3B2D3E"/>
    <w:rsid w:val="7F3C4C72"/>
    <w:rsid w:val="7F3E38AB"/>
    <w:rsid w:val="7F4963F2"/>
    <w:rsid w:val="7F525151"/>
    <w:rsid w:val="7F730390"/>
    <w:rsid w:val="7F757B5C"/>
    <w:rsid w:val="7F91631A"/>
    <w:rsid w:val="7FAD12B2"/>
    <w:rsid w:val="7FC64FA8"/>
    <w:rsid w:val="7FE56424"/>
    <w:rsid w:val="7FE93C57"/>
    <w:rsid w:val="7FF147AA"/>
    <w:rsid w:val="7FF211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iPriority="99"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spacing w:line="360" w:lineRule="auto"/>
      <w:ind w:firstLine="200" w:firstLineChars="200"/>
    </w:pPr>
    <w:rPr>
      <w:rFonts w:ascii="仿宋" w:hAnsi="仿宋" w:eastAsia="仿宋" w:cs="仿宋"/>
      <w:sz w:val="32"/>
      <w:szCs w:val="22"/>
      <w:lang w:val="zh-CN" w:eastAsia="zh-CN" w:bidi="zh-CN"/>
    </w:rPr>
  </w:style>
  <w:style w:type="paragraph" w:styleId="4">
    <w:name w:val="heading 1"/>
    <w:basedOn w:val="1"/>
    <w:next w:val="1"/>
    <w:link w:val="17"/>
    <w:qFormat/>
    <w:uiPriority w:val="0"/>
    <w:pPr>
      <w:adjustRightInd w:val="0"/>
      <w:snapToGrid w:val="0"/>
      <w:spacing w:line="600" w:lineRule="exact"/>
      <w:jc w:val="both"/>
      <w:outlineLvl w:val="0"/>
    </w:pPr>
    <w:rPr>
      <w:rFonts w:ascii="宋体" w:hAnsi="宋体" w:eastAsia="黑体" w:cs="宋体"/>
      <w:bCs/>
      <w:sz w:val="32"/>
      <w:szCs w:val="44"/>
    </w:rPr>
  </w:style>
  <w:style w:type="paragraph" w:styleId="5">
    <w:name w:val="heading 2"/>
    <w:basedOn w:val="1"/>
    <w:next w:val="1"/>
    <w:semiHidden/>
    <w:unhideWhenUsed/>
    <w:qFormat/>
    <w:uiPriority w:val="0"/>
    <w:pPr>
      <w:snapToGrid w:val="0"/>
      <w:spacing w:line="600" w:lineRule="exact"/>
      <w:jc w:val="both"/>
      <w:outlineLvl w:val="1"/>
    </w:pPr>
    <w:rPr>
      <w:rFonts w:ascii="楷体" w:hAnsi="楷体" w:eastAsia="楷体" w:cs="楷体"/>
      <w:bCs/>
      <w:szCs w:val="32"/>
    </w:rPr>
  </w:style>
  <w:style w:type="paragraph" w:styleId="6">
    <w:name w:val="heading 3"/>
    <w:basedOn w:val="1"/>
    <w:next w:val="1"/>
    <w:semiHidden/>
    <w:unhideWhenUsed/>
    <w:qFormat/>
    <w:uiPriority w:val="0"/>
    <w:pPr>
      <w:keepNext w:val="0"/>
      <w:keepLines w:val="0"/>
      <w:snapToGrid w:val="0"/>
      <w:spacing w:beforeLines="0" w:beforeAutospacing="0" w:afterLines="0" w:afterAutospacing="0" w:line="600" w:lineRule="exact"/>
      <w:jc w:val="both"/>
      <w:outlineLvl w:val="2"/>
    </w:pPr>
    <w:rPr>
      <w:rFonts w:eastAsia="仿宋"/>
      <w:b/>
    </w:rPr>
  </w:style>
  <w:style w:type="paragraph" w:styleId="7">
    <w:name w:val="heading 4"/>
    <w:basedOn w:val="1"/>
    <w:next w:val="1"/>
    <w:semiHidden/>
    <w:unhideWhenUsed/>
    <w:qFormat/>
    <w:uiPriority w:val="0"/>
    <w:pPr>
      <w:keepNext/>
      <w:keepLines/>
      <w:numPr>
        <w:ilvl w:val="0"/>
        <w:numId w:val="1"/>
      </w:numPr>
      <w:spacing w:beforeLines="0" w:beforeAutospacing="0" w:afterLines="0" w:afterAutospacing="0" w:line="600" w:lineRule="exact"/>
      <w:jc w:val="left"/>
      <w:outlineLvl w:val="3"/>
    </w:pPr>
    <w:rPr>
      <w:rFonts w:ascii="Arial" w:hAnsi="Arial" w:eastAsia="仿宋"/>
      <w:b/>
      <w:sz w:val="32"/>
    </w:rPr>
  </w:style>
  <w:style w:type="character" w:default="1" w:styleId="15">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0"/>
    <w:pPr>
      <w:ind w:firstLine="420" w:firstLineChars="200"/>
    </w:pPr>
  </w:style>
  <w:style w:type="paragraph" w:styleId="3">
    <w:name w:val="List"/>
    <w:basedOn w:val="1"/>
    <w:unhideWhenUsed/>
    <w:qFormat/>
    <w:uiPriority w:val="99"/>
    <w:pPr>
      <w:spacing w:line="240" w:lineRule="atLeast"/>
      <w:ind w:firstLine="0" w:firstLineChars="0"/>
      <w:jc w:val="center"/>
    </w:pPr>
    <w:rPr>
      <w:sz w:val="24"/>
    </w:rPr>
  </w:style>
  <w:style w:type="paragraph" w:styleId="8">
    <w:name w:val="annotation text"/>
    <w:basedOn w:val="1"/>
    <w:qFormat/>
    <w:uiPriority w:val="0"/>
    <w:pPr>
      <w:jc w:val="left"/>
    </w:pPr>
  </w:style>
  <w:style w:type="paragraph" w:styleId="9">
    <w:name w:val="Body Text Indent"/>
    <w:basedOn w:val="1"/>
    <w:unhideWhenUsed/>
    <w:qFormat/>
    <w:uiPriority w:val="99"/>
    <w:pPr>
      <w:spacing w:after="120"/>
      <w:ind w:left="420" w:leftChars="200"/>
    </w:pPr>
  </w:style>
  <w:style w:type="paragraph" w:styleId="10">
    <w:name w:val="footer"/>
    <w:basedOn w:val="1"/>
    <w:qFormat/>
    <w:uiPriority w:val="0"/>
    <w:pPr>
      <w:tabs>
        <w:tab w:val="center" w:pos="4153"/>
        <w:tab w:val="right" w:pos="8306"/>
      </w:tabs>
      <w:snapToGrid w:val="0"/>
      <w:jc w:val="left"/>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2">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3">
    <w:name w:val="Body Text First Indent 2"/>
    <w:basedOn w:val="1"/>
    <w:next w:val="1"/>
    <w:unhideWhenUsed/>
    <w:qFormat/>
    <w:uiPriority w:val="99"/>
    <w:pPr>
      <w:ind w:firstLine="420"/>
    </w:pPr>
  </w:style>
  <w:style w:type="paragraph" w:customStyle="1" w:styleId="16">
    <w:name w:val="table of authorities"/>
    <w:basedOn w:val="1"/>
    <w:next w:val="1"/>
    <w:qFormat/>
    <w:uiPriority w:val="0"/>
    <w:pPr>
      <w:ind w:left="420" w:leftChars="200"/>
    </w:pPr>
  </w:style>
  <w:style w:type="character" w:customStyle="1" w:styleId="17">
    <w:name w:val="标题 1 Char"/>
    <w:link w:val="4"/>
    <w:qFormat/>
    <w:uiPriority w:val="1"/>
    <w:rPr>
      <w:rFonts w:ascii="宋体" w:hAnsi="宋体" w:eastAsia="黑体" w:cs="宋体"/>
      <w:bCs/>
      <w:sz w:val="32"/>
      <w:szCs w:val="44"/>
      <w:lang w:val="zh-CN" w:bidi="zh-CN"/>
    </w:rPr>
  </w:style>
  <w:style w:type="paragraph" w:customStyle="1" w:styleId="18">
    <w:name w:val="正文缩进1"/>
    <w:basedOn w:val="1"/>
    <w:qFormat/>
    <w:uiPriority w:val="0"/>
    <w:pPr>
      <w:ind w:firstLine="420" w:firstLineChars="200"/>
    </w:pPr>
    <w:rPr>
      <w:rFonts w:ascii="Calibri" w:hAnsi="Calibri" w:eastAsia="宋体" w:cs="Times New Roman"/>
    </w:rPr>
  </w:style>
  <w:style w:type="paragraph" w:customStyle="1" w:styleId="19">
    <w:name w:val="Normal Indent1"/>
    <w:basedOn w:val="1"/>
    <w:qFormat/>
    <w:uiPriority w:val="0"/>
    <w:pPr>
      <w:adjustRightInd w:val="0"/>
      <w:spacing w:line="360" w:lineRule="atLeast"/>
      <w:ind w:firstLine="420"/>
      <w:textAlignment w:val="baseline"/>
    </w:pPr>
    <w:rPr>
      <w:sz w:val="25"/>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26</Pages>
  <Words>14130</Words>
  <Characters>15205</Characters>
  <Lines>0</Lines>
  <Paragraphs>0</Paragraphs>
  <TotalTime>24</TotalTime>
  <ScaleCrop>false</ScaleCrop>
  <LinksUpToDate>false</LinksUpToDate>
  <CharactersWithSpaces>15206</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2022-03-16T00:58:00Z</dcterms:created>
  <dc:creator>离退休老萝莉</dc:creator>
  <cp:lastModifiedBy>admin</cp:lastModifiedBy>
  <cp:lastPrinted>2022-07-28T01:11:00Z</cp:lastPrinted>
  <dcterms:modified xsi:type="dcterms:W3CDTF">2023-09-16T13:46:26Z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1CB5E609784A46B68D2DC667CA2C265B</vt:lpwstr>
  </property>
</Properties>
</file>