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textAlignment w:val="baseline"/>
        <w:rPr>
          <w:rFonts w:ascii="宋体" w:hAnsi="宋体" w:eastAsia="宋体" w:cs="楷体"/>
          <w:b w:val="0"/>
          <w:bCs/>
          <w:sz w:val="44"/>
          <w:szCs w:val="44"/>
        </w:rPr>
      </w:pPr>
      <w:r>
        <w:rPr>
          <w:rFonts w:hint="eastAsia" w:ascii="宋体" w:hAnsi="宋体" w:eastAsia="宋体" w:cs="楷体"/>
          <w:b w:val="0"/>
          <w:bCs/>
          <w:sz w:val="44"/>
          <w:szCs w:val="44"/>
        </w:rPr>
        <w:t>石家庄市财政局</w:t>
      </w:r>
    </w:p>
    <w:p>
      <w:pPr>
        <w:spacing w:line="560" w:lineRule="exact"/>
        <w:jc w:val="center"/>
        <w:textAlignment w:val="baseline"/>
        <w:rPr>
          <w:rFonts w:ascii="宋体" w:hAnsi="宋体" w:eastAsia="宋体"/>
          <w:b w:val="0"/>
          <w:bCs/>
          <w:sz w:val="44"/>
          <w:szCs w:val="44"/>
        </w:rPr>
      </w:pPr>
      <w:bookmarkStart w:id="0" w:name="_Toc31524"/>
      <w:r>
        <w:rPr>
          <w:rFonts w:ascii="宋体" w:hAnsi="宋体" w:eastAsia="宋体"/>
          <w:b w:val="0"/>
          <w:bCs/>
          <w:sz w:val="44"/>
          <w:szCs w:val="44"/>
        </w:rPr>
        <w:t>202</w:t>
      </w:r>
      <w:r>
        <w:rPr>
          <w:rFonts w:hint="eastAsia" w:ascii="宋体" w:hAnsi="宋体" w:eastAsia="宋体"/>
          <w:b w:val="0"/>
          <w:bCs/>
          <w:sz w:val="44"/>
          <w:szCs w:val="44"/>
        </w:rPr>
        <w:t>1</w:t>
      </w:r>
      <w:r>
        <w:rPr>
          <w:rFonts w:ascii="宋体" w:hAnsi="宋体" w:eastAsia="宋体"/>
          <w:b w:val="0"/>
          <w:bCs/>
          <w:sz w:val="44"/>
          <w:szCs w:val="44"/>
        </w:rPr>
        <w:t>年支持自贸区发展专项资金</w:t>
      </w:r>
      <w:bookmarkEnd w:id="0"/>
    </w:p>
    <w:p>
      <w:pPr>
        <w:spacing w:line="560" w:lineRule="exact"/>
        <w:jc w:val="center"/>
        <w:textAlignment w:val="baseline"/>
        <w:rPr>
          <w:rFonts w:ascii="宋体" w:hAnsi="宋体" w:eastAsia="宋体"/>
          <w:b w:val="0"/>
          <w:bCs/>
          <w:sz w:val="44"/>
          <w:szCs w:val="44"/>
        </w:rPr>
      </w:pPr>
      <w:bookmarkStart w:id="1" w:name="_Toc18620"/>
      <w:r>
        <w:rPr>
          <w:rFonts w:hint="eastAsia" w:ascii="宋体" w:hAnsi="宋体" w:eastAsia="宋体"/>
          <w:b w:val="0"/>
          <w:bCs/>
          <w:sz w:val="44"/>
          <w:szCs w:val="44"/>
        </w:rPr>
        <w:t>财政监督和绩效评价</w:t>
      </w:r>
      <w:r>
        <w:rPr>
          <w:rFonts w:ascii="宋体" w:hAnsi="宋体" w:eastAsia="宋体"/>
          <w:b w:val="0"/>
          <w:bCs/>
          <w:sz w:val="44"/>
          <w:szCs w:val="44"/>
        </w:rPr>
        <w:t>报告</w:t>
      </w:r>
      <w:bookmarkEnd w:id="1"/>
    </w:p>
    <w:p>
      <w:pPr>
        <w:snapToGrid w:val="0"/>
        <w:spacing w:line="560" w:lineRule="exact"/>
        <w:textAlignment w:val="baseline"/>
        <w:rPr>
          <w:rFonts w:ascii="仿宋" w:hAnsi="仿宋" w:eastAsia="仿宋"/>
          <w:bCs/>
          <w:sz w:val="32"/>
          <w:szCs w:val="32"/>
        </w:rPr>
      </w:pPr>
    </w:p>
    <w:p>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按照省、市全面落实预算绩效管理的相关文件精神及《石家庄市市级预算绩效重点评价管理办法》（石财绩〔2020〕6号）</w:t>
      </w:r>
      <w:r>
        <w:rPr>
          <w:rFonts w:hint="eastAsia" w:ascii="仿宋" w:hAnsi="仿宋" w:eastAsia="仿宋" w:cs="仿宋"/>
          <w:sz w:val="32"/>
          <w:szCs w:val="32"/>
          <w:lang w:eastAsia="zh-CN"/>
        </w:rPr>
        <w:t>，</w:t>
      </w:r>
      <w:r>
        <w:rPr>
          <w:rFonts w:hint="eastAsia" w:ascii="仿宋" w:hAnsi="仿宋" w:eastAsia="仿宋" w:cs="仿宋"/>
          <w:sz w:val="32"/>
          <w:szCs w:val="32"/>
        </w:rPr>
        <w:t>石家庄市财政局于2022年4月27日至6月30日</w:t>
      </w:r>
      <w:bookmarkStart w:id="2" w:name="OLE_LINK8"/>
      <w:bookmarkStart w:id="3" w:name="OLE_LINK7"/>
      <w:r>
        <w:rPr>
          <w:rFonts w:hint="eastAsia" w:ascii="仿宋" w:hAnsi="仿宋" w:eastAsia="仿宋" w:cs="仿宋"/>
          <w:sz w:val="32"/>
          <w:szCs w:val="32"/>
        </w:rPr>
        <w:t>对</w:t>
      </w:r>
      <w:bookmarkEnd w:id="2"/>
      <w:bookmarkEnd w:id="3"/>
      <w:r>
        <w:rPr>
          <w:rFonts w:hint="eastAsia" w:ascii="仿宋" w:hAnsi="仿宋" w:eastAsia="仿宋" w:cs="仿宋"/>
          <w:sz w:val="32"/>
          <w:szCs w:val="32"/>
        </w:rPr>
        <w:t>“2021年支持自贸区发展专项资金”进行了绩效评价,形成本项目绩效评价报告。</w:t>
      </w:r>
    </w:p>
    <w:p>
      <w:pPr>
        <w:pStyle w:val="44"/>
        <w:keepNext w:val="0"/>
        <w:keepLines w:val="0"/>
        <w:pageBreakBefore w:val="0"/>
        <w:widowControl/>
        <w:kinsoku/>
        <w:wordWrap/>
        <w:overflowPunct/>
        <w:topLinePunct w:val="0"/>
        <w:autoSpaceDE/>
        <w:autoSpaceDN/>
        <w:bidi w:val="0"/>
        <w:snapToGrid w:val="0"/>
        <w:spacing w:line="560" w:lineRule="exact"/>
        <w:ind w:firstLine="640" w:firstLineChars="200"/>
        <w:textAlignment w:val="baseline"/>
        <w:outlineLvl w:val="0"/>
        <w:rPr>
          <w:sz w:val="32"/>
          <w:szCs w:val="32"/>
        </w:rPr>
      </w:pPr>
      <w:bookmarkStart w:id="4" w:name="_Toc26689"/>
      <w:bookmarkStart w:id="5" w:name="_Toc16795"/>
      <w:r>
        <w:rPr>
          <w:rFonts w:hint="eastAsia" w:ascii="黑体" w:hAnsi="黑体" w:eastAsia="黑体" w:cs="黑体"/>
          <w:sz w:val="32"/>
          <w:szCs w:val="32"/>
        </w:rPr>
        <w:t>一、基本情况</w:t>
      </w:r>
      <w:bookmarkEnd w:id="4"/>
      <w:bookmarkEnd w:id="5"/>
    </w:p>
    <w:p>
      <w:pPr>
        <w:pStyle w:val="44"/>
        <w:keepNext w:val="0"/>
        <w:keepLines w:val="0"/>
        <w:pageBreakBefore w:val="0"/>
        <w:widowControl/>
        <w:kinsoku/>
        <w:wordWrap/>
        <w:overflowPunct/>
        <w:topLinePunct w:val="0"/>
        <w:autoSpaceDE/>
        <w:autoSpaceDN/>
        <w:bidi w:val="0"/>
        <w:snapToGrid w:val="0"/>
        <w:spacing w:line="560" w:lineRule="exact"/>
        <w:ind w:firstLine="640" w:firstLineChars="200"/>
        <w:textAlignment w:val="baseline"/>
        <w:outlineLvl w:val="1"/>
        <w:rPr>
          <w:rFonts w:ascii="楷体" w:hAnsi="楷体" w:eastAsia="楷体" w:cs="楷体"/>
          <w:sz w:val="32"/>
          <w:szCs w:val="32"/>
        </w:rPr>
      </w:pPr>
      <w:bookmarkStart w:id="6" w:name="_Toc22292"/>
      <w:bookmarkStart w:id="7" w:name="_Toc1954"/>
      <w:r>
        <w:rPr>
          <w:rFonts w:hint="eastAsia" w:ascii="楷体" w:hAnsi="楷体" w:eastAsia="楷体" w:cs="楷体"/>
          <w:sz w:val="32"/>
          <w:szCs w:val="32"/>
        </w:rPr>
        <w:t>（一）项目概况</w:t>
      </w:r>
      <w:bookmarkEnd w:id="6"/>
      <w:bookmarkEnd w:id="7"/>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中国（河北）自由贸易试验区是为更好服务对外开放总体战略布局，高标准高质量建设自贸试验区而制定的试验区，是党中央、国务院作出的重大决策，是新时代推进改革开放的战略举措。</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2019年8月2日，《国务院关于印发6个新设自由贸易试验区总体方案的通知》印发实施，中国（河北）自由贸易试验区正式设立。该试验区涵盖曹妃甸片区、正定片区和大兴机场区、雄安片区，总面积119.97平方公里。正定片区2019年8月31日正式挂牌，总规划面积33.29平方公里（含石家庄综合保税区）。功能定位为“两区一枢纽”，即航空产业开放发展集聚区、生物医药产业开放创新引领区和综合物流枢纽，重点发展临空产业、生物医药、国际物流、高端装备制造等产业。</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为促进正定片区快速发展，2019年12月24日，中共石家庄市委、市政府印发《关于支持中国（河北）自由贸易试验区正定片区高水平开放高质量建设的若干意见（试行）》的通知（石字〔20</w:t>
      </w:r>
      <w:r>
        <w:rPr>
          <w:rFonts w:hint="eastAsia" w:ascii="仿宋" w:hAnsi="仿宋" w:eastAsia="仿宋" w:cs="仿宋"/>
          <w:sz w:val="32"/>
          <w:szCs w:val="32"/>
          <w:lang w:val="en-US" w:eastAsia="zh-CN"/>
        </w:rPr>
        <w:t>19</w:t>
      </w:r>
      <w:r>
        <w:rPr>
          <w:rFonts w:hint="eastAsia" w:ascii="仿宋" w:hAnsi="仿宋" w:eastAsia="仿宋" w:cs="仿宋"/>
          <w:sz w:val="32"/>
          <w:szCs w:val="32"/>
        </w:rPr>
        <w:t>〕22号，以下简称《40条意见》）。2020年7月31日，市财政局印发了《石家庄市支持自贸区发展专项资金管理办法》（石财外〔2020〕3号），明确由正定片区管委会负责支持自贸区发展专项资金的管理使用，包括项目的征集、筛选、审核以及奖补资金的拨付、兑现等，对资金使用情况进行绩效评价。</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按照“一门受理”的方式，由正定县、正定高新区、正定新区招商部门负责对收集的本辖区内企业进行初步筛选，然后报至片区管委会，片区管委会委托第三方机构对申请企业提交的申报材料进行审核，并出具审核意见。片区管委会依据评审情况提出具体奖补资金兑付意见，报市自贸办转呈市政府分管市领导审批，根据市政府领导的批示意见，由片区管委会财政局按照市政府批准的奖补资金兑付意见，将资金拨付到企业。</w:t>
      </w:r>
    </w:p>
    <w:p>
      <w:pPr>
        <w:pStyle w:val="44"/>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outlineLvl w:val="1"/>
        <w:rPr>
          <w:rFonts w:ascii="楷体" w:hAnsi="楷体" w:eastAsia="楷体" w:cs="楷体"/>
          <w:sz w:val="32"/>
          <w:szCs w:val="32"/>
        </w:rPr>
      </w:pPr>
      <w:bookmarkStart w:id="8" w:name="_Toc10511"/>
      <w:bookmarkStart w:id="9" w:name="_Toc4169"/>
      <w:r>
        <w:rPr>
          <w:rFonts w:hint="eastAsia" w:ascii="楷体" w:hAnsi="楷体" w:eastAsia="楷体" w:cs="楷体"/>
          <w:sz w:val="32"/>
          <w:szCs w:val="32"/>
        </w:rPr>
        <w:t>（二）资金使用情况</w:t>
      </w:r>
      <w:bookmarkEnd w:id="8"/>
      <w:bookmarkEnd w:id="9"/>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rPr>
          <w:rFonts w:ascii="仿宋" w:hAnsi="仿宋" w:eastAsia="仿宋"/>
          <w:sz w:val="32"/>
          <w:szCs w:val="32"/>
        </w:rPr>
      </w:pPr>
      <w:r>
        <w:rPr>
          <w:rFonts w:hint="eastAsia" w:ascii="仿宋" w:hAnsi="仿宋" w:eastAsia="仿宋"/>
          <w:sz w:val="32"/>
          <w:szCs w:val="32"/>
        </w:rPr>
        <w:t>支持自贸区发展专项资金主要用于落实《40条意见》规定的支持正定片区产业扶持、创新研发、人才引进培养等有关奖补政策。2021年度支持自贸区发展专项资金预算申报总额为1500万元，用于发放河北省金融租赁有限公司、河北港通物流有限公司、河北纽兰进出口贸易有限公司补贴资金688.10万元。2021年末结余资金811.90万元,至评价报告出具日已经支出，其中用于支付40条意见中金融机构扩大信贷投放奖励资金350万元，正定联东金衡实业有限公司联东U谷石家庄正定科技总部港项目投资补助资金461.90万元。</w:t>
      </w:r>
    </w:p>
    <w:p>
      <w:pPr>
        <w:pStyle w:val="44"/>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outlineLvl w:val="0"/>
        <w:rPr>
          <w:sz w:val="32"/>
          <w:szCs w:val="32"/>
        </w:rPr>
      </w:pPr>
      <w:bookmarkStart w:id="10" w:name="_Toc31244"/>
      <w:bookmarkStart w:id="11" w:name="_Toc9677"/>
      <w:r>
        <w:rPr>
          <w:rFonts w:hint="eastAsia" w:ascii="黑体" w:hAnsi="黑体" w:eastAsia="黑体" w:cs="黑体"/>
          <w:sz w:val="32"/>
          <w:szCs w:val="32"/>
        </w:rPr>
        <w:t>二、绩效评价工作开展情况</w:t>
      </w:r>
      <w:bookmarkEnd w:id="10"/>
      <w:bookmarkEnd w:id="11"/>
    </w:p>
    <w:p>
      <w:pPr>
        <w:pStyle w:val="13"/>
        <w:keepNext w:val="0"/>
        <w:keepLines w:val="0"/>
        <w:pageBreakBefore w:val="0"/>
        <w:kinsoku/>
        <w:wordWrap/>
        <w:overflowPunct/>
        <w:topLinePunct w:val="0"/>
        <w:autoSpaceDE/>
        <w:autoSpaceDN/>
        <w:bidi w:val="0"/>
        <w:adjustRightInd w:val="0"/>
        <w:snapToGrid w:val="0"/>
        <w:spacing w:line="560" w:lineRule="exact"/>
        <w:ind w:left="0" w:firstLine="640" w:firstLineChars="200"/>
        <w:textAlignment w:val="baseline"/>
        <w:rPr>
          <w:rFonts w:ascii="仿宋" w:hAnsi="仿宋" w:eastAsia="仿宋"/>
          <w:sz w:val="32"/>
          <w:szCs w:val="32"/>
        </w:rPr>
      </w:pPr>
      <w:bookmarkStart w:id="12" w:name="_Toc313007030"/>
      <w:r>
        <w:rPr>
          <w:rFonts w:ascii="仿宋" w:hAnsi="仿宋" w:eastAsia="仿宋"/>
          <w:sz w:val="32"/>
          <w:szCs w:val="32"/>
        </w:rPr>
        <w:t>本次评价过程中，评价工作组立足</w:t>
      </w:r>
      <w:r>
        <w:rPr>
          <w:rFonts w:hint="eastAsia" w:ascii="仿宋" w:hAnsi="仿宋" w:eastAsia="仿宋"/>
          <w:sz w:val="32"/>
          <w:szCs w:val="32"/>
        </w:rPr>
        <w:t>2021年专项资金补贴企业的实际</w:t>
      </w:r>
      <w:r>
        <w:rPr>
          <w:rFonts w:ascii="仿宋" w:hAnsi="仿宋" w:eastAsia="仿宋"/>
          <w:sz w:val="32"/>
          <w:szCs w:val="32"/>
        </w:rPr>
        <w:t>情况，</w:t>
      </w:r>
      <w:r>
        <w:rPr>
          <w:rFonts w:hint="eastAsia" w:ascii="仿宋" w:hAnsi="仿宋" w:eastAsia="仿宋"/>
          <w:sz w:val="32"/>
          <w:szCs w:val="32"/>
        </w:rPr>
        <w:t>核</w:t>
      </w:r>
      <w:r>
        <w:rPr>
          <w:rFonts w:ascii="仿宋" w:hAnsi="仿宋" w:eastAsia="仿宋"/>
          <w:sz w:val="32"/>
          <w:szCs w:val="32"/>
        </w:rPr>
        <w:t>查了</w:t>
      </w:r>
      <w:r>
        <w:rPr>
          <w:rFonts w:hint="eastAsia" w:ascii="仿宋" w:hAnsi="仿宋" w:eastAsia="仿宋"/>
          <w:sz w:val="32"/>
          <w:szCs w:val="32"/>
        </w:rPr>
        <w:t>2021年度全部受补贴企业</w:t>
      </w:r>
      <w:r>
        <w:rPr>
          <w:rFonts w:ascii="仿宋" w:hAnsi="仿宋" w:eastAsia="仿宋"/>
          <w:sz w:val="32"/>
          <w:szCs w:val="32"/>
        </w:rPr>
        <w:t>，</w:t>
      </w:r>
      <w:r>
        <w:rPr>
          <w:rFonts w:hint="eastAsia" w:ascii="仿宋" w:hAnsi="仿宋" w:eastAsia="仿宋"/>
          <w:sz w:val="32"/>
          <w:szCs w:val="32"/>
        </w:rPr>
        <w:t>并延伸核查2020年的受补贴企业河北一然生物科技有限公司。了解各受益企业补贴资金申请依据及运行情况</w:t>
      </w:r>
      <w:r>
        <w:rPr>
          <w:rFonts w:ascii="仿宋" w:hAnsi="仿宋" w:eastAsia="仿宋"/>
          <w:sz w:val="32"/>
          <w:szCs w:val="32"/>
        </w:rPr>
        <w:t>。</w:t>
      </w:r>
    </w:p>
    <w:p>
      <w:pPr>
        <w:pStyle w:val="13"/>
        <w:keepNext w:val="0"/>
        <w:keepLines w:val="0"/>
        <w:pageBreakBefore w:val="0"/>
        <w:kinsoku/>
        <w:wordWrap/>
        <w:overflowPunct/>
        <w:topLinePunct w:val="0"/>
        <w:autoSpaceDE/>
        <w:autoSpaceDN/>
        <w:bidi w:val="0"/>
        <w:adjustRightInd w:val="0"/>
        <w:snapToGrid w:val="0"/>
        <w:spacing w:line="560" w:lineRule="exact"/>
        <w:ind w:left="0" w:firstLine="640" w:firstLineChars="200"/>
        <w:textAlignment w:val="baseline"/>
        <w:outlineLvl w:val="1"/>
        <w:rPr>
          <w:rFonts w:ascii="楷体" w:hAnsi="楷体" w:eastAsia="楷体" w:cs="楷体"/>
          <w:sz w:val="32"/>
          <w:szCs w:val="32"/>
        </w:rPr>
      </w:pPr>
      <w:bookmarkStart w:id="13" w:name="_Toc27463"/>
      <w:r>
        <w:rPr>
          <w:rFonts w:hint="eastAsia" w:ascii="楷体" w:hAnsi="楷体" w:eastAsia="楷体" w:cs="楷体"/>
          <w:sz w:val="32"/>
          <w:szCs w:val="32"/>
        </w:rPr>
        <w:t>（一）评价方法</w:t>
      </w:r>
      <w:bookmarkEnd w:id="13"/>
    </w:p>
    <w:p>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评价工作组在工作过程中，通过现场与非现场结合查阅资料的方式，了解支持自贸区发展专项资金设立的背景、定位、现状及未来需求，并多次赴片区经发局、河北港通物流有限公司、河北纽兰进出口贸易有限公司、河北金融租赁有限公司进行现场调研，全面了解项目申报、补贴资金核定、拨付流程、支出方式等情况。了解项目补贴政策实施后的效益实现情况，包括对石家庄市外贸企业的发展、医药口岸方面等的影响以及其他方面的社会效益或经济效益实现情况。</w:t>
      </w:r>
    </w:p>
    <w:p>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同时针对项目管理单位和实施企业，共发放收回有效问卷89份，其中针对项目管理单位类</w:t>
      </w:r>
      <w:r>
        <w:rPr>
          <w:rFonts w:hint="eastAsia" w:ascii="仿宋" w:hAnsi="仿宋" w:eastAsia="仿宋" w:cs="仿宋"/>
          <w:sz w:val="32"/>
          <w:szCs w:val="32"/>
          <w:lang w:val="en-US" w:eastAsia="zh-CN"/>
        </w:rPr>
        <w:t>问</w:t>
      </w:r>
      <w:r>
        <w:rPr>
          <w:rFonts w:hint="eastAsia" w:ascii="仿宋" w:hAnsi="仿宋" w:eastAsia="仿宋" w:cs="仿宋"/>
          <w:sz w:val="32"/>
          <w:szCs w:val="32"/>
        </w:rPr>
        <w:t>卷37份，针对实施企业类</w:t>
      </w:r>
      <w:r>
        <w:rPr>
          <w:rFonts w:hint="eastAsia" w:ascii="仿宋" w:hAnsi="仿宋" w:eastAsia="仿宋" w:cs="仿宋"/>
          <w:sz w:val="32"/>
          <w:szCs w:val="32"/>
          <w:lang w:val="en-US" w:eastAsia="zh-CN"/>
        </w:rPr>
        <w:t>问</w:t>
      </w:r>
      <w:r>
        <w:rPr>
          <w:rFonts w:hint="eastAsia" w:ascii="仿宋" w:hAnsi="仿宋" w:eastAsia="仿宋" w:cs="仿宋"/>
          <w:sz w:val="32"/>
          <w:szCs w:val="32"/>
        </w:rPr>
        <w:t>卷52份。</w:t>
      </w:r>
    </w:p>
    <w:p>
      <w:pPr>
        <w:keepNext w:val="0"/>
        <w:keepLines w:val="0"/>
        <w:pageBreakBefore w:val="0"/>
        <w:kinsoku/>
        <w:wordWrap/>
        <w:overflowPunct/>
        <w:topLinePunct w:val="0"/>
        <w:autoSpaceDE/>
        <w:autoSpaceDN/>
        <w:bidi w:val="0"/>
        <w:snapToGrid w:val="0"/>
        <w:spacing w:line="560" w:lineRule="exact"/>
        <w:ind w:firstLine="640" w:firstLineChars="200"/>
        <w:textAlignment w:val="baseline"/>
        <w:outlineLvl w:val="1"/>
        <w:rPr>
          <w:rFonts w:ascii="楷体" w:hAnsi="楷体" w:eastAsia="楷体" w:cs="楷体"/>
          <w:sz w:val="32"/>
          <w:szCs w:val="32"/>
        </w:rPr>
      </w:pPr>
      <w:bookmarkStart w:id="14" w:name="_Toc27768"/>
      <w:r>
        <w:rPr>
          <w:rFonts w:hint="eastAsia" w:ascii="楷体" w:hAnsi="楷体" w:eastAsia="楷体" w:cs="楷体"/>
          <w:sz w:val="32"/>
          <w:szCs w:val="32"/>
        </w:rPr>
        <w:t>（二）评价指标体系</w:t>
      </w:r>
      <w:bookmarkEnd w:id="12"/>
      <w:bookmarkEnd w:id="14"/>
    </w:p>
    <w:p>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根据《石家庄市财政局关于印发&lt;石家庄市市级预算绩效重点评价管理办法&gt;的通知》（石财绩〔2020〕6号）相关精神，结合项目特点，评价工作组细化了该项目的绩效评价指标体系，此次评价共设置一级指标4个，包括产出指标、效益指标、满意度指标、预算执行率指标；二级指标6个，包括数量指标、质量指标、经济效益、社会效益、受益对象满意度及预算执行率；三级指标6个，包括奖补企业目标完成率、质量达标率、完成投资比率、就业带动及增强高质量发展影响力、满意度、预算执行率指标。评价指标体系总分值为100分，其中项目产出指标40分，效益指标40分，满意度指标10分，项目预算执行率指标10分。绩效评价结果分为4个等级：</w:t>
      </w:r>
    </w:p>
    <w:p>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综合得分在85（含）-100分为优秀；</w:t>
      </w:r>
    </w:p>
    <w:p>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综合得分在75（含）-85分为良好；</w:t>
      </w:r>
    </w:p>
    <w:p>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综合得分在60（含）-75分为一般；</w:t>
      </w:r>
    </w:p>
    <w:p>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综合得分在60分以下为较差。</w:t>
      </w:r>
    </w:p>
    <w:p>
      <w:pPr>
        <w:pStyle w:val="44"/>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outlineLvl w:val="0"/>
        <w:rPr>
          <w:rFonts w:ascii="黑体" w:hAnsi="黑体" w:eastAsia="黑体" w:cs="黑体"/>
          <w:sz w:val="32"/>
          <w:szCs w:val="32"/>
        </w:rPr>
      </w:pPr>
      <w:bookmarkStart w:id="15" w:name="_Toc2292"/>
      <w:bookmarkStart w:id="16" w:name="_Toc22700"/>
      <w:r>
        <w:rPr>
          <w:rFonts w:hint="eastAsia" w:ascii="黑体" w:hAnsi="黑体" w:eastAsia="黑体" w:cs="黑体"/>
          <w:sz w:val="32"/>
          <w:szCs w:val="32"/>
        </w:rPr>
        <w:t>三、绩效评价指标完成情况分析</w:t>
      </w:r>
      <w:bookmarkEnd w:id="15"/>
      <w:bookmarkEnd w:id="16"/>
    </w:p>
    <w:p>
      <w:pPr>
        <w:pStyle w:val="44"/>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outlineLvl w:val="1"/>
        <w:rPr>
          <w:rFonts w:ascii="楷体" w:hAnsi="楷体" w:eastAsia="楷体" w:cs="楷体"/>
          <w:sz w:val="32"/>
          <w:szCs w:val="32"/>
        </w:rPr>
      </w:pPr>
      <w:bookmarkStart w:id="17" w:name="_Toc21636"/>
      <w:r>
        <w:rPr>
          <w:rFonts w:hint="eastAsia" w:ascii="楷体" w:hAnsi="楷体" w:eastAsia="楷体" w:cs="楷体"/>
          <w:sz w:val="32"/>
          <w:szCs w:val="32"/>
        </w:rPr>
        <w:t>（一）项目产出情况（满分40分，评价得分32分）</w:t>
      </w:r>
      <w:bookmarkEnd w:id="17"/>
    </w:p>
    <w:p>
      <w:pPr>
        <w:pStyle w:val="14"/>
        <w:keepNext w:val="0"/>
        <w:keepLines w:val="0"/>
        <w:pageBreakBefore w:val="0"/>
        <w:kinsoku/>
        <w:wordWrap/>
        <w:overflowPunct/>
        <w:topLinePunct w:val="0"/>
        <w:autoSpaceDE/>
        <w:autoSpaceDN/>
        <w:bidi w:val="0"/>
        <w:adjustRightInd w:val="0"/>
        <w:snapToGrid w:val="0"/>
        <w:spacing w:line="560" w:lineRule="exact"/>
        <w:ind w:left="0" w:right="0" w:firstLine="640" w:firstLineChars="200"/>
        <w:textAlignment w:val="baseline"/>
        <w:rPr>
          <w:rFonts w:ascii="仿宋" w:hAnsi="仿宋" w:eastAsia="仿宋" w:cs="仿宋"/>
          <w:sz w:val="32"/>
          <w:szCs w:val="32"/>
        </w:rPr>
      </w:pPr>
      <w:r>
        <w:rPr>
          <w:rFonts w:hint="eastAsia" w:ascii="仿宋" w:hAnsi="仿宋" w:eastAsia="仿宋" w:cs="仿宋"/>
          <w:sz w:val="32"/>
          <w:szCs w:val="32"/>
        </w:rPr>
        <w:t>1.产出数量（满分20分，评价得分12分）</w:t>
      </w:r>
    </w:p>
    <w:p>
      <w:pPr>
        <w:keepNext w:val="0"/>
        <w:keepLines w:val="0"/>
        <w:pageBreakBefore w:val="0"/>
        <w:tabs>
          <w:tab w:val="left" w:pos="312"/>
        </w:tabs>
        <w:kinsoku/>
        <w:wordWrap/>
        <w:overflowPunct/>
        <w:topLinePunct w:val="0"/>
        <w:autoSpaceDE/>
        <w:autoSpaceDN/>
        <w:bidi w:val="0"/>
        <w:adjustRightInd w:val="0"/>
        <w:snapToGrid w:val="0"/>
        <w:spacing w:line="560" w:lineRule="exact"/>
        <w:ind w:firstLine="640" w:firstLineChars="200"/>
        <w:textAlignment w:val="baseline"/>
        <w:rPr>
          <w:rFonts w:ascii="仿宋" w:hAnsi="仿宋" w:eastAsia="仿宋" w:cs="仿宋"/>
          <w:sz w:val="32"/>
        </w:rPr>
      </w:pPr>
      <w:r>
        <w:rPr>
          <w:rFonts w:hint="eastAsia" w:ascii="仿宋" w:hAnsi="仿宋" w:eastAsia="仿宋" w:cs="仿宋"/>
          <w:sz w:val="32"/>
          <w:szCs w:val="32"/>
        </w:rPr>
        <w:t>（1）奖补企业目标完成率（满分20分，得分12分）</w:t>
      </w:r>
    </w:p>
    <w:p>
      <w:pPr>
        <w:keepNext w:val="0"/>
        <w:keepLines w:val="0"/>
        <w:pageBreakBefore w:val="0"/>
        <w:tabs>
          <w:tab w:val="left" w:pos="312"/>
        </w:tabs>
        <w:kinsoku/>
        <w:wordWrap/>
        <w:overflowPunct/>
        <w:topLinePunct w:val="0"/>
        <w:autoSpaceDE/>
        <w:autoSpaceDN/>
        <w:bidi w:val="0"/>
        <w:adjustRightInd w:val="0"/>
        <w:snapToGrid w:val="0"/>
        <w:spacing w:line="560" w:lineRule="exact"/>
        <w:ind w:firstLine="640" w:firstLineChars="200"/>
        <w:textAlignment w:val="baseline"/>
        <w:rPr>
          <w:rFonts w:ascii="仿宋" w:hAnsi="仿宋" w:eastAsia="仿宋" w:cs="仿宋"/>
          <w:sz w:val="32"/>
          <w:szCs w:val="32"/>
        </w:rPr>
      </w:pPr>
      <w:r>
        <w:rPr>
          <w:rFonts w:hint="eastAsia" w:ascii="仿宋" w:hAnsi="仿宋" w:eastAsia="仿宋" w:cs="仿宋"/>
          <w:sz w:val="32"/>
          <w:szCs w:val="32"/>
        </w:rPr>
        <w:t>根据《河北自贸试验区正定片区企业拟申请2021年自贸区支持资金摸底情况表》，2021年度奖补企业数量任务完成目标值应为5个，实际完成数量3个，其中保定银行正定新区支行保定银行办公项目及河北中科国创产业园运营管理有限公司国家级人力资源产业园项目因不符合发放条件，未发放补贴。</w:t>
      </w:r>
    </w:p>
    <w:p>
      <w:pPr>
        <w:pStyle w:val="14"/>
        <w:keepNext w:val="0"/>
        <w:keepLines w:val="0"/>
        <w:pageBreakBefore w:val="0"/>
        <w:kinsoku/>
        <w:wordWrap/>
        <w:overflowPunct/>
        <w:topLinePunct w:val="0"/>
        <w:autoSpaceDE/>
        <w:autoSpaceDN/>
        <w:bidi w:val="0"/>
        <w:adjustRightInd w:val="0"/>
        <w:snapToGrid w:val="0"/>
        <w:spacing w:line="560" w:lineRule="exact"/>
        <w:ind w:left="0" w:right="0" w:firstLine="640" w:firstLineChars="200"/>
        <w:textAlignment w:val="baseline"/>
        <w:rPr>
          <w:rFonts w:ascii="仿宋" w:hAnsi="仿宋" w:eastAsia="仿宋" w:cs="仿宋"/>
          <w:sz w:val="32"/>
          <w:szCs w:val="32"/>
        </w:rPr>
      </w:pPr>
      <w:r>
        <w:rPr>
          <w:rFonts w:hint="eastAsia" w:ascii="仿宋" w:hAnsi="仿宋" w:eastAsia="仿宋" w:cs="仿宋"/>
          <w:sz w:val="32"/>
          <w:szCs w:val="32"/>
        </w:rPr>
        <w:t>2.产出质量（满分20分，评价得分20分）</w:t>
      </w:r>
      <w:bookmarkStart w:id="18" w:name="_Hlk86402910"/>
      <w:bookmarkEnd w:id="18"/>
    </w:p>
    <w:p>
      <w:pPr>
        <w:pStyle w:val="44"/>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rPr>
          <w:rFonts w:ascii="仿宋" w:hAnsi="仿宋" w:eastAsia="仿宋" w:cs="仿宋"/>
          <w:sz w:val="32"/>
        </w:rPr>
      </w:pPr>
      <w:bookmarkStart w:id="19" w:name="_Toc3414"/>
      <w:bookmarkStart w:id="20" w:name="_Toc79484430"/>
      <w:bookmarkStart w:id="21" w:name="_Toc14865"/>
      <w:r>
        <w:rPr>
          <w:rFonts w:hint="eastAsia" w:ascii="仿宋" w:hAnsi="仿宋" w:eastAsia="仿宋" w:cs="仿宋"/>
          <w:sz w:val="32"/>
        </w:rPr>
        <w:t>项目整体完成质量很好，评价发现，资金支持项目起到了促进投资贸易便利化、金融开放创新、促进片区高质量发展作用。已支持项目中明确能够促进投资贸易便利化、金融开放创新、高质量发展等的数量与截至评价日已支持项目数量比值为100%，此项得分满分。</w:t>
      </w:r>
    </w:p>
    <w:p>
      <w:pPr>
        <w:pStyle w:val="44"/>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outlineLvl w:val="1"/>
        <w:rPr>
          <w:rFonts w:ascii="楷体" w:hAnsi="楷体" w:eastAsia="楷体" w:cs="楷体"/>
          <w:sz w:val="32"/>
          <w:szCs w:val="32"/>
        </w:rPr>
      </w:pPr>
      <w:bookmarkStart w:id="22" w:name="_Toc19257"/>
      <w:r>
        <w:rPr>
          <w:rFonts w:hint="eastAsia" w:ascii="楷体" w:hAnsi="楷体" w:eastAsia="楷体" w:cs="楷体"/>
          <w:sz w:val="32"/>
          <w:szCs w:val="32"/>
        </w:rPr>
        <w:t>（二）项目效益情况</w:t>
      </w:r>
      <w:bookmarkEnd w:id="19"/>
      <w:bookmarkEnd w:id="20"/>
      <w:bookmarkEnd w:id="21"/>
      <w:r>
        <w:rPr>
          <w:rFonts w:hint="eastAsia" w:ascii="楷体" w:hAnsi="楷体" w:eastAsia="楷体" w:cs="楷体"/>
          <w:sz w:val="32"/>
          <w:szCs w:val="32"/>
        </w:rPr>
        <w:t>（满分40分，评价得分36分）</w:t>
      </w:r>
      <w:bookmarkEnd w:id="22"/>
    </w:p>
    <w:p>
      <w:pPr>
        <w:pStyle w:val="14"/>
        <w:keepNext w:val="0"/>
        <w:keepLines w:val="0"/>
        <w:pageBreakBefore w:val="0"/>
        <w:tabs>
          <w:tab w:val="left" w:pos="312"/>
        </w:tabs>
        <w:kinsoku/>
        <w:wordWrap/>
        <w:overflowPunct/>
        <w:topLinePunct w:val="0"/>
        <w:autoSpaceDE/>
        <w:autoSpaceDN/>
        <w:bidi w:val="0"/>
        <w:adjustRightInd w:val="0"/>
        <w:snapToGrid w:val="0"/>
        <w:spacing w:line="560" w:lineRule="exact"/>
        <w:ind w:left="0" w:right="0" w:firstLine="640" w:firstLineChars="200"/>
        <w:textAlignment w:val="baseline"/>
        <w:rPr>
          <w:rFonts w:ascii="仿宋" w:hAnsi="仿宋" w:eastAsia="仿宋" w:cs="仿宋"/>
          <w:sz w:val="32"/>
          <w:szCs w:val="32"/>
        </w:rPr>
      </w:pPr>
      <w:r>
        <w:rPr>
          <w:rFonts w:hint="eastAsia" w:ascii="仿宋" w:hAnsi="仿宋" w:eastAsia="仿宋" w:cs="仿宋"/>
          <w:sz w:val="32"/>
          <w:szCs w:val="32"/>
        </w:rPr>
        <w:t>1.经济效益（满分15分，得分11分）</w:t>
      </w:r>
    </w:p>
    <w:p>
      <w:pPr>
        <w:pStyle w:val="14"/>
        <w:keepNext w:val="0"/>
        <w:keepLines w:val="0"/>
        <w:pageBreakBefore w:val="0"/>
        <w:tabs>
          <w:tab w:val="left" w:pos="312"/>
        </w:tabs>
        <w:kinsoku/>
        <w:wordWrap/>
        <w:overflowPunct/>
        <w:topLinePunct w:val="0"/>
        <w:autoSpaceDE/>
        <w:autoSpaceDN/>
        <w:bidi w:val="0"/>
        <w:adjustRightInd w:val="0"/>
        <w:snapToGrid w:val="0"/>
        <w:spacing w:line="560" w:lineRule="exact"/>
        <w:ind w:left="0" w:right="0" w:firstLine="640" w:firstLineChars="200"/>
        <w:textAlignment w:val="baseline"/>
        <w:rPr>
          <w:rFonts w:ascii="仿宋" w:hAnsi="仿宋" w:eastAsia="仿宋"/>
          <w:sz w:val="32"/>
          <w:szCs w:val="32"/>
        </w:rPr>
      </w:pPr>
      <w:r>
        <w:rPr>
          <w:rFonts w:hint="eastAsia" w:ascii="仿宋" w:hAnsi="仿宋" w:eastAsia="仿宋"/>
          <w:sz w:val="32"/>
          <w:szCs w:val="32"/>
        </w:rPr>
        <w:t>主要评价补贴项目完成计划投资情况。河北港通物流有限公司投资的现代物流重点项目，计划总投资17169.88万元，实际完成投资13359.48万元，专项资金奖补金额552.6034万元。完成投资比率=项目完成投资额/计划投资额，经计算完成投资比率为78%，计算得分6分。</w:t>
      </w:r>
    </w:p>
    <w:p>
      <w:pPr>
        <w:pStyle w:val="14"/>
        <w:keepNext w:val="0"/>
        <w:keepLines w:val="0"/>
        <w:pageBreakBefore w:val="0"/>
        <w:tabs>
          <w:tab w:val="left" w:pos="312"/>
        </w:tabs>
        <w:kinsoku/>
        <w:wordWrap/>
        <w:overflowPunct/>
        <w:topLinePunct w:val="0"/>
        <w:autoSpaceDE/>
        <w:autoSpaceDN/>
        <w:bidi w:val="0"/>
        <w:adjustRightInd w:val="0"/>
        <w:snapToGrid w:val="0"/>
        <w:spacing w:line="560" w:lineRule="exact"/>
        <w:ind w:left="0" w:right="0" w:firstLine="640" w:firstLineChars="200"/>
        <w:textAlignment w:val="baseline"/>
        <w:rPr>
          <w:rFonts w:ascii="仿宋" w:hAnsi="仿宋" w:eastAsia="仿宋"/>
          <w:sz w:val="32"/>
          <w:szCs w:val="32"/>
        </w:rPr>
      </w:pPr>
      <w:r>
        <w:rPr>
          <w:rFonts w:hint="eastAsia" w:ascii="仿宋" w:hAnsi="仿宋" w:eastAsia="仿宋"/>
          <w:sz w:val="32"/>
          <w:szCs w:val="32"/>
        </w:rPr>
        <w:t>正定联东金衡实业有限公司联东 U 谷石家庄正定科技总部港项目（1号第一、二期工程）计划总投资31000.00万元，实际完成投资23926.77万元，2021年专项资金补贴461.90万元。完成投资比率=项目完成投资额/计划投资额，经计算完成投资比率为77%，计算得分5分。</w:t>
      </w: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rPr>
          <w:rFonts w:ascii="仿宋" w:hAnsi="仿宋" w:eastAsia="仿宋" w:cs="仿宋"/>
          <w:sz w:val="32"/>
          <w:szCs w:val="32"/>
        </w:rPr>
      </w:pPr>
      <w:r>
        <w:rPr>
          <w:rFonts w:hint="eastAsia" w:ascii="仿宋" w:hAnsi="仿宋" w:eastAsia="仿宋" w:cs="仿宋"/>
          <w:sz w:val="32"/>
          <w:szCs w:val="32"/>
        </w:rPr>
        <w:t>2.社会效益（满分25分，得分25分）</w:t>
      </w:r>
    </w:p>
    <w:p>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项目开展后，在拉动社会就业方面成效显著，新增许多就业岗位，带动了本地劳动力就业，促进群众增收，其中河北港通物流有限公司增加就业岗位50多个，联东 U 谷石家庄正定科技总部港项目2022年1-6月份带动就业70人。</w:t>
      </w: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rPr>
          <w:rFonts w:ascii="仿宋" w:hAnsi="仿宋" w:eastAsia="仿宋"/>
          <w:sz w:val="32"/>
          <w:szCs w:val="32"/>
        </w:rPr>
      </w:pPr>
      <w:r>
        <w:rPr>
          <w:rFonts w:hint="eastAsia" w:ascii="仿宋" w:hAnsi="仿宋" w:eastAsia="仿宋" w:cs="仿宋"/>
          <w:sz w:val="32"/>
          <w:szCs w:val="32"/>
        </w:rPr>
        <w:t>项目实施对支持正定片区高水平建设高质量发展有着巨大的影响。一是河北港通物流有限公司建成的口岸医药物流中心项目是石家庄市申建药品进口口岸城市的重要基础，同时也是填补河北省空白的项目，为着力打造生物医药产业开放创新引领区奠定了基础；二是片区金融机构的不断入驻，将不断丰富完善片区的金融服务供给，为片区企业提供更多的资金支持，增强正定片区的金融服务功能，更好的落实河北自贸试验区总体方案中赋予正定片区金融创新改革的试点任务；三是联东U谷·正定科技总部港项目以打造具有区域影响力的高端产业集聚</w:t>
      </w:r>
      <w:r>
        <w:rPr>
          <w:rFonts w:hint="eastAsia" w:ascii="仿宋" w:hAnsi="仿宋" w:eastAsia="仿宋"/>
          <w:sz w:val="32"/>
          <w:szCs w:val="32"/>
        </w:rPr>
        <w:t>区以及京津冀科技产业承载地为目标，将一批优质高新技术企业引进到正定片区。</w:t>
      </w:r>
    </w:p>
    <w:p>
      <w:pPr>
        <w:pStyle w:val="44"/>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outlineLvl w:val="1"/>
        <w:rPr>
          <w:rFonts w:ascii="楷体" w:hAnsi="楷体" w:eastAsia="楷体" w:cs="楷体"/>
          <w:sz w:val="32"/>
          <w:szCs w:val="32"/>
        </w:rPr>
      </w:pPr>
      <w:bookmarkStart w:id="23" w:name="_Toc26017"/>
      <w:r>
        <w:rPr>
          <w:rFonts w:hint="eastAsia" w:ascii="楷体" w:hAnsi="楷体" w:eastAsia="楷体" w:cs="楷体"/>
          <w:sz w:val="32"/>
          <w:szCs w:val="32"/>
        </w:rPr>
        <w:t>（三）项目满意度情况（满分10分，评价得分8.76分）</w:t>
      </w:r>
      <w:bookmarkEnd w:id="23"/>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rPr>
          <w:rFonts w:ascii="仿宋" w:hAnsi="仿宋" w:eastAsia="仿宋"/>
          <w:sz w:val="32"/>
        </w:rPr>
      </w:pPr>
      <w:r>
        <w:rPr>
          <w:rFonts w:ascii="仿宋" w:hAnsi="仿宋" w:eastAsia="仿宋"/>
          <w:sz w:val="32"/>
          <w:szCs w:val="32"/>
        </w:rPr>
        <w:t>本次评价收回有效问卷</w:t>
      </w:r>
      <w:r>
        <w:rPr>
          <w:rFonts w:hint="eastAsia" w:ascii="仿宋" w:hAnsi="仿宋" w:eastAsia="仿宋"/>
          <w:sz w:val="32"/>
          <w:szCs w:val="32"/>
        </w:rPr>
        <w:t>89</w:t>
      </w:r>
      <w:r>
        <w:rPr>
          <w:rFonts w:ascii="仿宋" w:hAnsi="仿宋" w:eastAsia="仿宋"/>
          <w:sz w:val="32"/>
          <w:szCs w:val="32"/>
        </w:rPr>
        <w:t>份，满意度为</w:t>
      </w:r>
      <w:r>
        <w:rPr>
          <w:rFonts w:hint="eastAsia" w:ascii="仿宋" w:hAnsi="仿宋" w:eastAsia="仿宋"/>
          <w:sz w:val="32"/>
          <w:szCs w:val="32"/>
        </w:rPr>
        <w:t>87.6</w:t>
      </w:r>
      <w:r>
        <w:rPr>
          <w:rFonts w:ascii="仿宋" w:hAnsi="仿宋" w:eastAsia="仿宋"/>
          <w:sz w:val="32"/>
          <w:szCs w:val="32"/>
        </w:rPr>
        <w:t>%。调查的相关企业中，</w:t>
      </w:r>
      <w:r>
        <w:rPr>
          <w:rFonts w:hint="eastAsia" w:ascii="仿宋" w:hAnsi="仿宋" w:eastAsia="仿宋"/>
          <w:sz w:val="32"/>
          <w:szCs w:val="32"/>
        </w:rPr>
        <w:t>61.54</w:t>
      </w:r>
      <w:r>
        <w:rPr>
          <w:rFonts w:ascii="仿宋" w:hAnsi="仿宋" w:eastAsia="仿宋"/>
          <w:sz w:val="32"/>
          <w:szCs w:val="32"/>
        </w:rPr>
        <w:t>%的人认为</w:t>
      </w:r>
      <w:r>
        <w:rPr>
          <w:rFonts w:hint="eastAsia" w:ascii="仿宋" w:hAnsi="仿宋" w:eastAsia="仿宋"/>
          <w:sz w:val="32"/>
          <w:szCs w:val="32"/>
        </w:rPr>
        <w:t>正定片区</w:t>
      </w:r>
      <w:r>
        <w:rPr>
          <w:rFonts w:ascii="仿宋" w:hAnsi="仿宋" w:eastAsia="仿宋"/>
          <w:sz w:val="32"/>
          <w:szCs w:val="32"/>
        </w:rPr>
        <w:t>的建设对当地经济发展有较好的作用，</w:t>
      </w:r>
      <w:r>
        <w:rPr>
          <w:rFonts w:hint="eastAsia" w:ascii="仿宋" w:hAnsi="仿宋" w:eastAsia="仿宋"/>
          <w:sz w:val="32"/>
          <w:szCs w:val="32"/>
        </w:rPr>
        <w:t>55.77</w:t>
      </w:r>
      <w:r>
        <w:rPr>
          <w:rFonts w:ascii="仿宋" w:hAnsi="仿宋" w:eastAsia="仿宋"/>
          <w:sz w:val="32"/>
          <w:szCs w:val="32"/>
        </w:rPr>
        <w:t>%的人对</w:t>
      </w:r>
      <w:r>
        <w:rPr>
          <w:rFonts w:hint="eastAsia" w:ascii="仿宋" w:hAnsi="仿宋" w:eastAsia="仿宋"/>
          <w:sz w:val="32"/>
          <w:szCs w:val="32"/>
        </w:rPr>
        <w:t>正定片区</w:t>
      </w:r>
      <w:r>
        <w:rPr>
          <w:rFonts w:ascii="仿宋" w:hAnsi="仿宋" w:eastAsia="仿宋"/>
          <w:sz w:val="32"/>
          <w:szCs w:val="32"/>
        </w:rPr>
        <w:t>营商环境表示非常满意，</w:t>
      </w:r>
      <w:r>
        <w:rPr>
          <w:rFonts w:hint="eastAsia" w:ascii="仿宋" w:hAnsi="仿宋" w:eastAsia="仿宋"/>
          <w:sz w:val="32"/>
          <w:szCs w:val="32"/>
        </w:rPr>
        <w:t>55.77</w:t>
      </w:r>
      <w:r>
        <w:rPr>
          <w:rFonts w:ascii="仿宋" w:hAnsi="仿宋" w:eastAsia="仿宋"/>
          <w:sz w:val="32"/>
          <w:szCs w:val="32"/>
        </w:rPr>
        <w:t>%的人认为</w:t>
      </w:r>
      <w:r>
        <w:rPr>
          <w:rFonts w:hint="eastAsia" w:ascii="仿宋" w:hAnsi="仿宋" w:eastAsia="仿宋"/>
          <w:sz w:val="32"/>
          <w:szCs w:val="32"/>
        </w:rPr>
        <w:t>正定片区</w:t>
      </w:r>
      <w:r>
        <w:rPr>
          <w:rFonts w:ascii="仿宋" w:hAnsi="仿宋" w:eastAsia="仿宋"/>
          <w:sz w:val="32"/>
          <w:szCs w:val="32"/>
        </w:rPr>
        <w:t>的投资活动非常便利；</w:t>
      </w:r>
      <w:r>
        <w:rPr>
          <w:rFonts w:hint="eastAsia" w:ascii="仿宋" w:hAnsi="仿宋" w:eastAsia="仿宋"/>
          <w:sz w:val="32"/>
          <w:szCs w:val="32"/>
        </w:rPr>
        <w:t>但有17.31</w:t>
      </w:r>
      <w:r>
        <w:rPr>
          <w:rFonts w:ascii="仿宋" w:hAnsi="仿宋" w:eastAsia="仿宋"/>
          <w:sz w:val="32"/>
          <w:szCs w:val="32"/>
        </w:rPr>
        <w:t>%的人对</w:t>
      </w:r>
      <w:r>
        <w:rPr>
          <w:rFonts w:hint="eastAsia" w:ascii="仿宋" w:hAnsi="仿宋" w:eastAsia="仿宋"/>
          <w:sz w:val="32"/>
          <w:szCs w:val="32"/>
        </w:rPr>
        <w:t>正定片区</w:t>
      </w:r>
      <w:r>
        <w:rPr>
          <w:rFonts w:ascii="仿宋" w:hAnsi="仿宋" w:eastAsia="仿宋"/>
          <w:sz w:val="32"/>
          <w:szCs w:val="32"/>
        </w:rPr>
        <w:t>推行相关优惠政策、政府补助政策</w:t>
      </w:r>
      <w:r>
        <w:rPr>
          <w:rFonts w:hint="eastAsia" w:ascii="仿宋" w:hAnsi="仿宋" w:eastAsia="仿宋"/>
          <w:sz w:val="32"/>
          <w:szCs w:val="32"/>
        </w:rPr>
        <w:t>表示一般</w:t>
      </w:r>
      <w:r>
        <w:rPr>
          <w:rFonts w:ascii="仿宋" w:hAnsi="仿宋" w:eastAsia="仿宋"/>
          <w:sz w:val="32"/>
          <w:szCs w:val="32"/>
        </w:rPr>
        <w:t>，3.85%的</w:t>
      </w:r>
      <w:r>
        <w:rPr>
          <w:rFonts w:hint="eastAsia" w:ascii="仿宋" w:hAnsi="仿宋" w:eastAsia="仿宋"/>
          <w:sz w:val="32"/>
          <w:szCs w:val="32"/>
          <w:lang w:val="en-US" w:eastAsia="zh-CN"/>
        </w:rPr>
        <w:t>人</w:t>
      </w:r>
      <w:r>
        <w:rPr>
          <w:rFonts w:ascii="仿宋" w:hAnsi="仿宋" w:eastAsia="仿宋"/>
          <w:sz w:val="32"/>
          <w:szCs w:val="32"/>
        </w:rPr>
        <w:t>认为</w:t>
      </w:r>
      <w:r>
        <w:rPr>
          <w:rFonts w:hint="eastAsia" w:ascii="仿宋" w:hAnsi="仿宋" w:eastAsia="仿宋"/>
          <w:sz w:val="32"/>
          <w:szCs w:val="32"/>
        </w:rPr>
        <w:t>正定</w:t>
      </w:r>
      <w:r>
        <w:rPr>
          <w:rFonts w:ascii="仿宋" w:hAnsi="仿宋" w:eastAsia="仿宋"/>
          <w:sz w:val="32"/>
          <w:szCs w:val="32"/>
        </w:rPr>
        <w:t>片区的交通物流不便利；调查的相关管理单位中，</w:t>
      </w:r>
      <w:r>
        <w:rPr>
          <w:rFonts w:hint="eastAsia" w:ascii="仿宋" w:hAnsi="仿宋" w:eastAsia="仿宋"/>
          <w:sz w:val="32"/>
          <w:szCs w:val="32"/>
        </w:rPr>
        <w:t>59.46</w:t>
      </w:r>
      <w:r>
        <w:rPr>
          <w:rFonts w:ascii="仿宋" w:hAnsi="仿宋" w:eastAsia="仿宋"/>
          <w:sz w:val="32"/>
          <w:szCs w:val="32"/>
        </w:rPr>
        <w:t>%的人认为</w:t>
      </w:r>
      <w:r>
        <w:rPr>
          <w:rFonts w:hint="eastAsia" w:ascii="仿宋" w:hAnsi="仿宋" w:eastAsia="仿宋"/>
          <w:sz w:val="32"/>
          <w:szCs w:val="32"/>
        </w:rPr>
        <w:t>正定</w:t>
      </w:r>
      <w:r>
        <w:rPr>
          <w:rFonts w:ascii="仿宋" w:hAnsi="仿宋" w:eastAsia="仿宋"/>
          <w:sz w:val="32"/>
          <w:szCs w:val="32"/>
        </w:rPr>
        <w:t>片区的建设对当地经济发展有较好的作用；</w:t>
      </w:r>
      <w:r>
        <w:rPr>
          <w:rFonts w:hint="eastAsia" w:ascii="仿宋" w:hAnsi="仿宋" w:eastAsia="仿宋"/>
          <w:sz w:val="32"/>
          <w:szCs w:val="32"/>
        </w:rPr>
        <w:t>但有5.41</w:t>
      </w:r>
      <w:r>
        <w:rPr>
          <w:rFonts w:ascii="仿宋" w:hAnsi="仿宋" w:eastAsia="仿宋"/>
          <w:sz w:val="32"/>
          <w:szCs w:val="32"/>
        </w:rPr>
        <w:t>%的人认为正定片区的营商环境一般</w:t>
      </w:r>
      <w:r>
        <w:rPr>
          <w:rFonts w:hint="eastAsia" w:ascii="仿宋" w:hAnsi="仿宋" w:eastAsia="仿宋"/>
          <w:sz w:val="32"/>
          <w:szCs w:val="32"/>
        </w:rPr>
        <w:t>。</w:t>
      </w:r>
    </w:p>
    <w:p>
      <w:pPr>
        <w:pStyle w:val="44"/>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outlineLvl w:val="1"/>
        <w:rPr>
          <w:rFonts w:ascii="楷体" w:hAnsi="楷体" w:eastAsia="楷体" w:cs="楷体"/>
          <w:sz w:val="32"/>
          <w:szCs w:val="32"/>
        </w:rPr>
      </w:pPr>
      <w:bookmarkStart w:id="24" w:name="_Toc1031"/>
      <w:bookmarkStart w:id="25" w:name="_Toc15043"/>
      <w:r>
        <w:rPr>
          <w:rFonts w:hint="eastAsia" w:ascii="楷体" w:hAnsi="楷体" w:eastAsia="楷体" w:cs="楷体"/>
          <w:sz w:val="32"/>
          <w:szCs w:val="32"/>
        </w:rPr>
        <w:t>（四）项目预算执行情况</w:t>
      </w:r>
      <w:bookmarkEnd w:id="24"/>
      <w:r>
        <w:rPr>
          <w:rFonts w:hint="eastAsia" w:ascii="楷体" w:hAnsi="楷体" w:eastAsia="楷体" w:cs="楷体"/>
          <w:sz w:val="32"/>
          <w:szCs w:val="32"/>
        </w:rPr>
        <w:t>（满分10分，评价得分4.6分）</w:t>
      </w:r>
      <w:bookmarkEnd w:id="25"/>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rPr>
          <w:rFonts w:ascii="仿宋" w:hAnsi="仿宋" w:eastAsia="仿宋"/>
          <w:sz w:val="32"/>
          <w:szCs w:val="32"/>
        </w:rPr>
      </w:pPr>
      <w:r>
        <w:rPr>
          <w:rFonts w:ascii="仿宋" w:hAnsi="仿宋" w:eastAsia="仿宋"/>
          <w:sz w:val="32"/>
          <w:szCs w:val="32"/>
        </w:rPr>
        <w:t>片区管委会对辖区内企业</w:t>
      </w:r>
      <w:r>
        <w:rPr>
          <w:rFonts w:hint="eastAsia" w:ascii="仿宋" w:hAnsi="仿宋" w:eastAsia="仿宋"/>
          <w:sz w:val="32"/>
          <w:szCs w:val="32"/>
        </w:rPr>
        <w:t>2021年</w:t>
      </w:r>
      <w:r>
        <w:rPr>
          <w:rFonts w:ascii="仿宋" w:hAnsi="仿宋" w:eastAsia="仿宋"/>
          <w:sz w:val="32"/>
          <w:szCs w:val="32"/>
        </w:rPr>
        <w:t>奖补资金需求进行摸底测算，</w:t>
      </w:r>
      <w:r>
        <w:rPr>
          <w:rFonts w:hint="eastAsia" w:ascii="仿宋" w:hAnsi="仿宋" w:eastAsia="仿宋"/>
          <w:sz w:val="32"/>
          <w:szCs w:val="32"/>
        </w:rPr>
        <w:t>并</w:t>
      </w:r>
      <w:r>
        <w:rPr>
          <w:rFonts w:ascii="仿宋" w:hAnsi="仿宋" w:eastAsia="仿宋"/>
          <w:sz w:val="32"/>
          <w:szCs w:val="32"/>
        </w:rPr>
        <w:t>汇总上报市财政局，申请安排</w:t>
      </w:r>
      <w:r>
        <w:rPr>
          <w:rFonts w:hint="eastAsia" w:ascii="仿宋" w:hAnsi="仿宋" w:eastAsia="仿宋"/>
          <w:sz w:val="32"/>
          <w:szCs w:val="32"/>
        </w:rPr>
        <w:t>2021</w:t>
      </w:r>
      <w:r>
        <w:rPr>
          <w:rFonts w:ascii="仿宋" w:hAnsi="仿宋" w:eastAsia="仿宋"/>
          <w:sz w:val="32"/>
          <w:szCs w:val="32"/>
        </w:rPr>
        <w:t>年预算资金</w:t>
      </w:r>
      <w:r>
        <w:rPr>
          <w:rFonts w:hint="eastAsia" w:ascii="仿宋" w:hAnsi="仿宋" w:eastAsia="仿宋"/>
          <w:sz w:val="32"/>
          <w:szCs w:val="32"/>
        </w:rPr>
        <w:t>1500万元</w:t>
      </w:r>
      <w:r>
        <w:rPr>
          <w:rFonts w:ascii="仿宋" w:hAnsi="仿宋" w:eastAsia="仿宋"/>
          <w:sz w:val="32"/>
          <w:szCs w:val="32"/>
        </w:rPr>
        <w:t>。</w:t>
      </w:r>
      <w:r>
        <w:rPr>
          <w:rFonts w:hint="eastAsia" w:ascii="仿宋" w:hAnsi="仿宋" w:eastAsia="仿宋"/>
          <w:sz w:val="32"/>
          <w:szCs w:val="32"/>
        </w:rPr>
        <w:t>截至2021年12月31日，专项资金实际支出688.10万元，预算执行率为45.87%。</w:t>
      </w: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rPr>
          <w:rFonts w:ascii="仿宋" w:hAnsi="仿宋" w:eastAsia="仿宋"/>
          <w:sz w:val="32"/>
          <w:szCs w:val="32"/>
        </w:rPr>
      </w:pPr>
      <w:r>
        <w:rPr>
          <w:rFonts w:hint="eastAsia" w:ascii="仿宋" w:hAnsi="仿宋" w:eastAsia="仿宋"/>
          <w:sz w:val="32"/>
          <w:szCs w:val="32"/>
        </w:rPr>
        <w:t>经评价发现，预算编制缺乏科学性，预算执行率较低。根据《河北自贸试验区正定片区企业拟申请2021年自贸区支持资金摸底情况表》，河北港通物流有限公司口岸医药物流中心一期项目预算补贴资金910万元，实际补贴552.60万元，差额357.40万元；口岸运营主体公司口岸运营及物流补贴预算500万元，实际发放补贴166.50万元，差额333.50万元；保定银行办公项目预算补贴资金20万元、河北中科国创产业园运营管理有限公司国家级人力资源产业园项目预算补贴资金50万元，预算金额远大于实际需要补贴金额。</w:t>
      </w:r>
    </w:p>
    <w:p>
      <w:pPr>
        <w:pStyle w:val="44"/>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outlineLvl w:val="0"/>
        <w:rPr>
          <w:rFonts w:ascii="黑体" w:hAnsi="黑体" w:eastAsia="黑体" w:cs="黑体"/>
          <w:sz w:val="32"/>
          <w:szCs w:val="32"/>
        </w:rPr>
      </w:pPr>
      <w:bookmarkStart w:id="26" w:name="_Toc11900"/>
      <w:bookmarkStart w:id="27" w:name="_Toc29268"/>
      <w:bookmarkStart w:id="28" w:name="_Toc2525"/>
      <w:r>
        <w:rPr>
          <w:rFonts w:hint="eastAsia" w:ascii="黑体" w:hAnsi="黑体" w:eastAsia="黑体" w:cs="黑体"/>
          <w:sz w:val="32"/>
          <w:szCs w:val="32"/>
        </w:rPr>
        <w:t>四、总体评价情况及评价结论</w:t>
      </w:r>
      <w:bookmarkEnd w:id="26"/>
      <w:bookmarkEnd w:id="27"/>
    </w:p>
    <w:p>
      <w:pPr>
        <w:pStyle w:val="44"/>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rPr>
          <w:rFonts w:ascii="仿宋" w:hAnsi="仿宋" w:eastAsia="仿宋"/>
          <w:sz w:val="32"/>
          <w:szCs w:val="32"/>
        </w:rPr>
      </w:pPr>
      <w:bookmarkStart w:id="29" w:name="_Hlk86233261"/>
      <w:r>
        <w:rPr>
          <w:rFonts w:ascii="仿宋" w:hAnsi="仿宋" w:eastAsia="仿宋"/>
          <w:sz w:val="32"/>
          <w:szCs w:val="32"/>
        </w:rPr>
        <w:t>从整体来看，</w:t>
      </w:r>
      <w:r>
        <w:rPr>
          <w:rFonts w:hint="eastAsia" w:ascii="仿宋" w:hAnsi="仿宋" w:eastAsia="仿宋"/>
          <w:sz w:val="32"/>
          <w:szCs w:val="32"/>
        </w:rPr>
        <w:t>专项资金共支持五个项目，对自贸区企业扩大融资渠道及信贷规模，自贸区增加进出口额，加快石家庄药品口岸的获批，打造具有区域影响力的高端产业集聚区以及京津冀科技产业承载地，努力将一批优质高新技术企业引进到正定片区起到极大作用。从分类来看，</w:t>
      </w:r>
      <w:r>
        <w:rPr>
          <w:rFonts w:ascii="仿宋" w:hAnsi="仿宋" w:eastAsia="仿宋"/>
          <w:sz w:val="32"/>
          <w:szCs w:val="32"/>
        </w:rPr>
        <w:t>一是河北省金融租赁有限公司搬迁至正定片区，进一步增</w:t>
      </w:r>
      <w:r>
        <w:rPr>
          <w:rFonts w:hint="eastAsia" w:ascii="仿宋" w:hAnsi="仿宋" w:eastAsia="仿宋"/>
          <w:sz w:val="32"/>
          <w:szCs w:val="32"/>
        </w:rPr>
        <w:t>强</w:t>
      </w:r>
      <w:r>
        <w:rPr>
          <w:rFonts w:ascii="仿宋" w:hAnsi="仿宋" w:eastAsia="仿宋"/>
          <w:sz w:val="32"/>
          <w:szCs w:val="32"/>
        </w:rPr>
        <w:t>正定片区的金融服务功能，丰富完善片区的金融服务供给，为片区实体经济发展提供了更多的资金支持</w:t>
      </w:r>
      <w:r>
        <w:rPr>
          <w:rFonts w:hint="eastAsia" w:ascii="仿宋" w:hAnsi="仿宋" w:eastAsia="仿宋"/>
          <w:sz w:val="32"/>
          <w:szCs w:val="32"/>
        </w:rPr>
        <w:t>。沧州银行石家庄分行、中国建设银行石家庄分行、邯郸银行石家庄分行、北京银行石家庄分行、招商银行石家庄分行、交通银行河北省分行等6家银行，2021年度累计实现为河北常山生化药业、惠康食品、联东金衡实业、康然创新生物、一然健康管理、河北千喜鹤饮食等片区重点企业提供贷款余额超5.3亿元；</w:t>
      </w:r>
      <w:r>
        <w:rPr>
          <w:rFonts w:ascii="仿宋" w:hAnsi="仿宋" w:eastAsia="仿宋"/>
          <w:sz w:val="32"/>
          <w:szCs w:val="32"/>
        </w:rPr>
        <w:t>二是</w:t>
      </w:r>
      <w:r>
        <w:rPr>
          <w:rFonts w:hint="eastAsia" w:ascii="仿宋" w:hAnsi="仿宋" w:eastAsia="仿宋"/>
          <w:sz w:val="32"/>
          <w:szCs w:val="32"/>
        </w:rPr>
        <w:t>河北港通物流有限公司口岸医药物流项目的</w:t>
      </w:r>
      <w:r>
        <w:rPr>
          <w:rFonts w:ascii="仿宋" w:hAnsi="仿宋" w:eastAsia="仿宋"/>
          <w:sz w:val="32"/>
          <w:szCs w:val="32"/>
        </w:rPr>
        <w:t>建成投用为石家庄药品口岸的加快获批创造了有利条件</w:t>
      </w:r>
      <w:r>
        <w:rPr>
          <w:rFonts w:hint="eastAsia" w:ascii="仿宋" w:hAnsi="仿宋" w:eastAsia="仿宋"/>
          <w:sz w:val="32"/>
          <w:szCs w:val="32"/>
        </w:rPr>
        <w:t>。进口药品口岸的设立可以实现本地通关，大大提高通关时效，为我市生物医药企业实现国际合作提供监管便利，为促进医药产业转型升级发挥积极作用；三是2021年1-11月，河北纽兰进出口贸易有限公司完成进出口贸易额21191.4万美元，实现从货源地至正定片区石家庄综合保税区口岸货柜数3330个，为正定片区的外贸发展做出了积极贡献</w:t>
      </w:r>
      <w:r>
        <w:rPr>
          <w:rFonts w:ascii="仿宋" w:hAnsi="仿宋" w:eastAsia="仿宋"/>
          <w:sz w:val="32"/>
          <w:szCs w:val="32"/>
        </w:rPr>
        <w:t>；</w:t>
      </w:r>
      <w:r>
        <w:rPr>
          <w:rFonts w:hint="eastAsia" w:ascii="仿宋" w:hAnsi="仿宋" w:eastAsia="仿宋"/>
          <w:sz w:val="32"/>
          <w:szCs w:val="32"/>
        </w:rPr>
        <w:t>四是联东U谷·正定科技总部港项目以打造具有区域影响力的高端产业集聚区以及京津冀科技产业承载地为目标，努力将一批优质高新技术企业引进到正定片区，截止目前，园区已引入51家电子信息、生物技术、装备制造等企业，其中已投产18家，装修筹备中11家。2022年1-6月份，园区运营企业累计实现营业收入约1.15亿元，实现产值5838万元，实现税收约165万元，实现新增就业约70人。</w:t>
      </w:r>
      <w:r>
        <w:rPr>
          <w:rFonts w:ascii="仿宋" w:hAnsi="仿宋" w:eastAsia="仿宋"/>
          <w:sz w:val="32"/>
          <w:szCs w:val="32"/>
        </w:rPr>
        <w:t>但评价中发现存在以下问题：</w:t>
      </w:r>
      <w:r>
        <w:rPr>
          <w:rFonts w:hint="eastAsia" w:ascii="仿宋" w:hAnsi="仿宋" w:eastAsia="仿宋"/>
          <w:sz w:val="32"/>
          <w:szCs w:val="32"/>
        </w:rPr>
        <w:t>一是制度不太完善；二</w:t>
      </w:r>
      <w:r>
        <w:rPr>
          <w:rFonts w:ascii="仿宋" w:hAnsi="仿宋" w:eastAsia="仿宋"/>
          <w:sz w:val="32"/>
          <w:szCs w:val="32"/>
        </w:rPr>
        <w:t>是</w:t>
      </w:r>
      <w:r>
        <w:rPr>
          <w:rFonts w:hint="eastAsia" w:ascii="仿宋" w:hAnsi="仿宋" w:eastAsia="仿宋"/>
          <w:sz w:val="32"/>
          <w:szCs w:val="32"/>
        </w:rPr>
        <w:t>预算安排超出实际需要</w:t>
      </w:r>
      <w:r>
        <w:rPr>
          <w:rFonts w:ascii="仿宋" w:hAnsi="仿宋" w:eastAsia="仿宋"/>
          <w:sz w:val="32"/>
          <w:szCs w:val="32"/>
        </w:rPr>
        <w:t>；</w:t>
      </w:r>
      <w:r>
        <w:rPr>
          <w:rFonts w:hint="eastAsia" w:ascii="仿宋" w:hAnsi="仿宋" w:eastAsia="仿宋"/>
          <w:sz w:val="32"/>
          <w:szCs w:val="32"/>
        </w:rPr>
        <w:t>三</w:t>
      </w:r>
      <w:r>
        <w:rPr>
          <w:rFonts w:ascii="仿宋" w:hAnsi="仿宋" w:eastAsia="仿宋"/>
          <w:sz w:val="32"/>
          <w:szCs w:val="32"/>
        </w:rPr>
        <w:t>是</w:t>
      </w:r>
      <w:r>
        <w:rPr>
          <w:rFonts w:hint="eastAsia" w:ascii="仿宋" w:hAnsi="仿宋" w:eastAsia="仿宋"/>
          <w:sz w:val="32"/>
          <w:szCs w:val="32"/>
        </w:rPr>
        <w:t>资金支持方式</w:t>
      </w:r>
      <w:bookmarkEnd w:id="29"/>
      <w:r>
        <w:rPr>
          <w:rFonts w:hint="eastAsia" w:ascii="仿宋" w:hAnsi="仿宋" w:eastAsia="仿宋"/>
          <w:sz w:val="32"/>
          <w:szCs w:val="32"/>
        </w:rPr>
        <w:t>单一；四是缺乏绩效意识和绩效考核。</w:t>
      </w: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pPr>
      <w:r>
        <w:rPr>
          <w:rFonts w:ascii="仿宋" w:hAnsi="仿宋" w:eastAsia="仿宋"/>
          <w:sz w:val="32"/>
          <w:szCs w:val="32"/>
        </w:rPr>
        <w:t>经综合评价，项目总体得分为</w:t>
      </w:r>
      <w:r>
        <w:rPr>
          <w:rFonts w:hint="eastAsia" w:ascii="仿宋" w:hAnsi="仿宋" w:eastAsia="仿宋"/>
          <w:sz w:val="32"/>
          <w:szCs w:val="32"/>
        </w:rPr>
        <w:t>81.36</w:t>
      </w:r>
      <w:r>
        <w:rPr>
          <w:rFonts w:ascii="仿宋" w:hAnsi="仿宋" w:eastAsia="仿宋"/>
          <w:sz w:val="32"/>
          <w:szCs w:val="32"/>
        </w:rPr>
        <w:t>分，评价等级为“</w:t>
      </w:r>
      <w:r>
        <w:rPr>
          <w:rFonts w:hint="eastAsia" w:ascii="仿宋" w:hAnsi="仿宋" w:eastAsia="仿宋"/>
          <w:sz w:val="32"/>
          <w:szCs w:val="32"/>
        </w:rPr>
        <w:t>良好</w:t>
      </w:r>
      <w:r>
        <w:rPr>
          <w:rFonts w:ascii="仿宋" w:hAnsi="仿宋" w:eastAsia="仿宋"/>
          <w:sz w:val="32"/>
          <w:szCs w:val="32"/>
        </w:rPr>
        <w:t>”。</w:t>
      </w:r>
    </w:p>
    <w:p>
      <w:pPr>
        <w:pStyle w:val="44"/>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outlineLvl w:val="0"/>
        <w:rPr>
          <w:sz w:val="32"/>
          <w:szCs w:val="32"/>
        </w:rPr>
      </w:pPr>
      <w:bookmarkStart w:id="30" w:name="_Toc6494"/>
      <w:r>
        <w:rPr>
          <w:rFonts w:hint="eastAsia" w:ascii="黑体" w:hAnsi="黑体" w:eastAsia="黑体" w:cs="黑体"/>
          <w:sz w:val="32"/>
          <w:szCs w:val="32"/>
        </w:rPr>
        <w:t>五、存在的主要问题及相关建议</w:t>
      </w:r>
      <w:bookmarkEnd w:id="28"/>
      <w:bookmarkEnd w:id="30"/>
    </w:p>
    <w:p>
      <w:pPr>
        <w:pStyle w:val="44"/>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outlineLvl w:val="1"/>
        <w:rPr>
          <w:rFonts w:ascii="楷体" w:hAnsi="楷体" w:eastAsia="楷体" w:cs="楷体"/>
          <w:sz w:val="32"/>
          <w:szCs w:val="32"/>
        </w:rPr>
      </w:pPr>
      <w:bookmarkStart w:id="31" w:name="_Toc14539"/>
      <w:bookmarkStart w:id="32" w:name="_Toc26690"/>
      <w:bookmarkStart w:id="33" w:name="_Hlk86233291"/>
      <w:r>
        <w:rPr>
          <w:rFonts w:hint="eastAsia" w:ascii="楷体" w:hAnsi="楷体" w:eastAsia="楷体" w:cs="楷体"/>
          <w:sz w:val="32"/>
          <w:szCs w:val="32"/>
        </w:rPr>
        <w:t>（一）存在的主要问题</w:t>
      </w:r>
      <w:bookmarkEnd w:id="31"/>
      <w:bookmarkEnd w:id="32"/>
    </w:p>
    <w:p>
      <w:pPr>
        <w:keepNext w:val="0"/>
        <w:keepLines w:val="0"/>
        <w:pageBreakBefore w:val="0"/>
        <w:kinsoku/>
        <w:wordWrap/>
        <w:overflowPunct/>
        <w:topLinePunct w:val="0"/>
        <w:autoSpaceDE/>
        <w:autoSpaceDN/>
        <w:bidi w:val="0"/>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 xml:space="preserve">1.制度不健全，未根据变化及时调整完善 </w:t>
      </w:r>
    </w:p>
    <w:p>
      <w:pPr>
        <w:keepNext w:val="0"/>
        <w:keepLines w:val="0"/>
        <w:pageBreakBefore w:val="0"/>
        <w:kinsoku/>
        <w:wordWrap/>
        <w:overflowPunct/>
        <w:topLinePunct w:val="0"/>
        <w:autoSpaceDE/>
        <w:autoSpaceDN/>
        <w:bidi w:val="0"/>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正定片区管委会对专项资金审批细则未作出具体规定，仅在奖补资金兑付流程中对审批流程做了规定；未根据项目运行实际情况及时调整完善申报指南、奖补资金兑付流程等制度文件中与实际运用相冲突的条款，例如申报指南中对口岸运营支持政策补贴的申报，主要依据是进出口柜数，同时要求企业提供“物流运输费用和仓储费用票据清单及相关财务票据”，根据市场调研，目前口岸运营企业无法提供物流票据。</w:t>
      </w:r>
    </w:p>
    <w:p>
      <w:pPr>
        <w:keepNext w:val="0"/>
        <w:keepLines w:val="0"/>
        <w:pageBreakBefore w:val="0"/>
        <w:numPr>
          <w:ilvl w:val="0"/>
          <w:numId w:val="0"/>
        </w:numPr>
        <w:kinsoku/>
        <w:wordWrap/>
        <w:overflowPunct/>
        <w:topLinePunct w:val="0"/>
        <w:autoSpaceDE/>
        <w:autoSpaceDN/>
        <w:bidi w:val="0"/>
        <w:adjustRightInd w:val="0"/>
        <w:spacing w:line="56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预算执行率低</w:t>
      </w:r>
    </w:p>
    <w:p>
      <w:pPr>
        <w:keepNext w:val="0"/>
        <w:keepLines w:val="0"/>
        <w:pageBreakBefore w:val="0"/>
        <w:numPr>
          <w:ilvl w:val="0"/>
          <w:numId w:val="0"/>
        </w:numPr>
        <w:kinsoku/>
        <w:wordWrap/>
        <w:overflowPunct/>
        <w:topLinePunct w:val="0"/>
        <w:autoSpaceDE/>
        <w:autoSpaceDN/>
        <w:bidi w:val="0"/>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预算部门根据《河北自贸试验区正定片区企业拟申请2021年自贸区支持资金摸底情况表》编制预算，预算计划支持项目数5个，2021年9月27日拨付到位资金1500万元。截至2021年12月31日，专项资金实际支出688.10万元。2021年末结余资金额811.9万元。预算执行率为45.87%，不足50%。</w:t>
      </w:r>
    </w:p>
    <w:p>
      <w:pPr>
        <w:keepNext w:val="0"/>
        <w:keepLines w:val="0"/>
        <w:pageBreakBefore w:val="0"/>
        <w:kinsoku/>
        <w:wordWrap/>
        <w:overflowPunct/>
        <w:topLinePunct w:val="0"/>
        <w:autoSpaceDE/>
        <w:autoSpaceDN/>
        <w:bidi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2020年11月2日拨付2020年预算资金1000万元，截至2020年12月31日，2020年专项资金实际支出759万元。2021年末结余资金额241万元。预算执行率为75.9%。</w:t>
      </w:r>
    </w:p>
    <w:p>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3.资金支持方式单一</w:t>
      </w:r>
    </w:p>
    <w:p>
      <w:pPr>
        <w:pStyle w:val="44"/>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rPr>
          <w:rFonts w:ascii="仿宋" w:hAnsi="仿宋" w:eastAsia="仿宋" w:cs="仿宋"/>
          <w:sz w:val="32"/>
          <w:szCs w:val="32"/>
        </w:rPr>
      </w:pPr>
      <w:r>
        <w:rPr>
          <w:rFonts w:hint="eastAsia" w:ascii="仿宋" w:hAnsi="仿宋" w:eastAsia="仿宋" w:cs="仿宋"/>
          <w:sz w:val="32"/>
          <w:szCs w:val="32"/>
        </w:rPr>
        <w:t>目前资金支持方式只有事后奖补形式，单一且缺乏效率。例如：根据正定片区管委会发布的《2020年石家庄市支持自贸区正定片区发展专项资金申报指南》，现代物流项目投资奖励政策申报要求必须提供竣工财务决算审计报告。申请投资奖励的企业，只有项目完工并完成财务竣工决算，企业才能申请资金。此类形式不能有效撬动市场资本的投入，影响资金使用效率。</w:t>
      </w:r>
    </w:p>
    <w:p>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仿宋" w:hAnsi="仿宋" w:eastAsia="仿宋"/>
          <w:sz w:val="32"/>
          <w:szCs w:val="32"/>
        </w:rPr>
      </w:pPr>
      <w:r>
        <w:rPr>
          <w:rFonts w:hint="eastAsia" w:ascii="仿宋" w:hAnsi="仿宋" w:eastAsia="仿宋" w:cs="仿宋"/>
          <w:sz w:val="32"/>
          <w:szCs w:val="32"/>
        </w:rPr>
        <w:t>4.</w:t>
      </w:r>
      <w:r>
        <w:rPr>
          <w:rFonts w:hint="eastAsia" w:ascii="仿宋" w:hAnsi="仿宋" w:eastAsia="仿宋"/>
          <w:sz w:val="32"/>
          <w:szCs w:val="32"/>
        </w:rPr>
        <w:t>缺乏绩效意识和绩效考核</w:t>
      </w:r>
    </w:p>
    <w:p>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是绩效目标不具体、不明确，未制定阶段性目标及清晰的年度绩效目标，经发局提供的《预算项目绩效目标申报表》中年度绩效目标设置为“奖励资金发放到位”，不能体现专项资金支出要达到的产出目标、效益目标等。</w:t>
      </w:r>
    </w:p>
    <w:p>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二是指标设置不具有适当性。质量指标设置为“补贴资金到位率”，不能体现产出质量达标情况。时效指标设置为“本年内拨付资金”，不能体现拨付资金及时性。</w:t>
      </w:r>
    </w:p>
    <w:p>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三是</w:t>
      </w:r>
      <w:r>
        <w:rPr>
          <w:rFonts w:ascii="仿宋" w:hAnsi="仿宋" w:eastAsia="仿宋"/>
          <w:sz w:val="32"/>
          <w:szCs w:val="32"/>
        </w:rPr>
        <w:t>依据《2020年石家庄市支持自贸区正定片区发展专项资金申报指南》，申请企业在收到专项支持资金2个月内应向片区招商部门及项目所在地受理部门提交奖励事项对企业发展的促进作用报告材料。经评价发现，经发局缺乏对项目后期运行进行绩效考核，补贴企业均未提交绩效评价资料。</w:t>
      </w:r>
    </w:p>
    <w:p>
      <w:pPr>
        <w:pStyle w:val="44"/>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outlineLvl w:val="1"/>
        <w:rPr>
          <w:rFonts w:ascii="楷体" w:hAnsi="楷体" w:eastAsia="楷体" w:cs="楷体"/>
          <w:sz w:val="32"/>
          <w:szCs w:val="32"/>
        </w:rPr>
      </w:pPr>
      <w:bookmarkStart w:id="34" w:name="_Toc26600"/>
      <w:bookmarkStart w:id="35" w:name="_Toc12314"/>
      <w:r>
        <w:rPr>
          <w:rFonts w:hint="eastAsia" w:ascii="楷体" w:hAnsi="楷体" w:eastAsia="楷体" w:cs="楷体"/>
          <w:sz w:val="32"/>
          <w:szCs w:val="32"/>
        </w:rPr>
        <w:t>（二）相关建议</w:t>
      </w:r>
      <w:bookmarkEnd w:id="34"/>
      <w:bookmarkEnd w:id="35"/>
    </w:p>
    <w:p>
      <w:pPr>
        <w:keepNext w:val="0"/>
        <w:keepLines w:val="0"/>
        <w:pageBreakBefore w:val="0"/>
        <w:kinsoku/>
        <w:wordWrap/>
        <w:overflowPunct/>
        <w:topLinePunct w:val="0"/>
        <w:autoSpaceDE/>
        <w:autoSpaceDN/>
        <w:bidi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1.完善专项资金相关管理制度</w:t>
      </w:r>
    </w:p>
    <w:p>
      <w:pPr>
        <w:keepNext w:val="0"/>
        <w:keepLines w:val="0"/>
        <w:pageBreakBefore w:val="0"/>
        <w:kinsoku/>
        <w:wordWrap/>
        <w:overflowPunct/>
        <w:topLinePunct w:val="0"/>
        <w:autoSpaceDE/>
        <w:autoSpaceDN/>
        <w:bidi w:val="0"/>
        <w:snapToGrid w:val="0"/>
        <w:spacing w:line="560" w:lineRule="exact"/>
        <w:ind w:firstLine="640" w:firstLineChars="200"/>
        <w:textAlignment w:val="baseline"/>
        <w:rPr>
          <w:rFonts w:ascii="仿宋" w:hAnsi="仿宋" w:eastAsia="仿宋" w:cs="仿宋"/>
          <w:sz w:val="32"/>
          <w:szCs w:val="32"/>
        </w:rPr>
      </w:pPr>
      <w:r>
        <w:rPr>
          <w:rFonts w:hint="eastAsia" w:ascii="仿宋" w:hAnsi="仿宋" w:eastAsia="仿宋" w:cs="仿宋"/>
          <w:sz w:val="32"/>
          <w:szCs w:val="32"/>
        </w:rPr>
        <w:t xml:space="preserve">建议管委会充分考虑正定片区实际情况，及时制定申报专项资金项目审批实施细则，对已出台专项资金管理办法、申报指南、奖补资金兑付流程等制度文件进行全面梳理、修改完善。  </w:t>
      </w:r>
    </w:p>
    <w:p>
      <w:pPr>
        <w:keepNext w:val="0"/>
        <w:keepLines w:val="0"/>
        <w:pageBreakBefore w:val="0"/>
        <w:kinsoku/>
        <w:wordWrap/>
        <w:overflowPunct/>
        <w:topLinePunct w:val="0"/>
        <w:autoSpaceDE/>
        <w:autoSpaceDN/>
        <w:bidi w:val="0"/>
        <w:snapToGrid w:val="0"/>
        <w:spacing w:line="560" w:lineRule="exact"/>
        <w:ind w:firstLine="640" w:firstLineChars="200"/>
        <w:textAlignment w:val="baseline"/>
        <w:rPr>
          <w:rFonts w:ascii="仿宋" w:hAnsi="仿宋" w:eastAsia="仿宋" w:cs="仿宋"/>
          <w:sz w:val="32"/>
          <w:szCs w:val="32"/>
        </w:rPr>
      </w:pPr>
      <w:r>
        <w:rPr>
          <w:rFonts w:hint="eastAsia" w:ascii="仿宋" w:hAnsi="仿宋" w:eastAsia="仿宋" w:cs="仿宋"/>
          <w:sz w:val="32"/>
          <w:szCs w:val="32"/>
        </w:rPr>
        <w:t>一是对专项资金管理办法、奖补资金兑付流程进行修订，资金支持方式多元化，简化企业申报流程，使自贸区市场主体便捷高效享受自贸区专项支持政策。对于可以从税务、海关等相关政府部门公开渠道获取数据信息依据的政策条款，推行“免审即享”，提高自贸试验区营商环境，吸引企业入驻。</w:t>
      </w: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rPr>
          <w:rFonts w:ascii="仿宋" w:hAnsi="仿宋" w:eastAsia="仿宋" w:cs="仿宋"/>
          <w:sz w:val="32"/>
          <w:szCs w:val="32"/>
        </w:rPr>
      </w:pPr>
      <w:r>
        <w:rPr>
          <w:rFonts w:hint="eastAsia" w:ascii="仿宋" w:hAnsi="仿宋" w:eastAsia="仿宋" w:cs="仿宋"/>
          <w:sz w:val="32"/>
          <w:szCs w:val="32"/>
        </w:rPr>
        <w:t>二是尽快出台项目审批实施细则及项目验收制度。规范项目的审核过程、公示情况，提高审核公开、公正及效率性。规范固定资产投资项目的验收程序，验收内容为专项资金使用情况及目标任务完成情况。</w:t>
      </w:r>
    </w:p>
    <w:p>
      <w:pPr>
        <w:keepNext w:val="0"/>
        <w:keepLines w:val="0"/>
        <w:pageBreakBefore w:val="0"/>
        <w:kinsoku/>
        <w:wordWrap/>
        <w:overflowPunct/>
        <w:topLinePunct w:val="0"/>
        <w:autoSpaceDE/>
        <w:autoSpaceDN/>
        <w:bidi w:val="0"/>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2.编实预算，调整预算安排方式</w:t>
      </w: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rPr>
          <w:rFonts w:ascii="仿宋" w:hAnsi="仿宋" w:eastAsia="仿宋"/>
          <w:sz w:val="32"/>
          <w:szCs w:val="32"/>
        </w:rPr>
      </w:pPr>
      <w:r>
        <w:rPr>
          <w:rFonts w:hint="eastAsia" w:ascii="仿宋" w:hAnsi="仿宋" w:eastAsia="仿宋"/>
          <w:sz w:val="32"/>
          <w:szCs w:val="32"/>
        </w:rPr>
        <w:t>建议管委会做好项目储备，与申报单位充分沟通项目进展情况，广泛收集预算编制相关资料，认真梳理项目资金需求情况，在编制预算时做到准确、有据。</w:t>
      </w: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baseline"/>
        <w:rPr>
          <w:rFonts w:ascii="仿宋" w:hAnsi="仿宋" w:eastAsia="仿宋"/>
          <w:sz w:val="32"/>
          <w:szCs w:val="32"/>
        </w:rPr>
      </w:pPr>
      <w:r>
        <w:rPr>
          <w:rFonts w:hint="eastAsia" w:ascii="仿宋" w:hAnsi="仿宋" w:eastAsia="仿宋"/>
          <w:sz w:val="32"/>
          <w:szCs w:val="32"/>
        </w:rPr>
        <w:t>建议以后年度调整预算安排方式，采用后补助形式编制预算，提前做好项目的申报、审查工作，在预算编制申报前完成当年项目的审查工作，根据已确定的项目申报补贴，避免财政资金闲置。</w:t>
      </w:r>
    </w:p>
    <w:bookmarkEnd w:id="33"/>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bookmarkStart w:id="36" w:name="_Toc11670"/>
      <w:r>
        <w:rPr>
          <w:rFonts w:hint="eastAsia" w:ascii="仿宋" w:hAnsi="仿宋" w:eastAsia="仿宋" w:cs="仿宋"/>
          <w:sz w:val="32"/>
          <w:szCs w:val="32"/>
        </w:rPr>
        <w:t>3.强化绩效意识，做好后期监管及评价</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一是建议管委会围绕年度专项资金支持项目，全面、科学、合理地设置绩效目标及指标，保证项目绩效目标、指标与补助内容的相关性、适当性和合理性。</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是建议管委会出台具体实施项目申报时绩效目标的编制和审核规定，要求项目申报要有合理、可衡量的绩效目标及指标。受补贴项目单位要根据企业经营情况，制定具体的经济效益、社会效益指标，如收入指标、利税指标、促就业指标等。</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ascii="仿宋" w:hAnsi="仿宋" w:eastAsia="仿宋"/>
          <w:sz w:val="32"/>
          <w:szCs w:val="32"/>
        </w:rPr>
      </w:pPr>
      <w:r>
        <w:rPr>
          <w:rFonts w:hint="eastAsia" w:ascii="仿宋" w:hAnsi="仿宋" w:eastAsia="仿宋" w:cs="仿宋"/>
          <w:sz w:val="32"/>
          <w:szCs w:val="32"/>
        </w:rPr>
        <w:t>三是对于受补贴项目，做好补贴后的跟踪检查及绩效评价。企业及时提交奖励事项对企业发展的促进作用报告材料，落实绩效管理和评价体系，提高财政资金使用效益。</w:t>
      </w:r>
      <w:bookmarkEnd w:id="36"/>
      <w:bookmarkStart w:id="37" w:name="_GoBack"/>
      <w:bookmarkEnd w:id="37"/>
    </w:p>
    <w:sectPr>
      <w:footerReference r:id="rId3" w:type="default"/>
      <w:pgSz w:w="11906" w:h="16838"/>
      <w:pgMar w:top="1984" w:right="1474" w:bottom="1701" w:left="1587" w:header="851" w:footer="992" w:gutter="0"/>
      <w:pgNumType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Arial Unicode MS">
    <w:panose1 w:val="020B0604020202020204"/>
    <w:charset w:val="86"/>
    <w:family w:val="swiss"/>
    <w:pitch w:val="default"/>
    <w:sig w:usb0="FFFFFFFF" w:usb1="E9FFFFFF" w:usb2="0000003F" w:usb3="00000000" w:csb0="603F01FF" w:csb1="FFFF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snapToGrid w:val="0"/>
      <w:jc w:val="center"/>
      <w:rPr>
        <w:rFonts w:ascii="宋体" w:hAnsi="宋体" w:eastAsia="宋体"/>
        <w:sz w:val="28"/>
        <w:szCs w:val="28"/>
      </w:rPr>
    </w:pPr>
    <w:r>
      <w:rPr>
        <w:sz w:val="28"/>
      </w:rPr>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path/>
          <v:fill on="f" focussize="0,0"/>
          <v:stroke on="f" weight="0.5pt" joinstyle="miter"/>
          <v:imagedata o:title=""/>
          <o:lock v:ext="edit"/>
          <v:textbox inset="0mm,0mm,0mm,0mm" style="mso-fit-shape-to-text:t;">
            <w:txbxContent>
              <w:p>
                <w:pPr>
                  <w:pStyle w:val="19"/>
                </w:pPr>
                <w:r>
                  <w:fldChar w:fldCharType="begin"/>
                </w:r>
                <w:r>
                  <w:instrText xml:space="preserve"> PAGE  \* MERGEFORMAT </w:instrText>
                </w:r>
                <w:r>
                  <w:fldChar w:fldCharType="separate"/>
                </w:r>
                <w:r>
                  <w:t>14</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noPunctuationKerning w:val="1"/>
  <w:characterSpacingControl w:val="compressPunctuation"/>
  <w:hdrShapeDefaults>
    <o:shapelayout v:ext="edit">
      <o:idmap v:ext="edit" data="1"/>
    </o:shapelayout>
  </w:hdrShapeDefaults>
  <w:compat>
    <w:balanceSingleByteDoubleByteWidth/>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zgxMzVhZTBlNDUyZWUxNDVhMjNkN2E1NjFlOTE5NDcifQ=="/>
  </w:docVars>
  <w:rsids>
    <w:rsidRoot w:val="00B36D8C"/>
    <w:rsid w:val="0001085E"/>
    <w:rsid w:val="00016182"/>
    <w:rsid w:val="000174F7"/>
    <w:rsid w:val="00022371"/>
    <w:rsid w:val="00027512"/>
    <w:rsid w:val="00037EB4"/>
    <w:rsid w:val="00056E76"/>
    <w:rsid w:val="00091E85"/>
    <w:rsid w:val="000D56BC"/>
    <w:rsid w:val="000F37BB"/>
    <w:rsid w:val="00147971"/>
    <w:rsid w:val="00170D46"/>
    <w:rsid w:val="0018414A"/>
    <w:rsid w:val="001B4B9C"/>
    <w:rsid w:val="001C3FE3"/>
    <w:rsid w:val="001F7768"/>
    <w:rsid w:val="00222110"/>
    <w:rsid w:val="002A4E1F"/>
    <w:rsid w:val="002C1CCA"/>
    <w:rsid w:val="002D269B"/>
    <w:rsid w:val="00316DC7"/>
    <w:rsid w:val="0038183B"/>
    <w:rsid w:val="00385BF3"/>
    <w:rsid w:val="003B4FCF"/>
    <w:rsid w:val="003C6A5D"/>
    <w:rsid w:val="003F4A22"/>
    <w:rsid w:val="00403334"/>
    <w:rsid w:val="00414DF9"/>
    <w:rsid w:val="00442769"/>
    <w:rsid w:val="00452C13"/>
    <w:rsid w:val="004D47D8"/>
    <w:rsid w:val="004D7CE9"/>
    <w:rsid w:val="004E151D"/>
    <w:rsid w:val="004E736F"/>
    <w:rsid w:val="0052671E"/>
    <w:rsid w:val="0055124B"/>
    <w:rsid w:val="005555F0"/>
    <w:rsid w:val="00561810"/>
    <w:rsid w:val="0057201B"/>
    <w:rsid w:val="0060292A"/>
    <w:rsid w:val="0064277F"/>
    <w:rsid w:val="00652DEE"/>
    <w:rsid w:val="00675B54"/>
    <w:rsid w:val="0072676F"/>
    <w:rsid w:val="00730D21"/>
    <w:rsid w:val="00770208"/>
    <w:rsid w:val="007851FE"/>
    <w:rsid w:val="007A367D"/>
    <w:rsid w:val="007B28C7"/>
    <w:rsid w:val="007E4179"/>
    <w:rsid w:val="00863146"/>
    <w:rsid w:val="00874592"/>
    <w:rsid w:val="008A68B3"/>
    <w:rsid w:val="008C5A37"/>
    <w:rsid w:val="00904893"/>
    <w:rsid w:val="00931073"/>
    <w:rsid w:val="0095297E"/>
    <w:rsid w:val="00952EB3"/>
    <w:rsid w:val="00953A41"/>
    <w:rsid w:val="00961BD4"/>
    <w:rsid w:val="00973FB8"/>
    <w:rsid w:val="009A6B8E"/>
    <w:rsid w:val="009A7A91"/>
    <w:rsid w:val="009B38CA"/>
    <w:rsid w:val="009F38C8"/>
    <w:rsid w:val="00A206F1"/>
    <w:rsid w:val="00A3295D"/>
    <w:rsid w:val="00A32BD9"/>
    <w:rsid w:val="00A35D0F"/>
    <w:rsid w:val="00A809AD"/>
    <w:rsid w:val="00A944FE"/>
    <w:rsid w:val="00AA622A"/>
    <w:rsid w:val="00AA79F6"/>
    <w:rsid w:val="00B20DF2"/>
    <w:rsid w:val="00B24BD6"/>
    <w:rsid w:val="00B32786"/>
    <w:rsid w:val="00B36D8C"/>
    <w:rsid w:val="00BD4B5F"/>
    <w:rsid w:val="00C9138C"/>
    <w:rsid w:val="00CA3DFE"/>
    <w:rsid w:val="00CB5E14"/>
    <w:rsid w:val="00CE6D14"/>
    <w:rsid w:val="00D03FC3"/>
    <w:rsid w:val="00D6687A"/>
    <w:rsid w:val="00D94215"/>
    <w:rsid w:val="00DA67FE"/>
    <w:rsid w:val="00DF6840"/>
    <w:rsid w:val="00DF7260"/>
    <w:rsid w:val="00DF7A8A"/>
    <w:rsid w:val="00E05E84"/>
    <w:rsid w:val="00E24ABC"/>
    <w:rsid w:val="00E52520"/>
    <w:rsid w:val="00E603B6"/>
    <w:rsid w:val="00E8587A"/>
    <w:rsid w:val="00EB1C84"/>
    <w:rsid w:val="00EE4C81"/>
    <w:rsid w:val="00EE5F4F"/>
    <w:rsid w:val="00F75E26"/>
    <w:rsid w:val="00F77E43"/>
    <w:rsid w:val="00FC25CA"/>
    <w:rsid w:val="013048A9"/>
    <w:rsid w:val="018D6C7B"/>
    <w:rsid w:val="01D46B46"/>
    <w:rsid w:val="01E903B3"/>
    <w:rsid w:val="02234397"/>
    <w:rsid w:val="0239002B"/>
    <w:rsid w:val="02BF7F13"/>
    <w:rsid w:val="02D72CB5"/>
    <w:rsid w:val="02DA487C"/>
    <w:rsid w:val="02F2197A"/>
    <w:rsid w:val="03165BAC"/>
    <w:rsid w:val="032A1114"/>
    <w:rsid w:val="03634626"/>
    <w:rsid w:val="03733390"/>
    <w:rsid w:val="039E565E"/>
    <w:rsid w:val="03B030F7"/>
    <w:rsid w:val="03FB485E"/>
    <w:rsid w:val="04273F96"/>
    <w:rsid w:val="045F0C6A"/>
    <w:rsid w:val="049675E3"/>
    <w:rsid w:val="04D23811"/>
    <w:rsid w:val="04E70942"/>
    <w:rsid w:val="04F16029"/>
    <w:rsid w:val="04F95F66"/>
    <w:rsid w:val="05341BF5"/>
    <w:rsid w:val="05455794"/>
    <w:rsid w:val="0559218B"/>
    <w:rsid w:val="058C17CE"/>
    <w:rsid w:val="05B431E9"/>
    <w:rsid w:val="063302DF"/>
    <w:rsid w:val="067202B9"/>
    <w:rsid w:val="07816466"/>
    <w:rsid w:val="079D67F1"/>
    <w:rsid w:val="07AE4197"/>
    <w:rsid w:val="07D01C9D"/>
    <w:rsid w:val="08172726"/>
    <w:rsid w:val="08850B9A"/>
    <w:rsid w:val="088F2CDE"/>
    <w:rsid w:val="08B03961"/>
    <w:rsid w:val="08F0070A"/>
    <w:rsid w:val="093E0719"/>
    <w:rsid w:val="094E3BA5"/>
    <w:rsid w:val="09812A65"/>
    <w:rsid w:val="0A2C7B56"/>
    <w:rsid w:val="0A2F5774"/>
    <w:rsid w:val="0B3232D5"/>
    <w:rsid w:val="0B3241F8"/>
    <w:rsid w:val="0B657A2B"/>
    <w:rsid w:val="0B8E2C06"/>
    <w:rsid w:val="0BF16C73"/>
    <w:rsid w:val="0BF7230D"/>
    <w:rsid w:val="0C6678F6"/>
    <w:rsid w:val="0CA5188B"/>
    <w:rsid w:val="0CBB047D"/>
    <w:rsid w:val="0D4D4D54"/>
    <w:rsid w:val="0D944A76"/>
    <w:rsid w:val="0E4A08BC"/>
    <w:rsid w:val="0E582F4D"/>
    <w:rsid w:val="0EA43EE4"/>
    <w:rsid w:val="0EB903EE"/>
    <w:rsid w:val="0ECC5EA0"/>
    <w:rsid w:val="0EE17F83"/>
    <w:rsid w:val="0F37531F"/>
    <w:rsid w:val="0FE353C9"/>
    <w:rsid w:val="107B570D"/>
    <w:rsid w:val="10843ED1"/>
    <w:rsid w:val="10872ED8"/>
    <w:rsid w:val="10E14599"/>
    <w:rsid w:val="10FD01C1"/>
    <w:rsid w:val="11552F83"/>
    <w:rsid w:val="119360D6"/>
    <w:rsid w:val="11A937B0"/>
    <w:rsid w:val="11ED1C8A"/>
    <w:rsid w:val="127327C7"/>
    <w:rsid w:val="128D6014"/>
    <w:rsid w:val="12C3488C"/>
    <w:rsid w:val="12F877D0"/>
    <w:rsid w:val="135E2714"/>
    <w:rsid w:val="141A0998"/>
    <w:rsid w:val="14254CEE"/>
    <w:rsid w:val="14264543"/>
    <w:rsid w:val="143F2537"/>
    <w:rsid w:val="147C10A3"/>
    <w:rsid w:val="1528046D"/>
    <w:rsid w:val="152D1F33"/>
    <w:rsid w:val="155C3E17"/>
    <w:rsid w:val="156D676D"/>
    <w:rsid w:val="15860E6E"/>
    <w:rsid w:val="15873F75"/>
    <w:rsid w:val="159B37AB"/>
    <w:rsid w:val="160752E5"/>
    <w:rsid w:val="165A6ECC"/>
    <w:rsid w:val="17386A15"/>
    <w:rsid w:val="17417784"/>
    <w:rsid w:val="177825A2"/>
    <w:rsid w:val="17D53DDA"/>
    <w:rsid w:val="182F4CA9"/>
    <w:rsid w:val="183509DC"/>
    <w:rsid w:val="1835601A"/>
    <w:rsid w:val="18552337"/>
    <w:rsid w:val="187F38B3"/>
    <w:rsid w:val="18860F3F"/>
    <w:rsid w:val="189225ED"/>
    <w:rsid w:val="19197809"/>
    <w:rsid w:val="195708AE"/>
    <w:rsid w:val="19D5635E"/>
    <w:rsid w:val="1A190586"/>
    <w:rsid w:val="1A3232A2"/>
    <w:rsid w:val="1A5818CE"/>
    <w:rsid w:val="1A6F2DCC"/>
    <w:rsid w:val="1AD82D63"/>
    <w:rsid w:val="1AD87250"/>
    <w:rsid w:val="1AFB7A91"/>
    <w:rsid w:val="1B0818FD"/>
    <w:rsid w:val="1B4D3285"/>
    <w:rsid w:val="1BA07400"/>
    <w:rsid w:val="1C27223D"/>
    <w:rsid w:val="1C4022D0"/>
    <w:rsid w:val="1C5C04B3"/>
    <w:rsid w:val="1C7C2E1F"/>
    <w:rsid w:val="1CB55576"/>
    <w:rsid w:val="1D2F2CD9"/>
    <w:rsid w:val="1D3A5E62"/>
    <w:rsid w:val="1DBD6E1D"/>
    <w:rsid w:val="1E181CCB"/>
    <w:rsid w:val="1E6D495A"/>
    <w:rsid w:val="1E7D4396"/>
    <w:rsid w:val="1EB76D94"/>
    <w:rsid w:val="1EB95A5E"/>
    <w:rsid w:val="1F152820"/>
    <w:rsid w:val="1F7A2683"/>
    <w:rsid w:val="2003681F"/>
    <w:rsid w:val="203C5113"/>
    <w:rsid w:val="20432054"/>
    <w:rsid w:val="20E930B1"/>
    <w:rsid w:val="212A4349"/>
    <w:rsid w:val="21684DF3"/>
    <w:rsid w:val="21705CC8"/>
    <w:rsid w:val="218F3108"/>
    <w:rsid w:val="21A460DD"/>
    <w:rsid w:val="21EB72AD"/>
    <w:rsid w:val="22D411B2"/>
    <w:rsid w:val="232F3C8F"/>
    <w:rsid w:val="233419C8"/>
    <w:rsid w:val="234E5362"/>
    <w:rsid w:val="23615035"/>
    <w:rsid w:val="237730D6"/>
    <w:rsid w:val="23FE4910"/>
    <w:rsid w:val="240879A1"/>
    <w:rsid w:val="24252B08"/>
    <w:rsid w:val="246D27B7"/>
    <w:rsid w:val="248B535E"/>
    <w:rsid w:val="24D740D4"/>
    <w:rsid w:val="24F1075C"/>
    <w:rsid w:val="2534600A"/>
    <w:rsid w:val="25630F49"/>
    <w:rsid w:val="25B212BD"/>
    <w:rsid w:val="25D1515C"/>
    <w:rsid w:val="25F75859"/>
    <w:rsid w:val="260B44DA"/>
    <w:rsid w:val="26522400"/>
    <w:rsid w:val="265C0D35"/>
    <w:rsid w:val="27115848"/>
    <w:rsid w:val="274D632B"/>
    <w:rsid w:val="27806CA5"/>
    <w:rsid w:val="27A24E6D"/>
    <w:rsid w:val="27D13AB4"/>
    <w:rsid w:val="28234C46"/>
    <w:rsid w:val="28301F11"/>
    <w:rsid w:val="28740B4B"/>
    <w:rsid w:val="288B0D83"/>
    <w:rsid w:val="28EF4F44"/>
    <w:rsid w:val="28F2235F"/>
    <w:rsid w:val="28F9304E"/>
    <w:rsid w:val="292C49EE"/>
    <w:rsid w:val="29A6584A"/>
    <w:rsid w:val="29BC1FB5"/>
    <w:rsid w:val="29D05CC2"/>
    <w:rsid w:val="29F028CA"/>
    <w:rsid w:val="2A077209"/>
    <w:rsid w:val="2A4501F8"/>
    <w:rsid w:val="2A8342BC"/>
    <w:rsid w:val="2ABA427C"/>
    <w:rsid w:val="2ABD45AE"/>
    <w:rsid w:val="2B035C23"/>
    <w:rsid w:val="2B2D0EF2"/>
    <w:rsid w:val="2B2E2FF3"/>
    <w:rsid w:val="2B797C93"/>
    <w:rsid w:val="2BC801D3"/>
    <w:rsid w:val="2BCC070B"/>
    <w:rsid w:val="2C1837DA"/>
    <w:rsid w:val="2C3B13EC"/>
    <w:rsid w:val="2CAD5E46"/>
    <w:rsid w:val="2CAE6400"/>
    <w:rsid w:val="2CE37E51"/>
    <w:rsid w:val="2CEF5652"/>
    <w:rsid w:val="2D0C0ED6"/>
    <w:rsid w:val="2D3F40C1"/>
    <w:rsid w:val="2DA76B42"/>
    <w:rsid w:val="2DAA40E9"/>
    <w:rsid w:val="2DC83813"/>
    <w:rsid w:val="2E261D52"/>
    <w:rsid w:val="2E2E343E"/>
    <w:rsid w:val="2E484972"/>
    <w:rsid w:val="2E674CBE"/>
    <w:rsid w:val="2E756091"/>
    <w:rsid w:val="2EA339A5"/>
    <w:rsid w:val="2EA6797F"/>
    <w:rsid w:val="2F065BB4"/>
    <w:rsid w:val="2F276209"/>
    <w:rsid w:val="2F5B7767"/>
    <w:rsid w:val="2F7C34F2"/>
    <w:rsid w:val="2FE83639"/>
    <w:rsid w:val="30CB2D3F"/>
    <w:rsid w:val="30FE1366"/>
    <w:rsid w:val="311346E6"/>
    <w:rsid w:val="3170398A"/>
    <w:rsid w:val="317741EF"/>
    <w:rsid w:val="31901F07"/>
    <w:rsid w:val="31B54949"/>
    <w:rsid w:val="31D811CF"/>
    <w:rsid w:val="31DC0A68"/>
    <w:rsid w:val="31FA5F67"/>
    <w:rsid w:val="321C134C"/>
    <w:rsid w:val="32214672"/>
    <w:rsid w:val="328B3192"/>
    <w:rsid w:val="32936470"/>
    <w:rsid w:val="329F0C98"/>
    <w:rsid w:val="32A76B59"/>
    <w:rsid w:val="32B141B6"/>
    <w:rsid w:val="32FE389F"/>
    <w:rsid w:val="331F0E0C"/>
    <w:rsid w:val="338241FF"/>
    <w:rsid w:val="34140EA1"/>
    <w:rsid w:val="34B175E5"/>
    <w:rsid w:val="34B44C1C"/>
    <w:rsid w:val="34C7361A"/>
    <w:rsid w:val="34DB7EAD"/>
    <w:rsid w:val="351A69E9"/>
    <w:rsid w:val="352C2718"/>
    <w:rsid w:val="3574578E"/>
    <w:rsid w:val="35953D7C"/>
    <w:rsid w:val="35A86C4A"/>
    <w:rsid w:val="35CC0C6B"/>
    <w:rsid w:val="35E548A3"/>
    <w:rsid w:val="35FB18CD"/>
    <w:rsid w:val="36036374"/>
    <w:rsid w:val="360D7D52"/>
    <w:rsid w:val="36561C5C"/>
    <w:rsid w:val="366A124C"/>
    <w:rsid w:val="36910096"/>
    <w:rsid w:val="3692367C"/>
    <w:rsid w:val="36FD5869"/>
    <w:rsid w:val="372C04FD"/>
    <w:rsid w:val="37357164"/>
    <w:rsid w:val="37425F44"/>
    <w:rsid w:val="37FF59C4"/>
    <w:rsid w:val="38386DE7"/>
    <w:rsid w:val="383B4C4E"/>
    <w:rsid w:val="389E00F3"/>
    <w:rsid w:val="39283FBB"/>
    <w:rsid w:val="39355B41"/>
    <w:rsid w:val="397B02D6"/>
    <w:rsid w:val="39CB0253"/>
    <w:rsid w:val="3A4338E4"/>
    <w:rsid w:val="3A4A10FF"/>
    <w:rsid w:val="3ABF4BE3"/>
    <w:rsid w:val="3ADF71D3"/>
    <w:rsid w:val="3B031DFE"/>
    <w:rsid w:val="3B396758"/>
    <w:rsid w:val="3B3F2CA7"/>
    <w:rsid w:val="3BA90120"/>
    <w:rsid w:val="3C1A583E"/>
    <w:rsid w:val="3C3333C6"/>
    <w:rsid w:val="3C601127"/>
    <w:rsid w:val="3C8A69E5"/>
    <w:rsid w:val="3CD07E0A"/>
    <w:rsid w:val="3D221248"/>
    <w:rsid w:val="3D42082D"/>
    <w:rsid w:val="3DBF6CA9"/>
    <w:rsid w:val="3DFB09DB"/>
    <w:rsid w:val="3E7A5DA4"/>
    <w:rsid w:val="3E852ABE"/>
    <w:rsid w:val="3EBD0568"/>
    <w:rsid w:val="3F1478BA"/>
    <w:rsid w:val="3F2D2E17"/>
    <w:rsid w:val="3F37492B"/>
    <w:rsid w:val="3F6A7A1B"/>
    <w:rsid w:val="3F6F7FAE"/>
    <w:rsid w:val="3FB461A9"/>
    <w:rsid w:val="40061FE5"/>
    <w:rsid w:val="403320A1"/>
    <w:rsid w:val="405D597D"/>
    <w:rsid w:val="40BD486F"/>
    <w:rsid w:val="40FD7D8D"/>
    <w:rsid w:val="4141788F"/>
    <w:rsid w:val="41603539"/>
    <w:rsid w:val="41671BAB"/>
    <w:rsid w:val="41845CA4"/>
    <w:rsid w:val="418A7109"/>
    <w:rsid w:val="41C06DDF"/>
    <w:rsid w:val="4241050E"/>
    <w:rsid w:val="426F0898"/>
    <w:rsid w:val="43056584"/>
    <w:rsid w:val="43655E71"/>
    <w:rsid w:val="43670FED"/>
    <w:rsid w:val="438D657A"/>
    <w:rsid w:val="43C97255"/>
    <w:rsid w:val="43D81203"/>
    <w:rsid w:val="43F32881"/>
    <w:rsid w:val="43FB34E3"/>
    <w:rsid w:val="440F6854"/>
    <w:rsid w:val="447304B6"/>
    <w:rsid w:val="44A92F3F"/>
    <w:rsid w:val="44B813D4"/>
    <w:rsid w:val="44DA16A2"/>
    <w:rsid w:val="45343893"/>
    <w:rsid w:val="456D4FF5"/>
    <w:rsid w:val="4588349D"/>
    <w:rsid w:val="459B31D0"/>
    <w:rsid w:val="45AD2F03"/>
    <w:rsid w:val="45E47DE0"/>
    <w:rsid w:val="461865CE"/>
    <w:rsid w:val="462A40ED"/>
    <w:rsid w:val="462D194E"/>
    <w:rsid w:val="467E44FD"/>
    <w:rsid w:val="4701721F"/>
    <w:rsid w:val="47242CBB"/>
    <w:rsid w:val="473C6FF6"/>
    <w:rsid w:val="47625F2A"/>
    <w:rsid w:val="478657BA"/>
    <w:rsid w:val="478B495B"/>
    <w:rsid w:val="47A46B22"/>
    <w:rsid w:val="47DD908E"/>
    <w:rsid w:val="48617C62"/>
    <w:rsid w:val="48AE585E"/>
    <w:rsid w:val="48BD2BEA"/>
    <w:rsid w:val="4906240B"/>
    <w:rsid w:val="49363969"/>
    <w:rsid w:val="496F0BFB"/>
    <w:rsid w:val="49B760FE"/>
    <w:rsid w:val="49D46CB0"/>
    <w:rsid w:val="4A23269E"/>
    <w:rsid w:val="4A31280F"/>
    <w:rsid w:val="4A3566C7"/>
    <w:rsid w:val="4A514915"/>
    <w:rsid w:val="4B5A6D8C"/>
    <w:rsid w:val="4B972693"/>
    <w:rsid w:val="4BDB2A9A"/>
    <w:rsid w:val="4C0D309B"/>
    <w:rsid w:val="4C2A705C"/>
    <w:rsid w:val="4C620935"/>
    <w:rsid w:val="4C680143"/>
    <w:rsid w:val="4CC0176E"/>
    <w:rsid w:val="4CCC78DD"/>
    <w:rsid w:val="4CF14367"/>
    <w:rsid w:val="4D1F6368"/>
    <w:rsid w:val="4D246CB4"/>
    <w:rsid w:val="4D5A74CD"/>
    <w:rsid w:val="4DBE3F3B"/>
    <w:rsid w:val="4DC510AF"/>
    <w:rsid w:val="4E186AFF"/>
    <w:rsid w:val="4E916F1E"/>
    <w:rsid w:val="4EBC2D80"/>
    <w:rsid w:val="4ECC61A8"/>
    <w:rsid w:val="4EEA7A16"/>
    <w:rsid w:val="4F0B6AEB"/>
    <w:rsid w:val="4F1014A8"/>
    <w:rsid w:val="4F9D7B44"/>
    <w:rsid w:val="4FFE7065"/>
    <w:rsid w:val="502676BA"/>
    <w:rsid w:val="502D711A"/>
    <w:rsid w:val="504202E0"/>
    <w:rsid w:val="50F54F01"/>
    <w:rsid w:val="51015608"/>
    <w:rsid w:val="515000FC"/>
    <w:rsid w:val="51B86EB8"/>
    <w:rsid w:val="51C47516"/>
    <w:rsid w:val="51D86587"/>
    <w:rsid w:val="51E52FDA"/>
    <w:rsid w:val="520F797D"/>
    <w:rsid w:val="524424F9"/>
    <w:rsid w:val="525E6885"/>
    <w:rsid w:val="52A30122"/>
    <w:rsid w:val="530E3233"/>
    <w:rsid w:val="534E1882"/>
    <w:rsid w:val="5354676C"/>
    <w:rsid w:val="53A44331"/>
    <w:rsid w:val="53E960D4"/>
    <w:rsid w:val="54BC174E"/>
    <w:rsid w:val="54F419ED"/>
    <w:rsid w:val="54F60D8B"/>
    <w:rsid w:val="555D098E"/>
    <w:rsid w:val="557C0C0C"/>
    <w:rsid w:val="558A5B1D"/>
    <w:rsid w:val="55D3565F"/>
    <w:rsid w:val="5601102D"/>
    <w:rsid w:val="56076719"/>
    <w:rsid w:val="567F3863"/>
    <w:rsid w:val="56A44089"/>
    <w:rsid w:val="56D227CA"/>
    <w:rsid w:val="56D30FB3"/>
    <w:rsid w:val="56DE2F1C"/>
    <w:rsid w:val="56E542AB"/>
    <w:rsid w:val="56E74F10"/>
    <w:rsid w:val="57110E46"/>
    <w:rsid w:val="578A48DD"/>
    <w:rsid w:val="579A151B"/>
    <w:rsid w:val="57AF2B0B"/>
    <w:rsid w:val="57C25263"/>
    <w:rsid w:val="57C42478"/>
    <w:rsid w:val="58010261"/>
    <w:rsid w:val="580D1256"/>
    <w:rsid w:val="58132963"/>
    <w:rsid w:val="586B388E"/>
    <w:rsid w:val="58E44335"/>
    <w:rsid w:val="595E0345"/>
    <w:rsid w:val="59BC435B"/>
    <w:rsid w:val="5A6D6E55"/>
    <w:rsid w:val="5B132B0A"/>
    <w:rsid w:val="5B1C7F61"/>
    <w:rsid w:val="5BA87F9D"/>
    <w:rsid w:val="5BCE1C6A"/>
    <w:rsid w:val="5C031F8B"/>
    <w:rsid w:val="5C073F38"/>
    <w:rsid w:val="5C134F68"/>
    <w:rsid w:val="5C2A09B2"/>
    <w:rsid w:val="5C3D2493"/>
    <w:rsid w:val="5C4308A7"/>
    <w:rsid w:val="5C541A56"/>
    <w:rsid w:val="5C64226D"/>
    <w:rsid w:val="5C9E26A4"/>
    <w:rsid w:val="5CD4730F"/>
    <w:rsid w:val="5D03508D"/>
    <w:rsid w:val="5D6A0BC5"/>
    <w:rsid w:val="5DFC2E44"/>
    <w:rsid w:val="5E783C56"/>
    <w:rsid w:val="5E823971"/>
    <w:rsid w:val="5E865585"/>
    <w:rsid w:val="5EBD031F"/>
    <w:rsid w:val="5EDF3376"/>
    <w:rsid w:val="5EF52F64"/>
    <w:rsid w:val="5F073334"/>
    <w:rsid w:val="5F415B86"/>
    <w:rsid w:val="5F5E109E"/>
    <w:rsid w:val="5F87016E"/>
    <w:rsid w:val="5F9F4F13"/>
    <w:rsid w:val="5FEE7BC3"/>
    <w:rsid w:val="5FFDFD4A"/>
    <w:rsid w:val="6021723D"/>
    <w:rsid w:val="607D7F84"/>
    <w:rsid w:val="60D43018"/>
    <w:rsid w:val="60D777F7"/>
    <w:rsid w:val="60E54AE2"/>
    <w:rsid w:val="610816AE"/>
    <w:rsid w:val="61274000"/>
    <w:rsid w:val="614A544B"/>
    <w:rsid w:val="61B34D8A"/>
    <w:rsid w:val="61C64CD9"/>
    <w:rsid w:val="61CD394F"/>
    <w:rsid w:val="61D926C6"/>
    <w:rsid w:val="61ED6B42"/>
    <w:rsid w:val="62742D04"/>
    <w:rsid w:val="627B5AC3"/>
    <w:rsid w:val="6280132C"/>
    <w:rsid w:val="62920945"/>
    <w:rsid w:val="62FA5334"/>
    <w:rsid w:val="63027F93"/>
    <w:rsid w:val="631905DF"/>
    <w:rsid w:val="637503D1"/>
    <w:rsid w:val="63B6069C"/>
    <w:rsid w:val="63CB1DE8"/>
    <w:rsid w:val="63F94D00"/>
    <w:rsid w:val="640F5D56"/>
    <w:rsid w:val="64265F03"/>
    <w:rsid w:val="64792890"/>
    <w:rsid w:val="64A54421"/>
    <w:rsid w:val="64DC67C1"/>
    <w:rsid w:val="65436640"/>
    <w:rsid w:val="65B15E4D"/>
    <w:rsid w:val="65C21F90"/>
    <w:rsid w:val="65FD52E5"/>
    <w:rsid w:val="662707DA"/>
    <w:rsid w:val="662F04CD"/>
    <w:rsid w:val="66575B8C"/>
    <w:rsid w:val="665F2F74"/>
    <w:rsid w:val="666618FF"/>
    <w:rsid w:val="668B7126"/>
    <w:rsid w:val="66A03187"/>
    <w:rsid w:val="66CB6783"/>
    <w:rsid w:val="66DD2B41"/>
    <w:rsid w:val="66E761D7"/>
    <w:rsid w:val="67760F4F"/>
    <w:rsid w:val="67784CC7"/>
    <w:rsid w:val="67982FB2"/>
    <w:rsid w:val="67993132"/>
    <w:rsid w:val="685A617B"/>
    <w:rsid w:val="68623D98"/>
    <w:rsid w:val="68C02161"/>
    <w:rsid w:val="68D50FF4"/>
    <w:rsid w:val="68F40BCA"/>
    <w:rsid w:val="693A5035"/>
    <w:rsid w:val="69900174"/>
    <w:rsid w:val="69D71635"/>
    <w:rsid w:val="6A107995"/>
    <w:rsid w:val="6A1F58CE"/>
    <w:rsid w:val="6A3A2708"/>
    <w:rsid w:val="6AFF300A"/>
    <w:rsid w:val="6B221730"/>
    <w:rsid w:val="6B2817F1"/>
    <w:rsid w:val="6B596BBE"/>
    <w:rsid w:val="6B854708"/>
    <w:rsid w:val="6B9C343A"/>
    <w:rsid w:val="6B9E0A74"/>
    <w:rsid w:val="6B9F698D"/>
    <w:rsid w:val="6BAD0D11"/>
    <w:rsid w:val="6BDA7CFF"/>
    <w:rsid w:val="6BE054C8"/>
    <w:rsid w:val="6C093888"/>
    <w:rsid w:val="6C1F0607"/>
    <w:rsid w:val="6C5E07CB"/>
    <w:rsid w:val="6C7F2654"/>
    <w:rsid w:val="6CAB50B9"/>
    <w:rsid w:val="6CE60925"/>
    <w:rsid w:val="6D0C1D73"/>
    <w:rsid w:val="6D4366C6"/>
    <w:rsid w:val="6DAD5B26"/>
    <w:rsid w:val="6DC96024"/>
    <w:rsid w:val="6DD325CB"/>
    <w:rsid w:val="6DE76262"/>
    <w:rsid w:val="6E2367CD"/>
    <w:rsid w:val="6E5630BE"/>
    <w:rsid w:val="6EA13F6B"/>
    <w:rsid w:val="6ECF44DB"/>
    <w:rsid w:val="6ED162B0"/>
    <w:rsid w:val="6EEA154D"/>
    <w:rsid w:val="6EF7427F"/>
    <w:rsid w:val="6F1654F2"/>
    <w:rsid w:val="6F261D4B"/>
    <w:rsid w:val="6F2D39AB"/>
    <w:rsid w:val="6FED7B89"/>
    <w:rsid w:val="6FFB46E7"/>
    <w:rsid w:val="70494DBB"/>
    <w:rsid w:val="70784D8C"/>
    <w:rsid w:val="71DC40A5"/>
    <w:rsid w:val="720E0702"/>
    <w:rsid w:val="72785446"/>
    <w:rsid w:val="72A9691B"/>
    <w:rsid w:val="72C74947"/>
    <w:rsid w:val="72D42A65"/>
    <w:rsid w:val="73396A0A"/>
    <w:rsid w:val="73F51A1E"/>
    <w:rsid w:val="741F5AE4"/>
    <w:rsid w:val="743050C4"/>
    <w:rsid w:val="7473071A"/>
    <w:rsid w:val="74940C67"/>
    <w:rsid w:val="74AF784E"/>
    <w:rsid w:val="74C7420C"/>
    <w:rsid w:val="75092E9B"/>
    <w:rsid w:val="757B7C60"/>
    <w:rsid w:val="757E1548"/>
    <w:rsid w:val="75D05436"/>
    <w:rsid w:val="76466A0A"/>
    <w:rsid w:val="768D3DA8"/>
    <w:rsid w:val="768D7419"/>
    <w:rsid w:val="76C61046"/>
    <w:rsid w:val="77514A2A"/>
    <w:rsid w:val="775747A3"/>
    <w:rsid w:val="776E1160"/>
    <w:rsid w:val="77844202"/>
    <w:rsid w:val="77AB6D69"/>
    <w:rsid w:val="77D53F8A"/>
    <w:rsid w:val="77DF00FA"/>
    <w:rsid w:val="78081660"/>
    <w:rsid w:val="784E3A1E"/>
    <w:rsid w:val="7855070D"/>
    <w:rsid w:val="78632AB8"/>
    <w:rsid w:val="78A20A10"/>
    <w:rsid w:val="78E51A91"/>
    <w:rsid w:val="78E55F35"/>
    <w:rsid w:val="7906574A"/>
    <w:rsid w:val="79164340"/>
    <w:rsid w:val="794762A8"/>
    <w:rsid w:val="79920686"/>
    <w:rsid w:val="79BE0C60"/>
    <w:rsid w:val="79C60E0B"/>
    <w:rsid w:val="7A316FC1"/>
    <w:rsid w:val="7A773777"/>
    <w:rsid w:val="7A8016D2"/>
    <w:rsid w:val="7A934502"/>
    <w:rsid w:val="7AB97727"/>
    <w:rsid w:val="7B8A112A"/>
    <w:rsid w:val="7BD045E1"/>
    <w:rsid w:val="7BF4617E"/>
    <w:rsid w:val="7C55726D"/>
    <w:rsid w:val="7CC87AB4"/>
    <w:rsid w:val="7D4551F4"/>
    <w:rsid w:val="7D89446A"/>
    <w:rsid w:val="7D9E61DA"/>
    <w:rsid w:val="7DE44A0D"/>
    <w:rsid w:val="7E311532"/>
    <w:rsid w:val="7E317FCB"/>
    <w:rsid w:val="7E851D4C"/>
    <w:rsid w:val="7EC44610"/>
    <w:rsid w:val="7EE822DB"/>
    <w:rsid w:val="7EF649F8"/>
    <w:rsid w:val="7F1271E4"/>
    <w:rsid w:val="7F372DD5"/>
    <w:rsid w:val="7F4471AA"/>
    <w:rsid w:val="7F4514DB"/>
    <w:rsid w:val="7F4E2B3D"/>
    <w:rsid w:val="7F71681E"/>
    <w:rsid w:val="7F9F348A"/>
    <w:rsid w:val="7FA51F7A"/>
    <w:rsid w:val="7FF013FF"/>
    <w:rsid w:val="FFD69120"/>
  </w:rsids>
  <m:mathPr>
    <m:mathFont m:val="Cambria Math"/>
    <m:brkBin m:val="before"/>
    <m:brkBinSub m:val="--"/>
    <m:smallFrac m:val="1"/>
    <m:dispDef/>
    <m:lMargin m:val="1440"/>
    <m:rMargin m:val="144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7" w:semiHidden="0" w:name="heading 1"/>
    <w:lsdException w:qFormat="1" w:uiPriority="8" w:name="heading 2"/>
    <w:lsdException w:qFormat="1" w:uiPriority="9" w:name="heading 3"/>
    <w:lsdException w:qFormat="1" w:uiPriority="10" w:name="heading 4"/>
    <w:lsdException w:qFormat="1" w:uiPriority="11" w:name="heading 5"/>
    <w:lsdException w:qFormat="1" w:uiPriority="12" w:name="heading 6"/>
    <w:lsdException w:qFormat="1" w:unhideWhenUsed="0" w:uiPriority="13" w:semiHidden="0" w:name="heading 7"/>
    <w:lsdException w:qFormat="1" w:unhideWhenUsed="0" w:uiPriority="14" w:semiHidden="0" w:name="heading 8"/>
    <w:lsdException w:qFormat="1" w:unhideWhenUsed="0" w:uiPriority="15"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iPriority="30" w:semiHidden="0" w:name="toc 3"/>
    <w:lsdException w:qFormat="1" w:uiPriority="31" w:semiHidden="0" w:name="toc 4"/>
    <w:lsdException w:qFormat="1" w:uiPriority="32" w:semiHidden="0" w:name="toc 5"/>
    <w:lsdException w:qFormat="1" w:uiPriority="33" w:semiHidden="0" w:name="toc 6"/>
    <w:lsdException w:qFormat="1" w:uiPriority="34" w:semiHidden="0" w:name="toc 7"/>
    <w:lsdException w:qFormat="1" w:uiPriority="35" w:semiHidden="0" w:name="toc 8"/>
    <w:lsdException w:qFormat="1" w:uiPriority="36" w:semiHidden="0" w:name="toc 9"/>
    <w:lsdException w:unhideWhenUsed="0" w:uiPriority="0" w:semiHidden="0" w:name="Normal Indent"/>
    <w:lsdException w:qFormat="1" w:uiPriority="0" w:name="footnote text"/>
    <w:lsdException w:unhideWhenUsed="0" w:uiPriority="0" w:semiHidden="0" w:name="annotation text"/>
    <w:lsdException w:qFormat="1" w:uiPriority="99"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6"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6"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qFormat="1" w:uiPriority="99" w:semiHidden="0" w:name="Hyperlink"/>
    <w:lsdException w:unhideWhenUsed="0" w:uiPriority="0" w:semiHidden="0" w:name="FollowedHyperlink"/>
    <w:lsdException w:qFormat="1" w:unhideWhenUsed="0" w:uiPriority="20" w:semiHidden="0" w:name="Strong"/>
    <w:lsdException w:qFormat="1" w:unhideWhenUsed="0" w:uiPriority="18"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7"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6" w:semiHidden="0" w:name="List Paragraph"/>
    <w:lsdException w:qFormat="1" w:unhideWhenUsed="0" w:uiPriority="21" w:semiHidden="0" w:name="Quote"/>
    <w:lsdException w:qFormat="1" w:unhideWhenUsed="0" w:uiPriority="22"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jc w:val="both"/>
    </w:pPr>
    <w:rPr>
      <w:rFonts w:ascii="Calibri" w:hAnsi="Calibri" w:eastAsia="Times New Roman" w:cstheme="minorBidi"/>
      <w:sz w:val="21"/>
      <w:szCs w:val="21"/>
      <w:lang w:val="en-US" w:eastAsia="zh-CN" w:bidi="ar-SA"/>
    </w:rPr>
  </w:style>
  <w:style w:type="paragraph" w:styleId="2">
    <w:name w:val="heading 1"/>
    <w:next w:val="1"/>
    <w:qFormat/>
    <w:uiPriority w:val="7"/>
    <w:pPr>
      <w:jc w:val="both"/>
      <w:outlineLvl w:val="0"/>
    </w:pPr>
    <w:rPr>
      <w:rFonts w:ascii="宋体" w:hAnsi="宋体" w:eastAsia="Times New Roman" w:cstheme="minorBidi"/>
      <w:sz w:val="28"/>
      <w:szCs w:val="28"/>
      <w:lang w:val="en-US" w:eastAsia="zh-CN" w:bidi="ar-SA"/>
    </w:rPr>
  </w:style>
  <w:style w:type="paragraph" w:styleId="3">
    <w:name w:val="heading 2"/>
    <w:next w:val="1"/>
    <w:semiHidden/>
    <w:unhideWhenUsed/>
    <w:qFormat/>
    <w:uiPriority w:val="8"/>
    <w:pPr>
      <w:jc w:val="both"/>
      <w:outlineLvl w:val="1"/>
    </w:pPr>
    <w:rPr>
      <w:rFonts w:ascii="宋体" w:hAnsi="宋体" w:eastAsia="Times New Roman" w:cstheme="minorBidi"/>
      <w:sz w:val="21"/>
      <w:szCs w:val="21"/>
      <w:lang w:val="en-US" w:eastAsia="zh-CN" w:bidi="ar-SA"/>
    </w:rPr>
  </w:style>
  <w:style w:type="paragraph" w:styleId="4">
    <w:name w:val="heading 3"/>
    <w:next w:val="1"/>
    <w:semiHidden/>
    <w:unhideWhenUsed/>
    <w:qFormat/>
    <w:uiPriority w:val="9"/>
    <w:pPr>
      <w:ind w:left="1000" w:hanging="400"/>
      <w:jc w:val="both"/>
      <w:outlineLvl w:val="2"/>
    </w:pPr>
    <w:rPr>
      <w:rFonts w:ascii="宋体" w:hAnsi="宋体" w:eastAsia="Times New Roman" w:cstheme="minorBidi"/>
      <w:sz w:val="21"/>
      <w:szCs w:val="21"/>
      <w:lang w:val="en-US" w:eastAsia="zh-CN" w:bidi="ar-SA"/>
    </w:rPr>
  </w:style>
  <w:style w:type="paragraph" w:styleId="5">
    <w:name w:val="heading 4"/>
    <w:next w:val="1"/>
    <w:semiHidden/>
    <w:unhideWhenUsed/>
    <w:qFormat/>
    <w:uiPriority w:val="10"/>
    <w:pPr>
      <w:ind w:left="1200" w:hanging="400"/>
      <w:jc w:val="both"/>
      <w:outlineLvl w:val="3"/>
    </w:pPr>
    <w:rPr>
      <w:rFonts w:ascii="宋体" w:hAnsi="宋体" w:eastAsia="Times New Roman" w:cstheme="minorBidi"/>
      <w:b/>
      <w:sz w:val="21"/>
      <w:szCs w:val="21"/>
      <w:lang w:val="en-US" w:eastAsia="zh-CN" w:bidi="ar-SA"/>
    </w:rPr>
  </w:style>
  <w:style w:type="paragraph" w:styleId="6">
    <w:name w:val="heading 5"/>
    <w:next w:val="1"/>
    <w:semiHidden/>
    <w:unhideWhenUsed/>
    <w:qFormat/>
    <w:uiPriority w:val="11"/>
    <w:pPr>
      <w:ind w:left="1400" w:hanging="400"/>
      <w:jc w:val="both"/>
      <w:outlineLvl w:val="4"/>
    </w:pPr>
    <w:rPr>
      <w:rFonts w:ascii="宋体" w:hAnsi="宋体" w:eastAsia="Times New Roman" w:cstheme="minorBidi"/>
      <w:sz w:val="21"/>
      <w:szCs w:val="21"/>
      <w:lang w:val="en-US" w:eastAsia="zh-CN" w:bidi="ar-SA"/>
    </w:rPr>
  </w:style>
  <w:style w:type="paragraph" w:styleId="7">
    <w:name w:val="heading 6"/>
    <w:next w:val="1"/>
    <w:semiHidden/>
    <w:unhideWhenUsed/>
    <w:qFormat/>
    <w:uiPriority w:val="12"/>
    <w:pPr>
      <w:ind w:left="1600" w:hanging="400"/>
      <w:jc w:val="both"/>
      <w:outlineLvl w:val="5"/>
    </w:pPr>
    <w:rPr>
      <w:rFonts w:ascii="宋体" w:hAnsi="宋体" w:eastAsia="Times New Roman" w:cstheme="minorBidi"/>
      <w:b/>
      <w:sz w:val="21"/>
      <w:szCs w:val="21"/>
      <w:lang w:val="en-US" w:eastAsia="zh-CN" w:bidi="ar-SA"/>
    </w:rPr>
  </w:style>
  <w:style w:type="paragraph" w:styleId="8">
    <w:name w:val="heading 7"/>
    <w:next w:val="1"/>
    <w:qFormat/>
    <w:uiPriority w:val="13"/>
    <w:pPr>
      <w:ind w:left="1800" w:hanging="400"/>
      <w:jc w:val="both"/>
      <w:outlineLvl w:val="6"/>
    </w:pPr>
    <w:rPr>
      <w:rFonts w:ascii="宋体" w:hAnsi="宋体" w:eastAsia="Times New Roman" w:cstheme="minorBidi"/>
      <w:sz w:val="21"/>
      <w:szCs w:val="21"/>
      <w:lang w:val="en-US" w:eastAsia="zh-CN" w:bidi="ar-SA"/>
    </w:rPr>
  </w:style>
  <w:style w:type="paragraph" w:styleId="9">
    <w:name w:val="heading 8"/>
    <w:next w:val="1"/>
    <w:qFormat/>
    <w:uiPriority w:val="14"/>
    <w:pPr>
      <w:ind w:left="2000" w:hanging="400"/>
      <w:jc w:val="both"/>
      <w:outlineLvl w:val="7"/>
    </w:pPr>
    <w:rPr>
      <w:rFonts w:ascii="宋体" w:hAnsi="宋体" w:eastAsia="Times New Roman" w:cstheme="minorBidi"/>
      <w:sz w:val="21"/>
      <w:szCs w:val="21"/>
      <w:lang w:val="en-US" w:eastAsia="zh-CN" w:bidi="ar-SA"/>
    </w:rPr>
  </w:style>
  <w:style w:type="paragraph" w:styleId="10">
    <w:name w:val="heading 9"/>
    <w:next w:val="1"/>
    <w:qFormat/>
    <w:uiPriority w:val="15"/>
    <w:pPr>
      <w:ind w:left="2200" w:hanging="400"/>
      <w:jc w:val="both"/>
      <w:outlineLvl w:val="8"/>
    </w:pPr>
    <w:rPr>
      <w:rFonts w:ascii="宋体" w:hAnsi="宋体" w:eastAsia="Times New Roman" w:cstheme="minorBidi"/>
      <w:sz w:val="21"/>
      <w:szCs w:val="21"/>
      <w:lang w:val="en-US" w:eastAsia="zh-CN" w:bidi="ar-SA"/>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11">
    <w:name w:val="toc 7"/>
    <w:next w:val="1"/>
    <w:unhideWhenUsed/>
    <w:qFormat/>
    <w:uiPriority w:val="34"/>
    <w:pPr>
      <w:ind w:left="2550"/>
      <w:jc w:val="both"/>
    </w:pPr>
    <w:rPr>
      <w:rFonts w:ascii="宋体" w:hAnsi="宋体" w:eastAsia="Times New Roman" w:cstheme="minorBidi"/>
      <w:sz w:val="21"/>
      <w:szCs w:val="21"/>
      <w:lang w:val="en-US" w:eastAsia="zh-CN" w:bidi="ar-SA"/>
    </w:rPr>
  </w:style>
  <w:style w:type="paragraph" w:styleId="12">
    <w:name w:val="Body Text"/>
    <w:basedOn w:val="1"/>
    <w:link w:val="60"/>
    <w:qFormat/>
    <w:uiPriority w:val="0"/>
    <w:pPr>
      <w:spacing w:after="120"/>
    </w:pPr>
  </w:style>
  <w:style w:type="paragraph" w:styleId="13">
    <w:name w:val="Body Text Indent"/>
    <w:basedOn w:val="1"/>
    <w:link w:val="56"/>
    <w:unhideWhenUsed/>
    <w:qFormat/>
    <w:uiPriority w:val="0"/>
    <w:pPr>
      <w:ind w:left="420"/>
    </w:pPr>
    <w:rPr>
      <w:rFonts w:ascii="Times New Roman" w:hAnsi="Times New Roman" w:eastAsia="宋体"/>
      <w:sz w:val="20"/>
      <w:szCs w:val="20"/>
    </w:rPr>
  </w:style>
  <w:style w:type="paragraph" w:styleId="14">
    <w:name w:val="Block Text"/>
    <w:basedOn w:val="1"/>
    <w:qFormat/>
    <w:uiPriority w:val="0"/>
    <w:pPr>
      <w:ind w:left="700" w:right="700"/>
    </w:pPr>
  </w:style>
  <w:style w:type="paragraph" w:styleId="15">
    <w:name w:val="toc 5"/>
    <w:next w:val="1"/>
    <w:unhideWhenUsed/>
    <w:qFormat/>
    <w:uiPriority w:val="32"/>
    <w:pPr>
      <w:ind w:left="1700"/>
      <w:jc w:val="both"/>
    </w:pPr>
    <w:rPr>
      <w:rFonts w:ascii="宋体" w:hAnsi="宋体" w:eastAsia="Times New Roman" w:cstheme="minorBidi"/>
      <w:sz w:val="21"/>
      <w:szCs w:val="21"/>
      <w:lang w:val="en-US" w:eastAsia="zh-CN" w:bidi="ar-SA"/>
    </w:rPr>
  </w:style>
  <w:style w:type="paragraph" w:styleId="16">
    <w:name w:val="toc 3"/>
    <w:next w:val="1"/>
    <w:unhideWhenUsed/>
    <w:qFormat/>
    <w:uiPriority w:val="30"/>
    <w:pPr>
      <w:ind w:left="850"/>
      <w:jc w:val="both"/>
    </w:pPr>
    <w:rPr>
      <w:rFonts w:ascii="宋体" w:hAnsi="宋体" w:eastAsia="Times New Roman" w:cstheme="minorBidi"/>
      <w:sz w:val="21"/>
      <w:szCs w:val="21"/>
      <w:lang w:val="en-US" w:eastAsia="zh-CN" w:bidi="ar-SA"/>
    </w:rPr>
  </w:style>
  <w:style w:type="paragraph" w:styleId="17">
    <w:name w:val="toc 8"/>
    <w:next w:val="1"/>
    <w:unhideWhenUsed/>
    <w:qFormat/>
    <w:uiPriority w:val="35"/>
    <w:pPr>
      <w:ind w:left="2975"/>
      <w:jc w:val="both"/>
    </w:pPr>
    <w:rPr>
      <w:rFonts w:ascii="宋体" w:hAnsi="宋体" w:eastAsia="Times New Roman" w:cstheme="minorBidi"/>
      <w:sz w:val="21"/>
      <w:szCs w:val="21"/>
      <w:lang w:val="en-US" w:eastAsia="zh-CN" w:bidi="ar-SA"/>
    </w:rPr>
  </w:style>
  <w:style w:type="paragraph" w:styleId="18">
    <w:name w:val="Balloon Text"/>
    <w:basedOn w:val="1"/>
    <w:link w:val="65"/>
    <w:qFormat/>
    <w:uiPriority w:val="0"/>
    <w:rPr>
      <w:sz w:val="18"/>
      <w:szCs w:val="18"/>
    </w:rPr>
  </w:style>
  <w:style w:type="paragraph" w:styleId="19">
    <w:name w:val="footer"/>
    <w:basedOn w:val="1"/>
    <w:link w:val="53"/>
    <w:unhideWhenUsed/>
    <w:qFormat/>
    <w:uiPriority w:val="0"/>
    <w:pPr>
      <w:tabs>
        <w:tab w:val="center" w:pos="4153"/>
        <w:tab w:val="right" w:pos="8306"/>
      </w:tabs>
    </w:pPr>
    <w:rPr>
      <w:sz w:val="18"/>
      <w:szCs w:val="18"/>
    </w:rPr>
  </w:style>
  <w:style w:type="paragraph" w:styleId="20">
    <w:name w:val="header"/>
    <w:basedOn w:val="1"/>
    <w:link w:val="52"/>
    <w:unhideWhenUsed/>
    <w:qFormat/>
    <w:uiPriority w:val="99"/>
    <w:pPr>
      <w:tabs>
        <w:tab w:val="center" w:pos="4153"/>
        <w:tab w:val="right" w:pos="8306"/>
      </w:tabs>
      <w:jc w:val="center"/>
    </w:pPr>
    <w:rPr>
      <w:sz w:val="18"/>
      <w:szCs w:val="18"/>
    </w:rPr>
  </w:style>
  <w:style w:type="paragraph" w:styleId="21">
    <w:name w:val="toc 1"/>
    <w:basedOn w:val="1"/>
    <w:next w:val="1"/>
    <w:qFormat/>
    <w:uiPriority w:val="39"/>
    <w:rPr>
      <w:rFonts w:ascii="Times New Roman" w:hAnsi="Times New Roman" w:eastAsia="仿宋_GB2312"/>
      <w:sz w:val="30"/>
      <w:szCs w:val="30"/>
    </w:rPr>
  </w:style>
  <w:style w:type="paragraph" w:styleId="22">
    <w:name w:val="toc 4"/>
    <w:next w:val="1"/>
    <w:unhideWhenUsed/>
    <w:qFormat/>
    <w:uiPriority w:val="31"/>
    <w:pPr>
      <w:ind w:left="1275"/>
      <w:jc w:val="both"/>
    </w:pPr>
    <w:rPr>
      <w:rFonts w:ascii="宋体" w:hAnsi="宋体" w:eastAsia="Times New Roman" w:cstheme="minorBidi"/>
      <w:sz w:val="21"/>
      <w:szCs w:val="21"/>
      <w:lang w:val="en-US" w:eastAsia="zh-CN" w:bidi="ar-SA"/>
    </w:rPr>
  </w:style>
  <w:style w:type="paragraph" w:styleId="23">
    <w:name w:val="Subtitle"/>
    <w:next w:val="1"/>
    <w:qFormat/>
    <w:uiPriority w:val="16"/>
    <w:pPr>
      <w:jc w:val="center"/>
    </w:pPr>
    <w:rPr>
      <w:rFonts w:ascii="宋体" w:hAnsi="宋体" w:eastAsia="Times New Roman" w:cstheme="minorBidi"/>
      <w:sz w:val="24"/>
      <w:szCs w:val="24"/>
      <w:lang w:val="en-US" w:eastAsia="zh-CN" w:bidi="ar-SA"/>
    </w:rPr>
  </w:style>
  <w:style w:type="paragraph" w:styleId="24">
    <w:name w:val="footnote text"/>
    <w:basedOn w:val="1"/>
    <w:semiHidden/>
    <w:unhideWhenUsed/>
    <w:qFormat/>
    <w:uiPriority w:val="0"/>
    <w:rPr>
      <w:sz w:val="18"/>
      <w:szCs w:val="18"/>
    </w:rPr>
  </w:style>
  <w:style w:type="paragraph" w:styleId="25">
    <w:name w:val="toc 6"/>
    <w:next w:val="1"/>
    <w:unhideWhenUsed/>
    <w:qFormat/>
    <w:uiPriority w:val="33"/>
    <w:pPr>
      <w:ind w:left="2125"/>
      <w:jc w:val="both"/>
    </w:pPr>
    <w:rPr>
      <w:rFonts w:ascii="宋体" w:hAnsi="宋体" w:eastAsia="Times New Roman" w:cstheme="minorBidi"/>
      <w:sz w:val="21"/>
      <w:szCs w:val="21"/>
      <w:lang w:val="en-US" w:eastAsia="zh-CN" w:bidi="ar-SA"/>
    </w:rPr>
  </w:style>
  <w:style w:type="paragraph" w:styleId="26">
    <w:name w:val="toc 2"/>
    <w:basedOn w:val="1"/>
    <w:next w:val="1"/>
    <w:qFormat/>
    <w:uiPriority w:val="39"/>
    <w:pPr>
      <w:ind w:left="420"/>
    </w:pPr>
    <w:rPr>
      <w:rFonts w:ascii="Times New Roman" w:hAnsi="Times New Roman" w:eastAsia="仿宋_GB2312"/>
      <w:sz w:val="30"/>
      <w:szCs w:val="30"/>
    </w:rPr>
  </w:style>
  <w:style w:type="paragraph" w:styleId="27">
    <w:name w:val="toc 9"/>
    <w:next w:val="1"/>
    <w:unhideWhenUsed/>
    <w:qFormat/>
    <w:uiPriority w:val="36"/>
    <w:pPr>
      <w:ind w:left="3400"/>
      <w:jc w:val="both"/>
    </w:pPr>
    <w:rPr>
      <w:rFonts w:ascii="宋体" w:hAnsi="宋体" w:eastAsia="Times New Roman" w:cstheme="minorBidi"/>
      <w:sz w:val="21"/>
      <w:szCs w:val="21"/>
      <w:lang w:val="en-US" w:eastAsia="zh-CN" w:bidi="ar-SA"/>
    </w:rPr>
  </w:style>
  <w:style w:type="paragraph" w:styleId="28">
    <w:name w:val="Title"/>
    <w:qFormat/>
    <w:uiPriority w:val="6"/>
    <w:pPr>
      <w:jc w:val="center"/>
    </w:pPr>
    <w:rPr>
      <w:rFonts w:ascii="宋体" w:hAnsi="宋体" w:eastAsia="Times New Roman" w:cstheme="minorBidi"/>
      <w:b/>
      <w:sz w:val="32"/>
      <w:szCs w:val="32"/>
      <w:lang w:val="en-US" w:eastAsia="zh-CN" w:bidi="ar-SA"/>
    </w:rPr>
  </w:style>
  <w:style w:type="table" w:styleId="30">
    <w:name w:val="Table Grid"/>
    <w:basedOn w:val="29"/>
    <w:qFormat/>
    <w:uiPriority w:val="3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2">
    <w:name w:val="Strong"/>
    <w:qFormat/>
    <w:uiPriority w:val="20"/>
    <w:rPr>
      <w:b/>
      <w:w w:val="100"/>
      <w:sz w:val="21"/>
      <w:szCs w:val="21"/>
      <w:shd w:val="clear" w:color="000000" w:fill="auto"/>
    </w:rPr>
  </w:style>
  <w:style w:type="character" w:styleId="33">
    <w:name w:val="Emphasis"/>
    <w:qFormat/>
    <w:uiPriority w:val="18"/>
    <w:rPr>
      <w:i/>
      <w:w w:val="100"/>
      <w:sz w:val="21"/>
      <w:szCs w:val="21"/>
      <w:shd w:val="clear" w:color="000000" w:fill="auto"/>
    </w:rPr>
  </w:style>
  <w:style w:type="character" w:styleId="34">
    <w:name w:val="Hyperlink"/>
    <w:basedOn w:val="31"/>
    <w:unhideWhenUsed/>
    <w:qFormat/>
    <w:uiPriority w:val="99"/>
    <w:rPr>
      <w:color w:val="0000FF" w:themeColor="hyperlink"/>
      <w:u w:val="single"/>
    </w:rPr>
  </w:style>
  <w:style w:type="character" w:styleId="35">
    <w:name w:val="footnote reference"/>
    <w:basedOn w:val="31"/>
    <w:semiHidden/>
    <w:unhideWhenUsed/>
    <w:qFormat/>
    <w:uiPriority w:val="0"/>
    <w:rPr>
      <w:w w:val="100"/>
      <w:sz w:val="20"/>
      <w:szCs w:val="20"/>
      <w:shd w:val="clear" w:color="000000" w:fill="auto"/>
      <w:vertAlign w:val="superscript"/>
    </w:rPr>
  </w:style>
  <w:style w:type="paragraph" w:styleId="36">
    <w:name w:val="No Spacing"/>
    <w:link w:val="62"/>
    <w:qFormat/>
    <w:uiPriority w:val="1"/>
    <w:pPr>
      <w:jc w:val="both"/>
    </w:pPr>
    <w:rPr>
      <w:rFonts w:ascii="宋体" w:hAnsi="宋体" w:eastAsia="Times New Roman" w:cstheme="minorBidi"/>
      <w:sz w:val="21"/>
      <w:szCs w:val="21"/>
      <w:lang w:val="en-US" w:eastAsia="zh-CN" w:bidi="ar-SA"/>
    </w:rPr>
  </w:style>
  <w:style w:type="character" w:customStyle="1" w:styleId="37">
    <w:name w:val="不明显强调1"/>
    <w:qFormat/>
    <w:uiPriority w:val="17"/>
    <w:rPr>
      <w:i/>
      <w:color w:val="404040"/>
      <w:w w:val="100"/>
      <w:sz w:val="21"/>
      <w:szCs w:val="21"/>
      <w:shd w:val="clear" w:color="000000" w:fill="auto"/>
    </w:rPr>
  </w:style>
  <w:style w:type="character" w:customStyle="1" w:styleId="38">
    <w:name w:val="明显强调1"/>
    <w:qFormat/>
    <w:uiPriority w:val="19"/>
    <w:rPr>
      <w:i/>
      <w:color w:val="5B9BD5"/>
      <w:w w:val="100"/>
      <w:sz w:val="21"/>
      <w:szCs w:val="21"/>
      <w:shd w:val="clear" w:color="000000" w:fill="auto"/>
    </w:rPr>
  </w:style>
  <w:style w:type="paragraph" w:styleId="39">
    <w:name w:val="Quote"/>
    <w:qFormat/>
    <w:uiPriority w:val="21"/>
    <w:pPr>
      <w:ind w:left="864" w:right="864"/>
      <w:jc w:val="center"/>
    </w:pPr>
    <w:rPr>
      <w:rFonts w:ascii="宋体" w:hAnsi="宋体" w:eastAsia="Times New Roman" w:cstheme="minorBidi"/>
      <w:i/>
      <w:color w:val="404040"/>
      <w:sz w:val="21"/>
      <w:szCs w:val="21"/>
      <w:lang w:val="en-US" w:eastAsia="zh-CN" w:bidi="ar-SA"/>
    </w:rPr>
  </w:style>
  <w:style w:type="paragraph" w:styleId="40">
    <w:name w:val="Intense Quote"/>
    <w:qFormat/>
    <w:uiPriority w:val="22"/>
    <w:pPr>
      <w:ind w:left="950" w:right="950"/>
      <w:jc w:val="center"/>
    </w:pPr>
    <w:rPr>
      <w:rFonts w:ascii="宋体" w:hAnsi="宋体" w:eastAsia="Times New Roman" w:cstheme="minorBidi"/>
      <w:i/>
      <w:color w:val="5B9BD5"/>
      <w:sz w:val="21"/>
      <w:szCs w:val="21"/>
      <w:lang w:val="en-US" w:eastAsia="zh-CN" w:bidi="ar-SA"/>
    </w:rPr>
  </w:style>
  <w:style w:type="character" w:customStyle="1" w:styleId="41">
    <w:name w:val="不明显参考1"/>
    <w:qFormat/>
    <w:uiPriority w:val="23"/>
    <w:rPr>
      <w:smallCaps/>
      <w:color w:val="5A5A5A"/>
      <w:w w:val="100"/>
      <w:sz w:val="21"/>
      <w:szCs w:val="21"/>
      <w:shd w:val="clear" w:color="000000" w:fill="auto"/>
    </w:rPr>
  </w:style>
  <w:style w:type="character" w:customStyle="1" w:styleId="42">
    <w:name w:val="明显参考1"/>
    <w:qFormat/>
    <w:uiPriority w:val="24"/>
    <w:rPr>
      <w:b/>
      <w:smallCaps/>
      <w:color w:val="5B9BD5"/>
      <w:w w:val="100"/>
      <w:sz w:val="21"/>
      <w:szCs w:val="21"/>
      <w:shd w:val="clear" w:color="000000" w:fill="auto"/>
    </w:rPr>
  </w:style>
  <w:style w:type="character" w:customStyle="1" w:styleId="43">
    <w:name w:val="书籍标题1"/>
    <w:qFormat/>
    <w:uiPriority w:val="25"/>
    <w:rPr>
      <w:b/>
      <w:i/>
      <w:w w:val="100"/>
      <w:sz w:val="21"/>
      <w:szCs w:val="21"/>
      <w:shd w:val="clear" w:color="000000" w:fill="auto"/>
    </w:rPr>
  </w:style>
  <w:style w:type="paragraph" w:styleId="44">
    <w:name w:val="List Paragraph"/>
    <w:basedOn w:val="1"/>
    <w:next w:val="1"/>
    <w:qFormat/>
    <w:uiPriority w:val="26"/>
    <w:pPr>
      <w:ind w:firstLine="420"/>
    </w:pPr>
  </w:style>
  <w:style w:type="paragraph" w:customStyle="1" w:styleId="45">
    <w:name w:val="TOC 标题1"/>
    <w:unhideWhenUsed/>
    <w:qFormat/>
    <w:uiPriority w:val="27"/>
    <w:rPr>
      <w:rFonts w:ascii="Times New Roman" w:hAnsi="Times New Roman" w:eastAsia="Times New Roman" w:cstheme="minorBidi"/>
      <w:color w:val="2E74B5"/>
      <w:sz w:val="32"/>
      <w:szCs w:val="32"/>
      <w:lang w:val="en-US" w:eastAsia="zh-CN" w:bidi="ar-SA"/>
    </w:rPr>
  </w:style>
  <w:style w:type="character" w:customStyle="1" w:styleId="46">
    <w:name w:val="不明显强调11"/>
    <w:qFormat/>
    <w:uiPriority w:val="0"/>
    <w:rPr>
      <w:i/>
      <w:color w:val="404040"/>
      <w:w w:val="100"/>
      <w:sz w:val="21"/>
      <w:szCs w:val="21"/>
      <w:shd w:val="clear" w:color="000000" w:fill="auto"/>
    </w:rPr>
  </w:style>
  <w:style w:type="character" w:customStyle="1" w:styleId="47">
    <w:name w:val="明显强调11"/>
    <w:qFormat/>
    <w:uiPriority w:val="0"/>
    <w:rPr>
      <w:i/>
      <w:color w:val="5B9BD5"/>
      <w:w w:val="100"/>
      <w:sz w:val="21"/>
      <w:szCs w:val="21"/>
      <w:shd w:val="clear" w:color="000000" w:fill="auto"/>
    </w:rPr>
  </w:style>
  <w:style w:type="character" w:customStyle="1" w:styleId="48">
    <w:name w:val="不明显参考11"/>
    <w:qFormat/>
    <w:uiPriority w:val="0"/>
    <w:rPr>
      <w:smallCaps/>
      <w:color w:val="5A5A5A"/>
      <w:w w:val="100"/>
      <w:sz w:val="21"/>
      <w:szCs w:val="21"/>
      <w:shd w:val="clear" w:color="000000" w:fill="auto"/>
    </w:rPr>
  </w:style>
  <w:style w:type="character" w:customStyle="1" w:styleId="49">
    <w:name w:val="明显参考11"/>
    <w:qFormat/>
    <w:uiPriority w:val="0"/>
    <w:rPr>
      <w:b/>
      <w:smallCaps/>
      <w:color w:val="5B9BD5"/>
      <w:w w:val="100"/>
      <w:sz w:val="21"/>
      <w:szCs w:val="21"/>
      <w:shd w:val="clear" w:color="000000" w:fill="auto"/>
    </w:rPr>
  </w:style>
  <w:style w:type="character" w:customStyle="1" w:styleId="50">
    <w:name w:val="书籍标题11"/>
    <w:qFormat/>
    <w:uiPriority w:val="0"/>
    <w:rPr>
      <w:b/>
      <w:i/>
      <w:w w:val="100"/>
      <w:sz w:val="21"/>
      <w:szCs w:val="21"/>
      <w:shd w:val="clear" w:color="000000" w:fill="auto"/>
    </w:rPr>
  </w:style>
  <w:style w:type="paragraph" w:customStyle="1" w:styleId="51">
    <w:name w:val="TOC 标题11"/>
    <w:unhideWhenUsed/>
    <w:qFormat/>
    <w:uiPriority w:val="0"/>
    <w:rPr>
      <w:rFonts w:ascii="宋体" w:hAnsi="宋体" w:eastAsia="Times New Roman" w:cstheme="minorBidi"/>
      <w:color w:val="2E74B5"/>
      <w:sz w:val="32"/>
      <w:szCs w:val="32"/>
      <w:lang w:val="en-US" w:eastAsia="zh-CN" w:bidi="ar-SA"/>
    </w:rPr>
  </w:style>
  <w:style w:type="character" w:customStyle="1" w:styleId="52">
    <w:name w:val="页眉 Char"/>
    <w:basedOn w:val="31"/>
    <w:link w:val="20"/>
    <w:qFormat/>
    <w:uiPriority w:val="99"/>
    <w:rPr>
      <w:w w:val="100"/>
      <w:sz w:val="18"/>
      <w:szCs w:val="18"/>
      <w:shd w:val="clear" w:color="000000" w:fill="auto"/>
    </w:rPr>
  </w:style>
  <w:style w:type="character" w:customStyle="1" w:styleId="53">
    <w:name w:val="页脚 Char"/>
    <w:basedOn w:val="31"/>
    <w:link w:val="19"/>
    <w:qFormat/>
    <w:uiPriority w:val="0"/>
    <w:rPr>
      <w:w w:val="100"/>
      <w:sz w:val="18"/>
      <w:szCs w:val="18"/>
      <w:shd w:val="clear" w:color="000000" w:fill="auto"/>
    </w:rPr>
  </w:style>
  <w:style w:type="paragraph" w:customStyle="1" w:styleId="54">
    <w:name w:val="正文1"/>
    <w:basedOn w:val="1"/>
    <w:qFormat/>
    <w:uiPriority w:val="0"/>
    <w:pPr>
      <w:autoSpaceDE w:val="0"/>
      <w:autoSpaceDN w:val="0"/>
      <w:ind w:firstLine="624"/>
    </w:pPr>
    <w:rPr>
      <w:rFonts w:ascii="宋体" w:hAnsi="宋体" w:eastAsia="仿宋_GB2312"/>
      <w:spacing w:val="6"/>
      <w:sz w:val="24"/>
      <w:szCs w:val="24"/>
    </w:rPr>
  </w:style>
  <w:style w:type="paragraph" w:customStyle="1" w:styleId="55">
    <w:name w:val="List Paragraph1"/>
    <w:basedOn w:val="1"/>
    <w:qFormat/>
    <w:uiPriority w:val="0"/>
    <w:pPr>
      <w:ind w:firstLine="420"/>
    </w:pPr>
    <w:rPr>
      <w:rFonts w:ascii="宋体" w:hAnsi="宋体" w:eastAsia="Calibri"/>
      <w:sz w:val="20"/>
      <w:szCs w:val="20"/>
    </w:rPr>
  </w:style>
  <w:style w:type="character" w:customStyle="1" w:styleId="56">
    <w:name w:val="正文文本缩进 Char"/>
    <w:basedOn w:val="31"/>
    <w:link w:val="13"/>
    <w:qFormat/>
    <w:uiPriority w:val="0"/>
    <w:rPr>
      <w:w w:val="100"/>
      <w:sz w:val="20"/>
      <w:szCs w:val="20"/>
      <w:shd w:val="clear" w:color="000000" w:fill="auto"/>
    </w:rPr>
  </w:style>
  <w:style w:type="paragraph" w:customStyle="1" w:styleId="57">
    <w:name w:val="修订1"/>
    <w:semiHidden/>
    <w:qFormat/>
    <w:uiPriority w:val="0"/>
    <w:rPr>
      <w:rFonts w:ascii="Calibri" w:hAnsi="Calibri" w:eastAsia="Times New Roman" w:cstheme="minorBidi"/>
      <w:sz w:val="21"/>
      <w:szCs w:val="21"/>
      <w:lang w:val="en-US" w:eastAsia="zh-CN" w:bidi="ar-SA"/>
    </w:rPr>
  </w:style>
  <w:style w:type="character" w:customStyle="1" w:styleId="58">
    <w:name w:val="font31"/>
    <w:basedOn w:val="31"/>
    <w:qFormat/>
    <w:uiPriority w:val="0"/>
    <w:rPr>
      <w:rFonts w:ascii="Arial Unicode MS" w:hAnsi="Arial Unicode MS" w:eastAsia="Arial Unicode MS" w:cs="Arial Unicode MS"/>
      <w:color w:val="000000"/>
      <w:sz w:val="20"/>
      <w:szCs w:val="20"/>
      <w:u w:val="none"/>
    </w:rPr>
  </w:style>
  <w:style w:type="character" w:customStyle="1" w:styleId="59">
    <w:name w:val="font21"/>
    <w:basedOn w:val="31"/>
    <w:qFormat/>
    <w:uiPriority w:val="0"/>
    <w:rPr>
      <w:rFonts w:hint="default" w:ascii="仿宋_GB2312" w:eastAsia="仿宋_GB2312" w:cs="仿宋_GB2312"/>
      <w:color w:val="000000"/>
      <w:sz w:val="20"/>
      <w:szCs w:val="20"/>
      <w:u w:val="none"/>
    </w:rPr>
  </w:style>
  <w:style w:type="character" w:customStyle="1" w:styleId="60">
    <w:name w:val="正文文本 Char"/>
    <w:basedOn w:val="31"/>
    <w:link w:val="12"/>
    <w:qFormat/>
    <w:uiPriority w:val="0"/>
    <w:rPr>
      <w:rFonts w:ascii="Calibri" w:hAnsi="Calibri" w:eastAsia="Times New Roman" w:cstheme="minorBidi"/>
      <w:sz w:val="21"/>
      <w:szCs w:val="21"/>
    </w:rPr>
  </w:style>
  <w:style w:type="paragraph" w:customStyle="1" w:styleId="61">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62">
    <w:name w:val="无间隔 Char"/>
    <w:basedOn w:val="31"/>
    <w:link w:val="36"/>
    <w:qFormat/>
    <w:uiPriority w:val="1"/>
    <w:rPr>
      <w:rFonts w:ascii="宋体" w:hAnsi="宋体" w:eastAsia="Times New Roman" w:cstheme="minorBidi"/>
      <w:sz w:val="21"/>
      <w:szCs w:val="21"/>
    </w:rPr>
  </w:style>
  <w:style w:type="paragraph" w:customStyle="1" w:styleId="63">
    <w:name w:val="WPSOffice手动目录 1"/>
    <w:qFormat/>
    <w:uiPriority w:val="0"/>
    <w:rPr>
      <w:rFonts w:ascii="Times New Roman" w:hAnsi="Times New Roman" w:eastAsia="宋体" w:cs="Times New Roman"/>
      <w:lang w:val="en-US" w:eastAsia="zh-CN" w:bidi="ar-SA"/>
    </w:rPr>
  </w:style>
  <w:style w:type="paragraph" w:customStyle="1" w:styleId="64">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65">
    <w:name w:val="批注框文本 Char"/>
    <w:basedOn w:val="31"/>
    <w:link w:val="18"/>
    <w:qFormat/>
    <w:uiPriority w:val="0"/>
    <w:rPr>
      <w:rFonts w:ascii="Calibri" w:hAnsi="Calibri" w:eastAsia="Times New Roman" w:cstheme="minorBidi"/>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6112</Words>
  <Characters>6556</Characters>
  <Lines>47</Lines>
  <Paragraphs>13</Paragraphs>
  <TotalTime>5</TotalTime>
  <ScaleCrop>false</ScaleCrop>
  <LinksUpToDate>false</LinksUpToDate>
  <CharactersWithSpaces>6563</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2021-11-11T16:55:00Z</dcterms:created>
  <dc:creator>user</dc:creator>
  <cp:lastModifiedBy>admin</cp:lastModifiedBy>
  <cp:lastPrinted>2022-10-21T00:30:00Z</cp:lastPrinted>
  <dcterms:modified xsi:type="dcterms:W3CDTF">2023-09-15T23:03:24Z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1A30F3845A334BBF978975DC85BFC721</vt:lpwstr>
  </property>
</Properties>
</file>