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outlineLvl w:val="0"/>
        <w:rPr>
          <w:rFonts w:hint="eastAsia" w:ascii="仿宋_GB2312" w:eastAsia="仿宋_GB2312"/>
          <w:sz w:val="32"/>
          <w:szCs w:val="32"/>
          <w:lang w:val="en-US" w:eastAsia="zh-CN"/>
        </w:rPr>
      </w:pPr>
      <w:bookmarkStart w:id="0" w:name="_GoBack"/>
      <w:bookmarkEnd w:id="0"/>
      <w:r>
        <w:rPr>
          <w:rFonts w:hint="eastAsia" w:ascii="仿宋_GB2312" w:eastAsia="仿宋_GB2312"/>
          <w:sz w:val="32"/>
          <w:szCs w:val="32"/>
          <w:lang w:val="en-US" w:eastAsia="zh-CN"/>
        </w:rPr>
        <w:t>附件4：</w:t>
      </w:r>
    </w:p>
    <w:p>
      <w:pPr>
        <w:widowControl w:val="0"/>
        <w:wordWrap/>
        <w:spacing w:line="360" w:lineRule="auto"/>
        <w:ind w:left="0" w:leftChars="0" w:right="0" w:firstLine="0" w:firstLineChars="0"/>
        <w:jc w:val="center"/>
        <w:textAlignment w:val="auto"/>
        <w:outlineLvl w:val="0"/>
        <w:rPr>
          <w:rFonts w:hint="eastAsia" w:ascii="宋体" w:hAnsi="宋体" w:eastAsia="宋体" w:cs="宋体"/>
          <w:b/>
          <w:bCs/>
          <w:sz w:val="44"/>
          <w:szCs w:val="44"/>
        </w:rPr>
      </w:pPr>
      <w:r>
        <w:rPr>
          <w:rFonts w:hint="eastAsia" w:ascii="宋体" w:hAnsi="宋体" w:eastAsia="宋体" w:cs="宋体"/>
          <w:b/>
          <w:bCs/>
          <w:sz w:val="44"/>
          <w:szCs w:val="44"/>
        </w:rPr>
        <w:t>石家庄广播电视台</w:t>
      </w:r>
    </w:p>
    <w:p>
      <w:pPr>
        <w:widowControl w:val="0"/>
        <w:wordWrap/>
        <w:spacing w:line="360" w:lineRule="auto"/>
        <w:ind w:left="0" w:leftChars="0" w:right="0" w:firstLine="0" w:firstLineChars="0"/>
        <w:jc w:val="center"/>
        <w:textAlignment w:val="auto"/>
        <w:outlineLvl w:val="0"/>
        <w:rPr>
          <w:rFonts w:hint="eastAsia" w:ascii="宋体" w:hAnsi="宋体" w:eastAsia="宋体" w:cs="宋体"/>
          <w:b/>
          <w:bCs/>
          <w:sz w:val="44"/>
          <w:szCs w:val="44"/>
        </w:rPr>
      </w:pPr>
      <w:r>
        <w:rPr>
          <w:rFonts w:hint="eastAsia" w:ascii="宋体" w:hAnsi="宋体" w:cs="宋体"/>
          <w:b/>
          <w:bCs/>
          <w:sz w:val="44"/>
          <w:szCs w:val="44"/>
          <w:lang w:eastAsia="zh-CN"/>
        </w:rPr>
        <w:t>《我们的节日》</w:t>
      </w:r>
      <w:r>
        <w:rPr>
          <w:rFonts w:hint="eastAsia" w:ascii="宋体" w:hAnsi="宋体" w:eastAsia="宋体" w:cs="宋体"/>
          <w:b/>
          <w:bCs/>
          <w:sz w:val="44"/>
          <w:szCs w:val="44"/>
          <w:lang w:eastAsia="zh-CN"/>
        </w:rPr>
        <w:t>项目自评</w:t>
      </w:r>
      <w:r>
        <w:rPr>
          <w:rFonts w:hint="eastAsia" w:ascii="宋体" w:hAnsi="宋体" w:eastAsia="宋体" w:cs="宋体"/>
          <w:b/>
          <w:bCs/>
          <w:sz w:val="44"/>
          <w:szCs w:val="44"/>
        </w:rPr>
        <w:t>报告</w:t>
      </w:r>
    </w:p>
    <w:p>
      <w:pPr>
        <w:widowControl w:val="0"/>
        <w:wordWrap/>
        <w:spacing w:line="360" w:lineRule="auto"/>
        <w:ind w:left="0" w:leftChars="0" w:right="0" w:firstLine="0" w:firstLineChars="0"/>
        <w:jc w:val="center"/>
        <w:textAlignment w:val="auto"/>
        <w:outlineLvl w:val="9"/>
        <w:rPr>
          <w:rFonts w:hint="eastAsia" w:ascii="华文楷体" w:eastAsia="华文楷体"/>
          <w:sz w:val="32"/>
          <w:szCs w:val="32"/>
          <w:lang w:eastAsia="zh-CN"/>
        </w:rPr>
      </w:pPr>
    </w:p>
    <w:p>
      <w:pPr>
        <w:widowControl w:val="0"/>
        <w:wordWrap/>
        <w:adjustRightInd w:val="0"/>
        <w:snapToGrid w:val="0"/>
        <w:spacing w:line="360" w:lineRule="auto"/>
        <w:ind w:left="0" w:leftChars="0" w:right="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根据《</w:t>
      </w:r>
      <w:r>
        <w:rPr>
          <w:rFonts w:hint="eastAsia" w:ascii="仿宋_GB2312" w:eastAsia="仿宋_GB2312"/>
          <w:sz w:val="32"/>
          <w:szCs w:val="32"/>
          <w:lang w:eastAsia="zh-CN"/>
        </w:rPr>
        <w:t>石家庄市财政支出绩效评价办法</w:t>
      </w:r>
      <w:r>
        <w:rPr>
          <w:rFonts w:hint="eastAsia" w:ascii="仿宋_GB2312" w:eastAsia="仿宋_GB2312"/>
          <w:sz w:val="32"/>
          <w:szCs w:val="32"/>
        </w:rPr>
        <w:t>》</w:t>
      </w:r>
      <w:r>
        <w:rPr>
          <w:rFonts w:hint="eastAsia" w:ascii="仿宋_GB2312" w:eastAsia="仿宋_GB2312"/>
          <w:sz w:val="32"/>
          <w:szCs w:val="32"/>
          <w:lang w:eastAsia="zh-CN"/>
        </w:rPr>
        <w:t>（</w:t>
      </w:r>
      <w:r>
        <w:rPr>
          <w:rFonts w:hint="eastAsia" w:ascii="仿宋_GB2312" w:eastAsia="仿宋_GB2312"/>
          <w:sz w:val="32"/>
          <w:szCs w:val="32"/>
          <w:lang w:val="en-US" w:eastAsia="zh-CN"/>
        </w:rPr>
        <w:t>石财绩[2013]2号）</w:t>
      </w:r>
      <w:r>
        <w:rPr>
          <w:rFonts w:hint="eastAsia" w:ascii="仿宋_GB2312" w:eastAsia="仿宋_GB2312"/>
          <w:sz w:val="32"/>
          <w:szCs w:val="32"/>
        </w:rPr>
        <w:t>，遵循“科学性、规范性、客观性和公正性”的原则，对</w:t>
      </w:r>
      <w:r>
        <w:rPr>
          <w:rFonts w:hint="eastAsia" w:ascii="仿宋_GB2312" w:eastAsia="仿宋_GB2312"/>
          <w:sz w:val="32"/>
          <w:szCs w:val="32"/>
          <w:lang w:eastAsia="zh-CN"/>
        </w:rPr>
        <w:t>《我们的节日》项目</w:t>
      </w:r>
      <w:r>
        <w:rPr>
          <w:rFonts w:hint="eastAsia" w:ascii="仿宋_GB2312" w:eastAsia="仿宋_GB2312"/>
          <w:sz w:val="32"/>
          <w:szCs w:val="32"/>
        </w:rPr>
        <w:t>实施了</w:t>
      </w:r>
      <w:r>
        <w:rPr>
          <w:rFonts w:hint="eastAsia" w:ascii="仿宋_GB2312" w:eastAsia="仿宋_GB2312"/>
          <w:sz w:val="32"/>
          <w:szCs w:val="32"/>
          <w:lang w:eastAsia="zh-CN"/>
        </w:rPr>
        <w:t>财政支出绩效自评价</w:t>
      </w:r>
      <w:r>
        <w:rPr>
          <w:rFonts w:hint="eastAsia" w:ascii="仿宋_GB2312" w:eastAsia="仿宋_GB2312"/>
          <w:sz w:val="32"/>
          <w:szCs w:val="32"/>
        </w:rPr>
        <w:t>，形成本评价报告。</w:t>
      </w:r>
    </w:p>
    <w:p>
      <w:pPr>
        <w:widowControl w:val="0"/>
        <w:wordWrap/>
        <w:adjustRightInd w:val="0"/>
        <w:snapToGrid w:val="0"/>
        <w:spacing w:line="360" w:lineRule="auto"/>
        <w:ind w:left="0" w:leftChars="0" w:right="0"/>
        <w:textAlignment w:val="auto"/>
        <w:outlineLvl w:val="0"/>
        <w:rPr>
          <w:rFonts w:hint="eastAsia" w:ascii="黑体" w:eastAsia="黑体"/>
          <w:b/>
          <w:bCs/>
          <w:sz w:val="32"/>
          <w:szCs w:val="36"/>
        </w:rPr>
      </w:pPr>
      <w:r>
        <w:rPr>
          <w:rFonts w:hint="eastAsia" w:ascii="黑体" w:eastAsia="黑体"/>
          <w:sz w:val="32"/>
          <w:szCs w:val="32"/>
          <w:lang w:val="en-US" w:eastAsia="zh-CN"/>
        </w:rPr>
        <w:t xml:space="preserve">    </w:t>
      </w:r>
      <w:r>
        <w:rPr>
          <w:rFonts w:hint="eastAsia" w:ascii="黑体" w:eastAsia="黑体"/>
          <w:b w:val="0"/>
          <w:bCs w:val="0"/>
          <w:sz w:val="32"/>
          <w:szCs w:val="32"/>
        </w:rPr>
        <w:t>一、</w:t>
      </w:r>
      <w:r>
        <w:rPr>
          <w:rFonts w:hint="eastAsia" w:ascii="黑体" w:eastAsia="黑体"/>
          <w:b w:val="0"/>
          <w:bCs w:val="0"/>
          <w:sz w:val="32"/>
          <w:szCs w:val="32"/>
          <w:lang w:eastAsia="zh-CN"/>
        </w:rPr>
        <w:t>项目</w:t>
      </w:r>
      <w:r>
        <w:rPr>
          <w:rFonts w:hint="eastAsia" w:ascii="黑体" w:eastAsia="黑体"/>
          <w:b w:val="0"/>
          <w:bCs w:val="0"/>
          <w:sz w:val="32"/>
          <w:szCs w:val="36"/>
        </w:rPr>
        <w:t>基本情况</w:t>
      </w:r>
    </w:p>
    <w:p>
      <w:pPr>
        <w:widowControl w:val="0"/>
        <w:wordWrap/>
        <w:adjustRightInd w:val="0"/>
        <w:snapToGrid w:val="0"/>
        <w:spacing w:line="360" w:lineRule="auto"/>
        <w:ind w:left="0" w:leftChars="0" w:right="0" w:firstLine="643" w:firstLineChars="200"/>
        <w:textAlignment w:val="auto"/>
        <w:outlineLvl w:val="1"/>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（一）项目概况</w:t>
      </w:r>
    </w:p>
    <w:p>
      <w:pPr>
        <w:widowControl w:val="0"/>
        <w:wordWrap/>
        <w:adjustRightInd w:val="0"/>
        <w:snapToGrid w:val="0"/>
        <w:spacing w:line="360" w:lineRule="auto"/>
        <w:ind w:left="0" w:leftChars="0" w:right="0" w:firstLine="640" w:firstLineChars="200"/>
        <w:textAlignment w:val="auto"/>
        <w:outlineLvl w:val="2"/>
        <w:rPr>
          <w:rFonts w:hint="eastAsia" w:ascii="仿宋_GB2312" w:eastAsia="仿宋_GB2312"/>
          <w:sz w:val="32"/>
          <w:szCs w:val="32"/>
          <w:u w:val="none"/>
          <w:lang w:eastAsia="zh-CN"/>
        </w:rPr>
      </w:pPr>
      <w:r>
        <w:rPr>
          <w:rFonts w:hint="eastAsia" w:ascii="仿宋_GB2312" w:eastAsia="仿宋_GB2312"/>
          <w:sz w:val="32"/>
          <w:szCs w:val="32"/>
          <w:u w:val="none"/>
        </w:rPr>
        <w:t>1、</w:t>
      </w:r>
      <w:r>
        <w:rPr>
          <w:rFonts w:hint="eastAsia" w:ascii="仿宋_GB2312" w:eastAsia="仿宋_GB2312"/>
          <w:sz w:val="32"/>
          <w:szCs w:val="32"/>
          <w:u w:val="none"/>
          <w:lang w:eastAsia="zh-CN"/>
        </w:rPr>
        <w:t>项目实施单位及项目立项等基本情况；</w:t>
      </w:r>
    </w:p>
    <w:p>
      <w:pPr>
        <w:widowControl w:val="0"/>
        <w:wordWrap/>
        <w:adjustRightInd w:val="0"/>
        <w:snapToGrid w:val="0"/>
        <w:spacing w:line="360" w:lineRule="auto"/>
        <w:ind w:left="0" w:leftChars="0" w:right="0" w:firstLine="640" w:firstLineChars="200"/>
        <w:textAlignment w:val="auto"/>
        <w:outlineLvl w:val="9"/>
        <w:rPr>
          <w:rFonts w:hint="eastAsia" w:ascii="仿宋_GB2312" w:eastAsia="仿宋_GB2312"/>
          <w:color w:val="auto"/>
          <w:sz w:val="32"/>
          <w:szCs w:val="32"/>
          <w:u w:val="none"/>
          <w:lang w:eastAsia="zh-CN"/>
        </w:rPr>
      </w:pPr>
      <w:r>
        <w:rPr>
          <w:rFonts w:hint="eastAsia" w:ascii="仿宋_GB2312" w:eastAsia="仿宋_GB2312"/>
          <w:color w:val="auto"/>
          <w:sz w:val="32"/>
          <w:szCs w:val="32"/>
          <w:u w:val="none"/>
          <w:lang w:eastAsia="zh-CN"/>
        </w:rPr>
        <w:t>项目实施单位基本情况：石家庄广播电视台是市委直属事业单位，由市委宣传部领导。拥有新闻综合、娱乐、生活、都市4个电视频道，新闻、经济、音乐、农村、交通5个广播频率，以及新媒体中心、地铁电视等12家子媒体。石家庄广电传媒集团有限公司是石家庄广播电视台出资成立的台属、台控、台管的独资企业集团公司，下辖10个全资子公司和11个控参股公司，从事节目制作、广告经营、活动营销、产业拓展等业务。全台现有职工</w:t>
      </w:r>
      <w:r>
        <w:rPr>
          <w:rFonts w:hint="eastAsia" w:ascii="仿宋_GB2312" w:eastAsia="仿宋_GB2312"/>
          <w:color w:val="auto"/>
          <w:sz w:val="32"/>
          <w:szCs w:val="32"/>
          <w:u w:val="none"/>
          <w:lang w:val="en-US" w:eastAsia="zh-CN"/>
        </w:rPr>
        <w:t>940</w:t>
      </w:r>
      <w:r>
        <w:rPr>
          <w:rFonts w:hint="eastAsia" w:ascii="仿宋_GB2312" w:eastAsia="仿宋_GB2312"/>
          <w:color w:val="auto"/>
          <w:sz w:val="32"/>
          <w:szCs w:val="32"/>
          <w:u w:val="none"/>
          <w:lang w:eastAsia="zh-CN"/>
        </w:rPr>
        <w:t>人，在编正式员工</w:t>
      </w:r>
      <w:r>
        <w:rPr>
          <w:rFonts w:hint="eastAsia" w:ascii="仿宋_GB2312" w:eastAsia="仿宋_GB2312"/>
          <w:color w:val="auto"/>
          <w:sz w:val="32"/>
          <w:szCs w:val="32"/>
          <w:u w:val="none"/>
          <w:lang w:val="en-US" w:eastAsia="zh-CN"/>
        </w:rPr>
        <w:t>274</w:t>
      </w:r>
      <w:r>
        <w:rPr>
          <w:rFonts w:hint="eastAsia" w:ascii="仿宋_GB2312" w:eastAsia="仿宋_GB2312"/>
          <w:color w:val="auto"/>
          <w:sz w:val="32"/>
          <w:szCs w:val="32"/>
          <w:u w:val="none"/>
          <w:lang w:eastAsia="zh-CN"/>
        </w:rPr>
        <w:t>人，岗位聘用员工</w:t>
      </w:r>
      <w:r>
        <w:rPr>
          <w:rFonts w:hint="eastAsia" w:ascii="仿宋_GB2312" w:eastAsia="仿宋_GB2312"/>
          <w:color w:val="auto"/>
          <w:sz w:val="32"/>
          <w:szCs w:val="32"/>
          <w:u w:val="none"/>
          <w:lang w:val="en-US" w:eastAsia="zh-CN"/>
        </w:rPr>
        <w:t>666</w:t>
      </w:r>
      <w:r>
        <w:rPr>
          <w:rFonts w:hint="eastAsia" w:ascii="仿宋_GB2312" w:eastAsia="仿宋_GB2312"/>
          <w:color w:val="auto"/>
          <w:sz w:val="32"/>
          <w:szCs w:val="32"/>
          <w:u w:val="none"/>
          <w:lang w:eastAsia="zh-CN"/>
        </w:rPr>
        <w:t>人。</w:t>
      </w:r>
    </w:p>
    <w:p>
      <w:pPr>
        <w:keepNext w:val="0"/>
        <w:keepLines w:val="0"/>
        <w:pageBreakBefore w:val="0"/>
        <w:widowControl w:val="0"/>
        <w:kinsoku/>
        <w:wordWrap/>
        <w:overflowPunct/>
        <w:topLinePunct w:val="0"/>
        <w:autoSpaceDE/>
        <w:autoSpaceDN/>
        <w:bidi w:val="0"/>
        <w:adjustRightInd w:val="0"/>
        <w:snapToGrid w:val="0"/>
        <w:spacing w:line="360" w:lineRule="auto"/>
        <w:ind w:right="0" w:firstLine="640" w:firstLineChars="200"/>
        <w:textAlignment w:val="auto"/>
        <w:outlineLvl w:val="9"/>
        <w:rPr>
          <w:rFonts w:hint="eastAsia" w:ascii="仿宋_GB2312" w:eastAsia="仿宋_GB2312"/>
          <w:color w:val="auto"/>
          <w:sz w:val="32"/>
          <w:szCs w:val="32"/>
          <w:u w:val="none"/>
          <w:lang w:eastAsia="zh-CN"/>
        </w:rPr>
      </w:pPr>
      <w:r>
        <w:rPr>
          <w:rFonts w:hint="eastAsia" w:ascii="仿宋_GB2312" w:eastAsia="仿宋_GB2312"/>
          <w:color w:val="auto"/>
          <w:sz w:val="32"/>
          <w:szCs w:val="32"/>
          <w:u w:val="none"/>
          <w:lang w:eastAsia="zh-CN"/>
        </w:rPr>
        <w:t>近两年来，我台在市委市政府、市委宣传部正确领导下，积极应对严峻的生存压力和发展挑战，努力改革创新、开拓进取。始终坚持新闻立台、政治家办台理念，围绕中心，服务大局，舆论引导正确有力；推进节目创新创优，时政、民生类栏目品质不断提升，一批广播电视作品获得国家、省市奖项；开展各类媒体活动，不断扩大广电影响力；稳固广播广告收入,改革激发了电视广告创收潜力；积极探索产业项目，推进广电转型发展；媒体融合经验受到省市领导表扬，在全省予以推广；广播调频、电视播控基本实现了数字化、网络化、高清化，强化技术保障，确保了市委市政府各项重要活动安全优质播出；加强队伍建设，全台形成了风清气正、干事创业的良好氛围；荣获第五届全国文明单位称号，成为我台历史上的最高荣誉</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640" w:firstLineChars="200"/>
        <w:textAlignment w:val="auto"/>
        <w:outlineLvl w:val="9"/>
        <w:rPr>
          <w:rFonts w:hint="eastAsia" w:ascii="仿宋" w:hAnsi="仿宋" w:eastAsia="仿宋" w:cs="仿宋"/>
          <w:sz w:val="32"/>
          <w:szCs w:val="32"/>
          <w:lang w:eastAsia="zh-CN"/>
        </w:rPr>
      </w:pPr>
      <w:r>
        <w:rPr>
          <w:rFonts w:hint="eastAsia" w:ascii="仿宋_GB2312" w:eastAsia="仿宋_GB2312"/>
          <w:sz w:val="32"/>
          <w:szCs w:val="32"/>
          <w:lang w:eastAsia="zh-CN"/>
        </w:rPr>
        <w:t>项目立项基本情况：</w:t>
      </w:r>
      <w:r>
        <w:rPr>
          <w:rFonts w:hint="eastAsia" w:ascii="仿宋" w:hAnsi="仿宋" w:eastAsia="仿宋" w:cs="仿宋"/>
          <w:sz w:val="32"/>
          <w:szCs w:val="32"/>
        </w:rPr>
        <w:t>按照中央文明办关于广泛开展“我们的节日”主题活动的有关精神，全面贯彻党的十九大，大力弘扬中华民族优秀传统文化，充分发挥民族传统节日思想熏陶和文化教育功能，围绕培育和践行社会主义核心价值观这个根本，以春节、元宵节、清明节、端午节、七夕节、中秋节、重阳节为重点，广泛发动摄影爱好者积极参与，记录新时代人民丰富多彩的节日生活，宣传普及传统节日习俗，引导市民深化对中华优秀传统文化的认知认同，增强文化自觉和文化自信，增进爱党爱国爱社会主义情感，汇聚起同心共筑中国梦的磅礴力量</w:t>
      </w:r>
      <w:r>
        <w:rPr>
          <w:rFonts w:hint="eastAsia" w:ascii="仿宋" w:hAnsi="仿宋" w:eastAsia="仿宋" w:cs="仿宋"/>
          <w:sz w:val="32"/>
          <w:szCs w:val="32"/>
          <w:lang w:eastAsia="zh-CN"/>
        </w:rPr>
        <w:t>。</w:t>
      </w:r>
    </w:p>
    <w:p>
      <w:pPr>
        <w:widowControl w:val="0"/>
        <w:wordWrap/>
        <w:adjustRightInd w:val="0"/>
        <w:snapToGrid w:val="0"/>
        <w:spacing w:line="360" w:lineRule="auto"/>
        <w:ind w:left="0" w:leftChars="0" w:right="0" w:firstLine="643" w:firstLineChars="200"/>
        <w:textAlignment w:val="auto"/>
        <w:outlineLvl w:val="1"/>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（二）项目</w:t>
      </w:r>
      <w:r>
        <w:rPr>
          <w:rFonts w:hint="eastAsia" w:ascii="楷体_GB2312" w:hAnsi="楷体_GB2312" w:eastAsia="楷体_GB2312" w:cs="楷体_GB2312"/>
          <w:b/>
          <w:bCs/>
          <w:sz w:val="32"/>
          <w:szCs w:val="32"/>
          <w:lang w:eastAsia="zh-CN"/>
        </w:rPr>
        <w:t>预期</w:t>
      </w:r>
      <w:r>
        <w:rPr>
          <w:rFonts w:hint="eastAsia" w:ascii="楷体_GB2312" w:hAnsi="楷体_GB2312" w:eastAsia="楷体_GB2312" w:cs="楷体_GB2312"/>
          <w:b/>
          <w:bCs/>
          <w:sz w:val="32"/>
          <w:szCs w:val="32"/>
        </w:rPr>
        <w:t>绩效目标</w:t>
      </w:r>
    </w:p>
    <w:p>
      <w:pPr>
        <w:jc w:val="left"/>
        <w:rPr>
          <w:rFonts w:hint="eastAsia" w:eastAsia="宋体"/>
          <w:lang w:eastAsia="zh-CN"/>
        </w:rPr>
      </w:pPr>
      <w:r>
        <w:rPr>
          <w:rFonts w:hint="eastAsia" w:ascii="仿宋_GB2312" w:eastAsia="仿宋_GB2312"/>
          <w:sz w:val="32"/>
          <w:szCs w:val="32"/>
        </w:rPr>
        <w:t>项目</w:t>
      </w:r>
      <w:r>
        <w:rPr>
          <w:rFonts w:hint="eastAsia" w:ascii="仿宋_GB2312" w:eastAsia="仿宋_GB2312"/>
          <w:sz w:val="32"/>
          <w:szCs w:val="32"/>
          <w:lang w:eastAsia="zh-CN"/>
        </w:rPr>
        <w:t>预期</w:t>
      </w:r>
      <w:r>
        <w:rPr>
          <w:rFonts w:hint="eastAsia" w:ascii="仿宋_GB2312" w:eastAsia="仿宋_GB2312"/>
          <w:sz w:val="32"/>
          <w:szCs w:val="32"/>
        </w:rPr>
        <w:t>绩效</w:t>
      </w:r>
      <w:r>
        <w:rPr>
          <w:rFonts w:hint="eastAsia" w:ascii="仿宋_GB2312" w:eastAsia="仿宋_GB2312"/>
          <w:sz w:val="32"/>
          <w:szCs w:val="32"/>
          <w:lang w:eastAsia="zh-CN"/>
        </w:rPr>
        <w:t>目标和指标：该活动通过不同的主题和形式，发挥民族传统节日思想熏陶和文化教育功能，提高了百姓的文化自觉和文化自信。活动在各地方组织现场活动以外，活动现场的内容通过消息的形式在石家庄台及新媒体平台的全媒体播出，以全新的表现手段推动了市民深入了解中华优秀传统文化。得到社会广大认可，受到较大反响，提升了老百姓对传统节日的为新闻认知激发市民对传统节日的热情，结合城市新风貌和地标，展现祖国欣欣向荣、生机勃勃的时代主旋律。每场活动完成后将</w:t>
      </w:r>
      <w:r>
        <w:rPr>
          <w:rFonts w:hint="eastAsia" w:ascii="仿宋_GB2312" w:eastAsia="仿宋_GB2312"/>
          <w:sz w:val="32"/>
          <w:szCs w:val="32"/>
          <w:u w:val="none"/>
          <w:lang w:eastAsia="zh-CN"/>
        </w:rPr>
        <w:t>在石家庄台播出，同时在</w:t>
      </w:r>
      <w:r>
        <w:rPr>
          <w:rFonts w:hint="eastAsia" w:ascii="仿宋_GB2312" w:eastAsia="仿宋_GB2312"/>
          <w:color w:val="auto"/>
          <w:sz w:val="32"/>
          <w:szCs w:val="32"/>
          <w:u w:val="none"/>
          <w:lang w:val="en-US" w:eastAsia="zh-CN"/>
        </w:rPr>
        <w:t>无线石家庄、石家庄发布、</w:t>
      </w:r>
      <w:r>
        <w:rPr>
          <w:rFonts w:hint="eastAsia" w:ascii="仿宋_GB2312" w:eastAsia="仿宋_GB2312"/>
          <w:sz w:val="32"/>
          <w:szCs w:val="32"/>
          <w:u w:val="none"/>
          <w:lang w:eastAsia="zh-CN"/>
        </w:rPr>
        <w:t>今日头条等新媒体平台播出。</w:t>
      </w:r>
    </w:p>
    <w:p>
      <w:pPr>
        <w:widowControl w:val="0"/>
        <w:wordWrap/>
        <w:adjustRightInd w:val="0"/>
        <w:snapToGrid w:val="0"/>
        <w:spacing w:line="360" w:lineRule="auto"/>
        <w:ind w:left="0" w:leftChars="0" w:right="0" w:firstLine="640" w:firstLineChars="200"/>
        <w:textAlignment w:val="auto"/>
        <w:outlineLvl w:val="0"/>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eastAsia="zh-CN"/>
        </w:rPr>
        <w:t>二、自评工作情况</w:t>
      </w:r>
    </w:p>
    <w:p>
      <w:pPr>
        <w:widowControl w:val="0"/>
        <w:wordWrap/>
        <w:spacing w:line="360" w:lineRule="auto"/>
        <w:ind w:left="0" w:leftChars="0" w:right="0" w:firstLine="0" w:firstLineChars="0"/>
        <w:jc w:val="both"/>
        <w:textAlignment w:val="auto"/>
        <w:outlineLvl w:val="1"/>
        <w:rPr>
          <w:rFonts w:hint="eastAsia" w:ascii="楷体_GB2312" w:hAnsi="楷体_GB2312" w:eastAsia="楷体_GB2312" w:cs="楷体_GB2312"/>
          <w:sz w:val="32"/>
          <w:szCs w:val="32"/>
          <w:lang w:val="en-US" w:eastAsia="zh-CN"/>
        </w:rPr>
      </w:pPr>
      <w:r>
        <w:rPr>
          <w:rFonts w:hint="eastAsia" w:ascii="仿宋_GB2312" w:eastAsia="仿宋_GB2312"/>
          <w:sz w:val="32"/>
          <w:szCs w:val="32"/>
          <w:lang w:val="en-US" w:eastAsia="zh-CN"/>
        </w:rPr>
        <w:t xml:space="preserve">    </w:t>
      </w:r>
      <w:r>
        <w:rPr>
          <w:rFonts w:hint="eastAsia" w:ascii="楷体_GB2312" w:hAnsi="楷体_GB2312" w:eastAsia="楷体_GB2312" w:cs="楷体_GB2312"/>
          <w:b/>
          <w:bCs/>
          <w:sz w:val="32"/>
          <w:szCs w:val="32"/>
          <w:lang w:val="en-US" w:eastAsia="zh-CN"/>
        </w:rPr>
        <w:t>（一）自评的组织工作</w:t>
      </w:r>
    </w:p>
    <w:p>
      <w:pPr>
        <w:widowControl w:val="0"/>
        <w:numPr>
          <w:ilvl w:val="0"/>
          <w:numId w:val="0"/>
        </w:numPr>
        <w:wordWrap/>
        <w:spacing w:line="360" w:lineRule="auto"/>
        <w:ind w:left="0" w:leftChars="0" w:right="0" w:firstLine="640"/>
        <w:textAlignment w:val="auto"/>
        <w:outlineLvl w:val="9"/>
        <w:rPr>
          <w:rFonts w:hint="eastAsia" w:ascii="仿宋_GB2312" w:eastAsia="仿宋_GB2312"/>
          <w:sz w:val="32"/>
          <w:szCs w:val="32"/>
          <w:u w:val="none"/>
        </w:rPr>
      </w:pPr>
      <w:r>
        <w:rPr>
          <w:rFonts w:hint="eastAsia" w:ascii="仿宋_GB2312" w:eastAsia="仿宋_GB2312"/>
          <w:sz w:val="32"/>
          <w:szCs w:val="32"/>
          <w:u w:val="none"/>
        </w:rPr>
        <w:t>我台对项目评价工作非常重视，成立了石家庄广播电视台</w:t>
      </w:r>
      <w:r>
        <w:rPr>
          <w:rFonts w:hint="eastAsia" w:ascii="仿宋_GB2312" w:eastAsia="仿宋_GB2312"/>
          <w:sz w:val="32"/>
          <w:szCs w:val="32"/>
          <w:u w:val="none"/>
          <w:lang w:eastAsia="zh-CN"/>
        </w:rPr>
        <w:t>《我们的节日》</w:t>
      </w:r>
      <w:r>
        <w:rPr>
          <w:rFonts w:hint="eastAsia" w:ascii="仿宋_GB2312" w:eastAsia="仿宋_GB2312"/>
          <w:sz w:val="32"/>
          <w:szCs w:val="32"/>
          <w:u w:val="none"/>
        </w:rPr>
        <w:t>项目绩效自评工作组。由</w:t>
      </w:r>
      <w:r>
        <w:rPr>
          <w:rFonts w:hint="eastAsia" w:ascii="仿宋_GB2312" w:eastAsia="仿宋_GB2312"/>
          <w:sz w:val="32"/>
          <w:szCs w:val="32"/>
          <w:u w:val="none"/>
          <w:lang w:eastAsia="zh-CN"/>
        </w:rPr>
        <w:t>刘兵总监</w:t>
      </w:r>
      <w:r>
        <w:rPr>
          <w:rFonts w:hint="eastAsia" w:ascii="仿宋_GB2312" w:eastAsia="仿宋_GB2312"/>
          <w:sz w:val="32"/>
          <w:szCs w:val="32"/>
          <w:u w:val="none"/>
        </w:rPr>
        <w:t>任组长。成员包括</w:t>
      </w:r>
      <w:r>
        <w:rPr>
          <w:rFonts w:hint="eastAsia" w:ascii="仿宋_GB2312" w:eastAsia="仿宋_GB2312"/>
          <w:sz w:val="32"/>
          <w:szCs w:val="32"/>
          <w:u w:val="none"/>
          <w:lang w:eastAsia="zh-CN"/>
        </w:rPr>
        <w:t>副总监翟刚，制片人李诚、王少锋等</w:t>
      </w:r>
      <w:r>
        <w:rPr>
          <w:rFonts w:hint="eastAsia" w:ascii="仿宋_GB2312" w:eastAsia="仿宋_GB2312"/>
          <w:sz w:val="32"/>
          <w:szCs w:val="32"/>
          <w:u w:val="none"/>
        </w:rPr>
        <w:t>。</w:t>
      </w:r>
    </w:p>
    <w:p>
      <w:pPr>
        <w:widowControl w:val="0"/>
        <w:numPr>
          <w:ilvl w:val="0"/>
          <w:numId w:val="0"/>
        </w:numPr>
        <w:wordWrap/>
        <w:spacing w:line="360" w:lineRule="auto"/>
        <w:ind w:left="0" w:leftChars="0" w:right="0" w:firstLine="640"/>
        <w:textAlignment w:val="auto"/>
        <w:outlineLvl w:val="9"/>
        <w:rPr>
          <w:rFonts w:hint="eastAsia" w:ascii="仿宋_GB2312" w:eastAsia="仿宋_GB2312"/>
          <w:color w:val="auto"/>
          <w:sz w:val="32"/>
          <w:szCs w:val="32"/>
          <w:u w:val="none"/>
        </w:rPr>
      </w:pPr>
      <w:r>
        <w:rPr>
          <w:rFonts w:hint="eastAsia" w:ascii="仿宋_GB2312" w:eastAsia="仿宋_GB2312"/>
          <w:color w:val="auto"/>
          <w:sz w:val="32"/>
          <w:szCs w:val="32"/>
          <w:u w:val="none"/>
        </w:rPr>
        <w:t>工作组及时召开专门会议，组织有关技术人员进行了认真学习相关法律文件。并按照要求逐项搞好资料检查和现场调查，收集相关评价资料。</w:t>
      </w:r>
    </w:p>
    <w:p>
      <w:pPr>
        <w:widowControl w:val="0"/>
        <w:numPr>
          <w:ilvl w:val="0"/>
          <w:numId w:val="1"/>
        </w:numPr>
        <w:wordWrap/>
        <w:spacing w:line="360" w:lineRule="auto"/>
        <w:ind w:left="642" w:leftChars="0" w:right="0" w:firstLine="0" w:firstLineChars="0"/>
        <w:jc w:val="both"/>
        <w:textAlignment w:val="auto"/>
        <w:outlineLvl w:val="1"/>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自评的方法和过程</w:t>
      </w:r>
    </w:p>
    <w:p>
      <w:pPr>
        <w:widowControl w:val="0"/>
        <w:numPr>
          <w:ilvl w:val="0"/>
          <w:numId w:val="0"/>
        </w:numPr>
        <w:wordWrap/>
        <w:spacing w:line="360" w:lineRule="auto"/>
        <w:ind w:left="0" w:leftChars="0" w:right="0" w:firstLine="640"/>
        <w:textAlignment w:val="auto"/>
        <w:outlineLvl w:val="2"/>
        <w:rPr>
          <w:rFonts w:hint="eastAsia" w:ascii="仿宋_GB2312" w:eastAsia="仿宋_GB2312"/>
          <w:sz w:val="32"/>
          <w:szCs w:val="32"/>
          <w:lang w:val="en-US" w:eastAsia="zh-CN"/>
        </w:rPr>
      </w:pPr>
      <w:r>
        <w:rPr>
          <w:rFonts w:hint="eastAsia" w:ascii="仿宋_GB2312" w:eastAsia="仿宋_GB2312"/>
          <w:sz w:val="32"/>
          <w:szCs w:val="32"/>
          <w:lang w:val="en-US" w:eastAsia="zh-CN"/>
        </w:rPr>
        <w:t>1、制定了项目绩效自评打分标准和项目绩效自评打分表。</w:t>
      </w:r>
    </w:p>
    <w:p>
      <w:pPr>
        <w:widowControl w:val="0"/>
        <w:numPr>
          <w:ilvl w:val="0"/>
          <w:numId w:val="0"/>
        </w:numPr>
        <w:wordWrap/>
        <w:spacing w:line="360" w:lineRule="auto"/>
        <w:ind w:left="0" w:leftChars="0" w:right="0" w:firstLine="640"/>
        <w:textAlignment w:val="auto"/>
        <w:outlineLvl w:val="2"/>
        <w:rPr>
          <w:rFonts w:hint="eastAsia" w:ascii="仿宋_GB2312" w:eastAsia="仿宋_GB2312"/>
          <w:sz w:val="32"/>
          <w:szCs w:val="32"/>
          <w:lang w:val="en-US" w:eastAsia="zh-CN"/>
        </w:rPr>
      </w:pPr>
      <w:r>
        <w:rPr>
          <w:rFonts w:hint="eastAsia" w:ascii="仿宋_GB2312" w:eastAsia="仿宋_GB2312"/>
          <w:sz w:val="32"/>
          <w:szCs w:val="32"/>
          <w:lang w:val="en-US" w:eastAsia="zh-CN"/>
        </w:rPr>
        <w:t>2、评价工作组采用对照方法，按财政要求从项目产出指标、预算执行率指标、播出效益指标、播出社会满意度指标四个方面，对照实际执行情况进行评价打分。</w:t>
      </w:r>
    </w:p>
    <w:p>
      <w:pPr>
        <w:widowControl w:val="0"/>
        <w:numPr>
          <w:ilvl w:val="0"/>
          <w:numId w:val="0"/>
        </w:numPr>
        <w:wordWrap/>
        <w:spacing w:line="360" w:lineRule="auto"/>
        <w:ind w:left="0" w:leftChars="0" w:right="0" w:firstLine="640"/>
        <w:textAlignment w:val="auto"/>
        <w:outlineLvl w:val="2"/>
        <w:rPr>
          <w:rFonts w:hint="eastAsia" w:ascii="仿宋_GB2312" w:eastAsia="仿宋_GB2312"/>
          <w:sz w:val="32"/>
          <w:szCs w:val="32"/>
          <w:lang w:val="en-US" w:eastAsia="zh-CN"/>
        </w:rPr>
      </w:pPr>
      <w:r>
        <w:rPr>
          <w:rFonts w:hint="eastAsia" w:ascii="仿宋_GB2312" w:eastAsia="仿宋_GB2312"/>
          <w:sz w:val="32"/>
          <w:szCs w:val="32"/>
          <w:lang w:val="en-US" w:eastAsia="zh-CN"/>
        </w:rPr>
        <w:t>3、评价工作组根据绩效评价结果撰写绩效评价报告。</w:t>
      </w:r>
    </w:p>
    <w:p>
      <w:pPr>
        <w:widowControl w:val="0"/>
        <w:numPr>
          <w:ilvl w:val="0"/>
          <w:numId w:val="0"/>
        </w:numPr>
        <w:wordWrap/>
        <w:spacing w:line="360" w:lineRule="auto"/>
        <w:ind w:left="0" w:leftChars="0" w:right="0"/>
        <w:jc w:val="both"/>
        <w:textAlignment w:val="auto"/>
        <w:outlineLvl w:val="1"/>
        <w:rPr>
          <w:rFonts w:hint="eastAsia" w:ascii="仿宋_GB2312" w:eastAsia="仿宋_GB2312"/>
          <w:b/>
          <w:bCs/>
          <w:sz w:val="32"/>
          <w:szCs w:val="32"/>
          <w:lang w:val="en-US" w:eastAsia="zh-CN"/>
        </w:rPr>
      </w:pPr>
      <w:r>
        <w:rPr>
          <w:rFonts w:hint="eastAsia" w:ascii="楷体_GB2312" w:hAnsi="楷体_GB2312" w:eastAsia="楷体_GB2312" w:cs="楷体_GB2312"/>
          <w:b/>
          <w:bCs/>
          <w:sz w:val="32"/>
          <w:szCs w:val="32"/>
          <w:lang w:val="en-US" w:eastAsia="zh-CN"/>
        </w:rPr>
        <w:t xml:space="preserve">    （三）建立绩效评价指标体系</w:t>
      </w:r>
    </w:p>
    <w:p>
      <w:pPr>
        <w:widowControl w:val="0"/>
        <w:wordWrap/>
        <w:spacing w:line="360" w:lineRule="auto"/>
        <w:ind w:left="0" w:leftChars="0" w:right="0" w:firstLine="640" w:firstLineChars="200"/>
        <w:jc w:val="both"/>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rPr>
        <w:t>制定了项目绩效自评打分</w:t>
      </w:r>
      <w:r>
        <w:rPr>
          <w:rFonts w:hint="eastAsia" w:ascii="仿宋" w:hAnsi="仿宋" w:eastAsia="仿宋" w:cs="仿宋"/>
          <w:sz w:val="32"/>
          <w:szCs w:val="32"/>
          <w:lang w:eastAsia="zh-CN"/>
        </w:rPr>
        <w:t>标</w:t>
      </w:r>
      <w:r>
        <w:rPr>
          <w:rFonts w:hint="eastAsia" w:ascii="仿宋" w:hAnsi="仿宋" w:eastAsia="仿宋" w:cs="仿宋"/>
          <w:sz w:val="32"/>
          <w:szCs w:val="32"/>
        </w:rPr>
        <w:t>准</w:t>
      </w:r>
      <w:r>
        <w:rPr>
          <w:rFonts w:hint="eastAsia" w:ascii="仿宋" w:hAnsi="仿宋" w:eastAsia="仿宋" w:cs="仿宋"/>
          <w:sz w:val="32"/>
          <w:szCs w:val="32"/>
          <w:lang w:eastAsia="zh-CN"/>
        </w:rPr>
        <w:t>并完成了</w:t>
      </w:r>
      <w:r>
        <w:rPr>
          <w:rFonts w:hint="eastAsia" w:ascii="仿宋" w:hAnsi="仿宋" w:eastAsia="仿宋" w:cs="仿宋"/>
          <w:sz w:val="32"/>
          <w:szCs w:val="32"/>
        </w:rPr>
        <w:t>项目绩效自评打分表</w:t>
      </w:r>
      <w:r>
        <w:rPr>
          <w:rFonts w:hint="eastAsia" w:ascii="仿宋" w:hAnsi="仿宋" w:eastAsia="仿宋" w:cs="仿宋"/>
          <w:sz w:val="32"/>
          <w:szCs w:val="32"/>
          <w:lang w:eastAsia="zh-CN"/>
        </w:rPr>
        <w:t>。</w:t>
      </w:r>
    </w:p>
    <w:p>
      <w:pPr>
        <w:widowControl w:val="0"/>
        <w:wordWrap/>
        <w:spacing w:line="360" w:lineRule="auto"/>
        <w:ind w:right="0"/>
        <w:jc w:val="center"/>
        <w:textAlignment w:val="auto"/>
        <w:outlineLvl w:val="1"/>
        <w:rPr>
          <w:rFonts w:hint="eastAsia" w:ascii="仿宋" w:hAnsi="仿宋" w:eastAsia="仿宋" w:cs="仿宋"/>
          <w:sz w:val="32"/>
          <w:szCs w:val="32"/>
          <w:lang w:eastAsia="zh-CN"/>
        </w:rPr>
      </w:pPr>
      <w:r>
        <w:rPr>
          <w:rFonts w:hint="eastAsia" w:ascii="仿宋" w:hAnsi="仿宋" w:eastAsia="仿宋" w:cs="仿宋"/>
          <w:sz w:val="32"/>
          <w:szCs w:val="32"/>
          <w:lang w:eastAsia="zh-CN"/>
        </w:rPr>
        <w:t>《我们的节日》项目绩效评价指标体系</w:t>
      </w:r>
    </w:p>
    <w:tbl>
      <w:tblPr>
        <w:tblStyle w:val="6"/>
        <w:tblW w:w="85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830"/>
        <w:gridCol w:w="1310"/>
        <w:gridCol w:w="964"/>
        <w:gridCol w:w="1245"/>
        <w:gridCol w:w="771"/>
        <w:gridCol w:w="1403"/>
        <w:gridCol w:w="900"/>
        <w:gridCol w:w="15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5" w:hRule="atLeast"/>
        </w:trPr>
        <w:tc>
          <w:tcPr>
            <w:tcW w:w="803" w:type="dxa"/>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ascii="仿宋_GB2312" w:hAnsi="宋体" w:eastAsia="仿宋_GB2312" w:cs="仿宋_GB2312"/>
                <w:i w:val="0"/>
                <w:color w:val="000000"/>
                <w:sz w:val="32"/>
                <w:szCs w:val="32"/>
                <w:u w:val="none"/>
              </w:rPr>
            </w:pPr>
          </w:p>
        </w:tc>
        <w:tc>
          <w:tcPr>
            <w:tcW w:w="932" w:type="dxa"/>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964" w:type="dxa"/>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1245" w:type="dxa"/>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771" w:type="dxa"/>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1403" w:type="dxa"/>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900" w:type="dxa"/>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1554" w:type="dxa"/>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0" w:hRule="atLeast"/>
        </w:trPr>
        <w:tc>
          <w:tcPr>
            <w:tcW w:w="0" w:type="auto"/>
            <w:gridSpan w:val="8"/>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方正小标宋_GBK" w:hAnsi="方正小标宋_GBK" w:eastAsia="方正小标宋_GBK" w:cs="方正小标宋_GBK"/>
                <w:i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trPr>
        <w:tc>
          <w:tcPr>
            <w:tcW w:w="0" w:type="auto"/>
            <w:gridSpan w:val="8"/>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both"/>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2020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 w:hRule="atLeast"/>
        </w:trPr>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填报单位：</w:t>
            </w: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石家庄广播电视台</w:t>
            </w:r>
          </w:p>
        </w:tc>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0" w:hRule="atLeast"/>
        </w:trPr>
        <w:tc>
          <w:tcPr>
            <w:tcW w:w="80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Style w:val="12"/>
                <w:lang w:val="en-US" w:eastAsia="zh-CN" w:bidi="ar"/>
              </w:rPr>
              <w:t>一、</w:t>
            </w:r>
            <w:r>
              <w:rPr>
                <w:rFonts w:ascii="Calibri" w:hAnsi="Calibri" w:eastAsia="宋体" w:cs="Calibri"/>
                <w:i w:val="0"/>
                <w:color w:val="000000"/>
                <w:kern w:val="0"/>
                <w:sz w:val="16"/>
                <w:szCs w:val="16"/>
                <w:u w:val="none"/>
                <w:lang w:val="en-US" w:eastAsia="zh-CN" w:bidi="ar"/>
              </w:rPr>
              <w:t xml:space="preserve"> </w:t>
            </w:r>
            <w:r>
              <w:rPr>
                <w:rStyle w:val="12"/>
                <w:lang w:val="en-US" w:eastAsia="zh-CN" w:bidi="ar"/>
              </w:rPr>
              <w:t>基本情况</w:t>
            </w:r>
          </w:p>
        </w:tc>
        <w:tc>
          <w:tcPr>
            <w:tcW w:w="9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项目名称</w:t>
            </w:r>
          </w:p>
        </w:tc>
        <w:tc>
          <w:tcPr>
            <w:tcW w:w="220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我们的节日</w:t>
            </w:r>
          </w:p>
        </w:tc>
        <w:tc>
          <w:tcPr>
            <w:tcW w:w="7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实施(主管）单位</w:t>
            </w:r>
          </w:p>
        </w:tc>
        <w:tc>
          <w:tcPr>
            <w:tcW w:w="385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石家庄广播电视台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80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二、预算执行情况</w:t>
            </w:r>
          </w:p>
        </w:tc>
        <w:tc>
          <w:tcPr>
            <w:tcW w:w="189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预算安排情况（调整后）</w:t>
            </w:r>
          </w:p>
        </w:tc>
        <w:tc>
          <w:tcPr>
            <w:tcW w:w="201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资金到位情况</w:t>
            </w:r>
          </w:p>
        </w:tc>
        <w:tc>
          <w:tcPr>
            <w:tcW w:w="230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资金执行情况</w:t>
            </w:r>
          </w:p>
        </w:tc>
        <w:tc>
          <w:tcPr>
            <w:tcW w:w="15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预算执行进度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80" w:hRule="atLeast"/>
        </w:trPr>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预算数：</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10</w:t>
            </w:r>
          </w:p>
        </w:tc>
        <w:tc>
          <w:tcPr>
            <w:tcW w:w="12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到位数：</w:t>
            </w:r>
          </w:p>
        </w:tc>
        <w:tc>
          <w:tcPr>
            <w:tcW w:w="7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10</w:t>
            </w:r>
          </w:p>
        </w:tc>
        <w:tc>
          <w:tcPr>
            <w:tcW w:w="140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default" w:ascii="Calibri" w:hAnsi="Calibri" w:eastAsia="宋体" w:cs="Calibri"/>
                <w:i w:val="0"/>
                <w:color w:val="000000"/>
                <w:sz w:val="21"/>
                <w:szCs w:val="21"/>
                <w:u w:val="none"/>
              </w:rPr>
            </w:pPr>
          </w:p>
        </w:tc>
        <w:tc>
          <w:tcPr>
            <w:tcW w:w="1554"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（=执行数/预算数*100%）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 w:hRule="atLeast"/>
        </w:trPr>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其中：财政资金</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6"/>
                <w:szCs w:val="16"/>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其中：财政资金</w:t>
            </w:r>
          </w:p>
        </w:tc>
        <w:tc>
          <w:tcPr>
            <w:tcW w:w="7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6"/>
                <w:szCs w:val="16"/>
                <w:u w:val="none"/>
              </w:rPr>
            </w:pPr>
          </w:p>
        </w:tc>
        <w:tc>
          <w:tcPr>
            <w:tcW w:w="140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其中：财政资金</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6"/>
                <w:szCs w:val="16"/>
                <w:u w:val="none"/>
              </w:rPr>
            </w:pPr>
          </w:p>
        </w:tc>
        <w:tc>
          <w:tcPr>
            <w:tcW w:w="155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 w:hRule="atLeast"/>
        </w:trPr>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其他</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default" w:ascii="Calibri" w:hAnsi="Calibri" w:eastAsia="宋体" w:cs="Calibri"/>
                <w:i w:val="0"/>
                <w:color w:val="000000"/>
                <w:sz w:val="21"/>
                <w:szCs w:val="21"/>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其他</w:t>
            </w:r>
          </w:p>
        </w:tc>
        <w:tc>
          <w:tcPr>
            <w:tcW w:w="7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6"/>
                <w:szCs w:val="16"/>
                <w:u w:val="none"/>
              </w:rPr>
            </w:pPr>
          </w:p>
        </w:tc>
        <w:tc>
          <w:tcPr>
            <w:tcW w:w="140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其他</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6"/>
                <w:szCs w:val="16"/>
                <w:u w:val="none"/>
              </w:rPr>
            </w:pPr>
          </w:p>
        </w:tc>
        <w:tc>
          <w:tcPr>
            <w:tcW w:w="155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80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三、目标完成情况</w:t>
            </w:r>
          </w:p>
        </w:tc>
        <w:tc>
          <w:tcPr>
            <w:tcW w:w="314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年度预期目标</w:t>
            </w:r>
          </w:p>
        </w:tc>
        <w:tc>
          <w:tcPr>
            <w:tcW w:w="307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具体完成情况</w:t>
            </w:r>
          </w:p>
        </w:tc>
        <w:tc>
          <w:tcPr>
            <w:tcW w:w="15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总体完成率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20" w:hRule="atLeast"/>
        </w:trPr>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3141"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全部完成</w:t>
            </w:r>
          </w:p>
        </w:tc>
        <w:tc>
          <w:tcPr>
            <w:tcW w:w="3074"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全部完成</w:t>
            </w:r>
          </w:p>
        </w:tc>
        <w:tc>
          <w:tcPr>
            <w:tcW w:w="1554"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80" w:hRule="atLeast"/>
        </w:trPr>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314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3074"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55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 w:hRule="atLeast"/>
        </w:trPr>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314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3074"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55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803" w:type="dxa"/>
            <w:vMerge w:val="restart"/>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Style w:val="12"/>
                <w:lang w:val="en-US" w:eastAsia="zh-CN" w:bidi="ar"/>
              </w:rPr>
              <w:t>四、</w:t>
            </w:r>
            <w:r>
              <w:rPr>
                <w:rFonts w:ascii="Calibri" w:hAnsi="Calibri" w:eastAsia="宋体" w:cs="Calibri"/>
                <w:i w:val="0"/>
                <w:color w:val="000000"/>
                <w:kern w:val="0"/>
                <w:sz w:val="16"/>
                <w:szCs w:val="16"/>
                <w:u w:val="none"/>
                <w:lang w:val="en-US" w:eastAsia="zh-CN" w:bidi="ar"/>
              </w:rPr>
              <w:t xml:space="preserve"> </w:t>
            </w:r>
            <w:r>
              <w:rPr>
                <w:rStyle w:val="12"/>
                <w:lang w:val="en-US" w:eastAsia="zh-CN" w:bidi="ar"/>
              </w:rPr>
              <w:t>年度绩效指标完成情况</w:t>
            </w:r>
          </w:p>
        </w:tc>
        <w:tc>
          <w:tcPr>
            <w:tcW w:w="9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一级指标</w:t>
            </w: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二级指标</w:t>
            </w:r>
          </w:p>
        </w:tc>
        <w:tc>
          <w:tcPr>
            <w:tcW w:w="201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三级指标</w:t>
            </w:r>
          </w:p>
        </w:tc>
        <w:tc>
          <w:tcPr>
            <w:tcW w:w="140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预期指标值</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实际完成值</w:t>
            </w:r>
          </w:p>
        </w:tc>
        <w:tc>
          <w:tcPr>
            <w:tcW w:w="15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自评得分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20" w:hRule="atLeast"/>
        </w:trPr>
        <w:tc>
          <w:tcPr>
            <w:tcW w:w="803" w:type="dxa"/>
            <w:vMerge w:val="continue"/>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32"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产出指标（40）</w:t>
            </w:r>
          </w:p>
        </w:tc>
        <w:tc>
          <w:tcPr>
            <w:tcW w:w="964"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数量指标 （10分）</w:t>
            </w:r>
          </w:p>
        </w:tc>
        <w:tc>
          <w:tcPr>
            <w:tcW w:w="201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完成所有活动的组织制作（5分）</w:t>
            </w:r>
          </w:p>
        </w:tc>
        <w:tc>
          <w:tcPr>
            <w:tcW w:w="140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最终实现活动组织圆满完成</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100%</w:t>
            </w:r>
          </w:p>
        </w:tc>
        <w:tc>
          <w:tcPr>
            <w:tcW w:w="15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260" w:hRule="atLeast"/>
        </w:trPr>
        <w:tc>
          <w:tcPr>
            <w:tcW w:w="803" w:type="dxa"/>
            <w:vMerge w:val="continue"/>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32"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6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201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组织春节、元宵节、清明节、端午节、七夕节、中秋节、重阳节等活动。（5分）</w:t>
            </w:r>
          </w:p>
        </w:tc>
        <w:tc>
          <w:tcPr>
            <w:tcW w:w="140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记录新时代人民丰富多彩的节日生活，宣传普及传统节日习俗，引导市民深化对中华优秀传统文化的认知认同。</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100%</w:t>
            </w:r>
          </w:p>
        </w:tc>
        <w:tc>
          <w:tcPr>
            <w:tcW w:w="15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1"/>
                <w:szCs w:val="21"/>
                <w:u w:val="none"/>
              </w:rPr>
            </w:pPr>
            <w:r>
              <w:rPr>
                <w:rFonts w:hint="default" w:ascii="Calibri" w:hAnsi="Calibri" w:eastAsia="宋体" w:cs="Calibri"/>
                <w:i w:val="0"/>
                <w:color w:val="000000"/>
                <w:kern w:val="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220" w:hRule="atLeast"/>
        </w:trPr>
        <w:tc>
          <w:tcPr>
            <w:tcW w:w="803" w:type="dxa"/>
            <w:vMerge w:val="continue"/>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32"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64"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质量指标 （10分）</w:t>
            </w:r>
          </w:p>
        </w:tc>
        <w:tc>
          <w:tcPr>
            <w:tcW w:w="201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活动组织完成适合在石家庄台以及新媒体平台播发的高质量消息片（5分）</w:t>
            </w:r>
          </w:p>
        </w:tc>
        <w:tc>
          <w:tcPr>
            <w:tcW w:w="140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该片石家庄台生活频道、新媒体等平台全面上线播出，</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100%</w:t>
            </w:r>
          </w:p>
        </w:tc>
        <w:tc>
          <w:tcPr>
            <w:tcW w:w="15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1"/>
                <w:szCs w:val="21"/>
                <w:u w:val="none"/>
              </w:rPr>
            </w:pPr>
            <w:r>
              <w:rPr>
                <w:rFonts w:hint="default" w:ascii="Calibri" w:hAnsi="Calibri" w:eastAsia="宋体" w:cs="Calibri"/>
                <w:i w:val="0"/>
                <w:color w:val="000000"/>
                <w:kern w:val="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40" w:hRule="atLeast"/>
        </w:trPr>
        <w:tc>
          <w:tcPr>
            <w:tcW w:w="803" w:type="dxa"/>
            <w:vMerge w:val="continue"/>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32"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6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201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大力弘扬中华民族优秀传统文化，充分发挥民族传统节日思想熏陶和文化教育功能（5分）</w:t>
            </w:r>
          </w:p>
        </w:tc>
        <w:tc>
          <w:tcPr>
            <w:tcW w:w="140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各个节日的节点，都会有相应的活动。</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100%</w:t>
            </w:r>
          </w:p>
        </w:tc>
        <w:tc>
          <w:tcPr>
            <w:tcW w:w="15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1"/>
                <w:szCs w:val="21"/>
                <w:u w:val="none"/>
              </w:rPr>
            </w:pPr>
            <w:r>
              <w:rPr>
                <w:rFonts w:hint="default" w:ascii="Calibri" w:hAnsi="Calibri" w:eastAsia="宋体" w:cs="Calibri"/>
                <w:i w:val="0"/>
                <w:color w:val="000000"/>
                <w:kern w:val="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60" w:hRule="atLeast"/>
        </w:trPr>
        <w:tc>
          <w:tcPr>
            <w:tcW w:w="803" w:type="dxa"/>
            <w:vMerge w:val="continue"/>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32"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时效指标(10分)</w:t>
            </w:r>
          </w:p>
        </w:tc>
        <w:tc>
          <w:tcPr>
            <w:tcW w:w="201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实现1月份开始，至12月结束，每个传统节日的节点，都会有相应的活动举办，贯穿全年。（10分）</w:t>
            </w:r>
          </w:p>
        </w:tc>
        <w:tc>
          <w:tcPr>
            <w:tcW w:w="140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提高效率40</w:t>
            </w:r>
            <w:r>
              <w:rPr>
                <w:rFonts w:ascii="Calibri" w:hAnsi="Calibri" w:eastAsia="宋体" w:cs="Calibri"/>
                <w:i w:val="0"/>
                <w:color w:val="000000"/>
                <w:kern w:val="0"/>
                <w:sz w:val="16"/>
                <w:szCs w:val="16"/>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100%</w:t>
            </w:r>
          </w:p>
        </w:tc>
        <w:tc>
          <w:tcPr>
            <w:tcW w:w="15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1"/>
                <w:szCs w:val="21"/>
                <w:u w:val="none"/>
              </w:rPr>
            </w:pPr>
            <w:r>
              <w:rPr>
                <w:rFonts w:hint="default" w:ascii="Calibri" w:hAnsi="Calibri" w:eastAsia="宋体" w:cs="Calibri"/>
                <w:i w:val="0"/>
                <w:color w:val="000000"/>
                <w:kern w:val="0"/>
                <w:sz w:val="21"/>
                <w:szCs w:val="21"/>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80" w:hRule="atLeast"/>
        </w:trPr>
        <w:tc>
          <w:tcPr>
            <w:tcW w:w="803" w:type="dxa"/>
            <w:vMerge w:val="continue"/>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32"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成本指标 （10分）</w:t>
            </w:r>
          </w:p>
        </w:tc>
        <w:tc>
          <w:tcPr>
            <w:tcW w:w="201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减少制作成本支出,增加活动的频次。（10分）</w:t>
            </w:r>
          </w:p>
        </w:tc>
        <w:tc>
          <w:tcPr>
            <w:tcW w:w="140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预估完成后减少10</w:t>
            </w:r>
            <w:r>
              <w:rPr>
                <w:rFonts w:ascii="Calibri" w:hAnsi="Calibri" w:eastAsia="宋体" w:cs="Calibri"/>
                <w:i w:val="0"/>
                <w:color w:val="000000"/>
                <w:kern w:val="0"/>
                <w:sz w:val="16"/>
                <w:szCs w:val="16"/>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100%</w:t>
            </w:r>
          </w:p>
        </w:tc>
        <w:tc>
          <w:tcPr>
            <w:tcW w:w="15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1"/>
                <w:szCs w:val="21"/>
                <w:u w:val="none"/>
              </w:rPr>
            </w:pPr>
            <w:r>
              <w:rPr>
                <w:rFonts w:hint="default" w:ascii="Calibri" w:hAnsi="Calibri" w:eastAsia="宋体" w:cs="Calibri"/>
                <w:i w:val="0"/>
                <w:color w:val="000000"/>
                <w:kern w:val="0"/>
                <w:sz w:val="21"/>
                <w:szCs w:val="21"/>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03" w:type="dxa"/>
            <w:vMerge w:val="continue"/>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预算执行率指标(10分)</w:t>
            </w:r>
          </w:p>
        </w:tc>
        <w:tc>
          <w:tcPr>
            <w:tcW w:w="96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预算执行率</w:t>
            </w:r>
          </w:p>
        </w:tc>
        <w:tc>
          <w:tcPr>
            <w:tcW w:w="201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按合同进度支付款项</w:t>
            </w:r>
          </w:p>
        </w:tc>
        <w:tc>
          <w:tcPr>
            <w:tcW w:w="140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支付合同额的100%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6"/>
                <w:szCs w:val="16"/>
                <w:u w:val="none"/>
              </w:rPr>
            </w:pPr>
            <w:r>
              <w:rPr>
                <w:rFonts w:hint="default" w:ascii="Calibri" w:hAnsi="Calibri" w:eastAsia="宋体" w:cs="Calibri"/>
                <w:i w:val="0"/>
                <w:color w:val="000000"/>
                <w:kern w:val="0"/>
                <w:sz w:val="16"/>
                <w:szCs w:val="16"/>
                <w:u w:val="none"/>
                <w:lang w:val="en-US" w:eastAsia="zh-CN" w:bidi="ar"/>
              </w:rPr>
              <w:t>100%</w:t>
            </w:r>
          </w:p>
        </w:tc>
        <w:tc>
          <w:tcPr>
            <w:tcW w:w="15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1"/>
                <w:szCs w:val="21"/>
                <w:u w:val="none"/>
              </w:rPr>
            </w:pPr>
            <w:r>
              <w:rPr>
                <w:rFonts w:hint="default" w:ascii="Calibri" w:hAnsi="Calibri" w:eastAsia="宋体" w:cs="Calibri"/>
                <w:i w:val="0"/>
                <w:color w:val="000000"/>
                <w:kern w:val="0"/>
                <w:sz w:val="21"/>
                <w:szCs w:val="21"/>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80" w:hRule="atLeast"/>
        </w:trPr>
        <w:tc>
          <w:tcPr>
            <w:tcW w:w="803" w:type="dxa"/>
            <w:vMerge w:val="continue"/>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32" w:type="dxa"/>
            <w:vMerge w:val="restart"/>
            <w:tcBorders>
              <w:top w:val="nil"/>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效益指标（40）</w:t>
            </w:r>
          </w:p>
        </w:tc>
        <w:tc>
          <w:tcPr>
            <w:tcW w:w="964"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经济效益指标（10分）</w:t>
            </w:r>
          </w:p>
        </w:tc>
        <w:tc>
          <w:tcPr>
            <w:tcW w:w="201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在石家庄台及无线石家庄、等各媒体平台播出后提高了石家庄的声誉，吸引观众到现场参与活动。（10分）</w:t>
            </w:r>
          </w:p>
        </w:tc>
        <w:tc>
          <w:tcPr>
            <w:tcW w:w="140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 吸引跟多的相关客户参与活动</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1"/>
                <w:szCs w:val="21"/>
                <w:u w:val="none"/>
              </w:rPr>
            </w:pPr>
            <w:r>
              <w:rPr>
                <w:rFonts w:hint="default" w:ascii="Calibri" w:hAnsi="Calibri" w:eastAsia="宋体" w:cs="Calibri"/>
                <w:i w:val="0"/>
                <w:color w:val="000000"/>
                <w:kern w:val="0"/>
                <w:sz w:val="21"/>
                <w:szCs w:val="21"/>
                <w:u w:val="none"/>
                <w:lang w:val="en-US" w:eastAsia="zh-CN" w:bidi="ar"/>
              </w:rPr>
              <w:t>60%</w:t>
            </w:r>
          </w:p>
        </w:tc>
        <w:tc>
          <w:tcPr>
            <w:tcW w:w="15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1"/>
                <w:szCs w:val="21"/>
                <w:u w:val="none"/>
              </w:rPr>
            </w:pPr>
            <w:r>
              <w:rPr>
                <w:rFonts w:hint="default" w:ascii="Calibri" w:hAnsi="Calibri" w:eastAsia="宋体" w:cs="Calibri"/>
                <w:i w:val="0"/>
                <w:color w:val="000000"/>
                <w:kern w:val="0"/>
                <w:sz w:val="21"/>
                <w:szCs w:val="21"/>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820" w:hRule="atLeast"/>
        </w:trPr>
        <w:tc>
          <w:tcPr>
            <w:tcW w:w="803" w:type="dxa"/>
            <w:vMerge w:val="continue"/>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32" w:type="dxa"/>
            <w:vMerge w:val="continue"/>
            <w:tcBorders>
              <w:top w:val="nil"/>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64"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社会效益指标（10分）</w:t>
            </w:r>
          </w:p>
        </w:tc>
        <w:tc>
          <w:tcPr>
            <w:tcW w:w="201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该活动在个地方组织现场活动以外，活动现场的内容通过消息的形式在石家庄台及新媒体平台的全媒体播出，以全新的表现手段推动了市民深入了解中华优秀传统文化。（5分）</w:t>
            </w:r>
          </w:p>
        </w:tc>
        <w:tc>
          <w:tcPr>
            <w:tcW w:w="140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得到社会广大认可，受到较大反响，提升了老百姓对传统节日的为新闻认知。</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100%</w:t>
            </w:r>
          </w:p>
        </w:tc>
        <w:tc>
          <w:tcPr>
            <w:tcW w:w="15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1"/>
                <w:szCs w:val="21"/>
                <w:u w:val="none"/>
              </w:rPr>
            </w:pPr>
            <w:r>
              <w:rPr>
                <w:rFonts w:hint="default" w:ascii="Calibri" w:hAnsi="Calibri" w:eastAsia="宋体" w:cs="Calibri"/>
                <w:i w:val="0"/>
                <w:color w:val="000000"/>
                <w:kern w:val="0"/>
                <w:sz w:val="21"/>
                <w:szCs w:val="21"/>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30" w:hRule="atLeast"/>
        </w:trPr>
        <w:tc>
          <w:tcPr>
            <w:tcW w:w="803" w:type="dxa"/>
            <w:vMerge w:val="continue"/>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32" w:type="dxa"/>
            <w:vMerge w:val="continue"/>
            <w:tcBorders>
              <w:top w:val="nil"/>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64"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生态效益指标（10分）</w:t>
            </w:r>
          </w:p>
        </w:tc>
        <w:tc>
          <w:tcPr>
            <w:tcW w:w="201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激发市民对传统节日的热情，结合城市新风貌和地标，展现祖国欣欣向荣、生机勃勃的时代主旋律，（10分）</w:t>
            </w:r>
          </w:p>
        </w:tc>
        <w:tc>
          <w:tcPr>
            <w:tcW w:w="140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增强了文化自觉和文化自信，增进爱党爱国爱生会主义情感。</w:t>
            </w:r>
          </w:p>
        </w:tc>
        <w:tc>
          <w:tcPr>
            <w:tcW w:w="900"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100%</w:t>
            </w:r>
          </w:p>
        </w:tc>
        <w:tc>
          <w:tcPr>
            <w:tcW w:w="15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1"/>
                <w:szCs w:val="21"/>
                <w:u w:val="none"/>
              </w:rPr>
            </w:pPr>
            <w:r>
              <w:rPr>
                <w:rFonts w:hint="default" w:ascii="Calibri" w:hAnsi="Calibri" w:eastAsia="宋体" w:cs="Calibri"/>
                <w:i w:val="0"/>
                <w:color w:val="000000"/>
                <w:kern w:val="0"/>
                <w:sz w:val="21"/>
                <w:szCs w:val="21"/>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40" w:hRule="atLeast"/>
        </w:trPr>
        <w:tc>
          <w:tcPr>
            <w:tcW w:w="803" w:type="dxa"/>
            <w:vMerge w:val="continue"/>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32" w:type="dxa"/>
            <w:vMerge w:val="continue"/>
            <w:tcBorders>
              <w:top w:val="nil"/>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64" w:type="dxa"/>
            <w:vMerge w:val="restart"/>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可持续影响指标（15分）</w:t>
            </w:r>
          </w:p>
        </w:tc>
        <w:tc>
          <w:tcPr>
            <w:tcW w:w="201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宣传时代精神，弘扬社会主义核心价值观、占领宣传主阵地。（5分）</w:t>
            </w:r>
          </w:p>
        </w:tc>
        <w:tc>
          <w:tcPr>
            <w:tcW w:w="140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提高传统主流媒体影响力，形成风清气正的社会舆论环境。</w:t>
            </w:r>
          </w:p>
        </w:tc>
        <w:tc>
          <w:tcPr>
            <w:tcW w:w="900"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100%</w:t>
            </w:r>
          </w:p>
        </w:tc>
        <w:tc>
          <w:tcPr>
            <w:tcW w:w="15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1"/>
                <w:szCs w:val="21"/>
                <w:u w:val="none"/>
              </w:rPr>
            </w:pPr>
            <w:r>
              <w:rPr>
                <w:rFonts w:hint="default" w:ascii="Calibri" w:hAnsi="Calibri" w:eastAsia="宋体" w:cs="Calibri"/>
                <w:i w:val="0"/>
                <w:color w:val="000000"/>
                <w:kern w:val="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700" w:hRule="atLeast"/>
        </w:trPr>
        <w:tc>
          <w:tcPr>
            <w:tcW w:w="803" w:type="dxa"/>
            <w:vMerge w:val="continue"/>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32" w:type="dxa"/>
            <w:vMerge w:val="continue"/>
            <w:tcBorders>
              <w:top w:val="nil"/>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64"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201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《我们的节日》活动开展以来，参与者纷纷称赞，同时也引起跟多的人关注传统节日。（10分）</w:t>
            </w:r>
          </w:p>
        </w:tc>
        <w:tc>
          <w:tcPr>
            <w:tcW w:w="140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该活动通过不同的主题和形式，发挥民族传统节日思想熏陶和文化教育功能，提高了百姓的文化自觉和文化自信。</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100%</w:t>
            </w:r>
          </w:p>
        </w:tc>
        <w:tc>
          <w:tcPr>
            <w:tcW w:w="15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1"/>
                <w:szCs w:val="21"/>
                <w:u w:val="none"/>
              </w:rPr>
            </w:pPr>
            <w:r>
              <w:rPr>
                <w:rFonts w:hint="default" w:ascii="Calibri" w:hAnsi="Calibri" w:eastAsia="宋体" w:cs="Calibri"/>
                <w:i w:val="0"/>
                <w:color w:val="000000"/>
                <w:kern w:val="0"/>
                <w:sz w:val="21"/>
                <w:szCs w:val="21"/>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03" w:type="dxa"/>
            <w:vMerge w:val="continue"/>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3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满意度指标</w:t>
            </w:r>
            <w:r>
              <w:rPr>
                <w:rFonts w:hint="eastAsia" w:ascii="宋体" w:hAnsi="宋体" w:eastAsia="宋体" w:cs="宋体"/>
                <w:i w:val="0"/>
                <w:color w:val="000000"/>
                <w:kern w:val="0"/>
                <w:sz w:val="16"/>
                <w:szCs w:val="16"/>
                <w:u w:val="none"/>
                <w:lang w:val="en-US" w:eastAsia="zh-CN" w:bidi="ar"/>
              </w:rPr>
              <w:br w:type="textWrapping"/>
            </w:r>
            <w:r>
              <w:rPr>
                <w:rFonts w:hint="eastAsia" w:ascii="宋体" w:hAnsi="宋体" w:eastAsia="宋体" w:cs="宋体"/>
                <w:i w:val="0"/>
                <w:color w:val="000000"/>
                <w:kern w:val="0"/>
                <w:sz w:val="16"/>
                <w:szCs w:val="16"/>
                <w:u w:val="none"/>
                <w:lang w:val="en-US" w:eastAsia="zh-CN" w:bidi="ar"/>
              </w:rPr>
              <w:t>（10分）</w:t>
            </w:r>
          </w:p>
        </w:tc>
        <w:tc>
          <w:tcPr>
            <w:tcW w:w="964" w:type="dxa"/>
            <w:vMerge w:val="restart"/>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满意度指标（5分）</w:t>
            </w:r>
          </w:p>
        </w:tc>
        <w:tc>
          <w:tcPr>
            <w:tcW w:w="201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提高观众对政府的满意度，对党委声音的满意度（0分）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仿宋" w:hAnsi="仿宋" w:eastAsia="仿宋" w:cs="仿宋"/>
                <w:i w:val="0"/>
                <w:color w:val="000000"/>
                <w:sz w:val="16"/>
                <w:szCs w:val="16"/>
                <w:u w:val="none"/>
              </w:rPr>
            </w:pPr>
            <w:r>
              <w:rPr>
                <w:rFonts w:hint="eastAsia" w:ascii="仿宋" w:hAnsi="仿宋" w:eastAsia="仿宋" w:cs="仿宋"/>
                <w:i w:val="0"/>
                <w:color w:val="000000"/>
                <w:kern w:val="0"/>
                <w:sz w:val="16"/>
                <w:szCs w:val="16"/>
                <w:u w:val="none"/>
                <w:lang w:val="en-US" w:eastAsia="zh-CN" w:bidi="ar"/>
              </w:rPr>
              <w:t>95%以上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因调查困难且成本太高，调入上一项</w:t>
            </w:r>
          </w:p>
        </w:tc>
        <w:tc>
          <w:tcPr>
            <w:tcW w:w="15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Calibri" w:hAnsi="Calibri" w:eastAsia="宋体" w:cs="Calibri"/>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00" w:hRule="atLeast"/>
        </w:trPr>
        <w:tc>
          <w:tcPr>
            <w:tcW w:w="803" w:type="dxa"/>
            <w:vMerge w:val="continue"/>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3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64"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201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切实提高新闻舆论传播力、引导力、影响力、公信力。（5分）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sz w:val="16"/>
                <w:szCs w:val="16"/>
                <w:u w:val="none"/>
              </w:rPr>
            </w:pPr>
            <w:r>
              <w:rPr>
                <w:rFonts w:hint="eastAsia" w:ascii="仿宋" w:hAnsi="仿宋" w:eastAsia="仿宋" w:cs="仿宋"/>
                <w:i w:val="0"/>
                <w:color w:val="000000"/>
                <w:kern w:val="0"/>
                <w:sz w:val="16"/>
                <w:szCs w:val="16"/>
                <w:u w:val="none"/>
                <w:lang w:val="en-US" w:eastAsia="zh-CN" w:bidi="ar"/>
              </w:rPr>
              <w:t>95%以上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100%</w:t>
            </w:r>
          </w:p>
        </w:tc>
        <w:tc>
          <w:tcPr>
            <w:tcW w:w="15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1"/>
                <w:szCs w:val="21"/>
                <w:u w:val="none"/>
              </w:rPr>
            </w:pPr>
            <w:r>
              <w:rPr>
                <w:rFonts w:hint="default" w:ascii="Calibri" w:hAnsi="Calibri" w:eastAsia="宋体" w:cs="Calibri"/>
                <w:i w:val="0"/>
                <w:color w:val="000000"/>
                <w:kern w:val="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5" w:hRule="atLeast"/>
        </w:trPr>
        <w:tc>
          <w:tcPr>
            <w:tcW w:w="803" w:type="dxa"/>
            <w:vMerge w:val="continue"/>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6215"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总分</w:t>
            </w:r>
          </w:p>
        </w:tc>
        <w:tc>
          <w:tcPr>
            <w:tcW w:w="15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1"/>
                <w:szCs w:val="21"/>
                <w:u w:val="none"/>
              </w:rPr>
            </w:pPr>
            <w:r>
              <w:rPr>
                <w:rFonts w:hint="default" w:ascii="Calibri" w:hAnsi="Calibri" w:eastAsia="宋体" w:cs="Calibri"/>
                <w:i w:val="0"/>
                <w:color w:val="000000"/>
                <w:kern w:val="0"/>
                <w:sz w:val="21"/>
                <w:szCs w:val="21"/>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35" w:hRule="atLeast"/>
        </w:trPr>
        <w:tc>
          <w:tcPr>
            <w:tcW w:w="803"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五、</w:t>
            </w:r>
            <w:r>
              <w:rPr>
                <w:rFonts w:ascii="Calibri" w:hAnsi="Calibri" w:eastAsia="宋体" w:cs="Calibri"/>
                <w:i w:val="0"/>
                <w:color w:val="000000"/>
                <w:kern w:val="0"/>
                <w:sz w:val="16"/>
                <w:szCs w:val="16"/>
                <w:u w:val="none"/>
                <w:lang w:val="en-US" w:eastAsia="zh-CN" w:bidi="ar"/>
              </w:rPr>
              <w:t xml:space="preserve"> </w:t>
            </w:r>
            <w:r>
              <w:rPr>
                <w:rStyle w:val="12"/>
                <w:lang w:val="en-US" w:eastAsia="zh-CN" w:bidi="ar"/>
              </w:rPr>
              <w:t>存在问题、原因及下一步整改措施</w:t>
            </w:r>
          </w:p>
        </w:tc>
        <w:tc>
          <w:tcPr>
            <w:tcW w:w="7769" w:type="dxa"/>
            <w:gridSpan w:val="7"/>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存在问题：经济效益指标因当前大环境影响，传统媒体受新媒体冲击，提升电视收视率和广告收入比较困难，力求通过项目建设提升节目质量，保住现有收视率和广告收入。整改措施：力求通过项目建设提升节目质量，拓宽新媒体市场份额和收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填报人：</w:t>
            </w: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李诚</w:t>
            </w:r>
          </w:p>
        </w:tc>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联系电话：</w:t>
            </w: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81586709</w:t>
            </w:r>
          </w:p>
        </w:tc>
      </w:tr>
    </w:tbl>
    <w:p>
      <w:pPr>
        <w:widowControl w:val="0"/>
        <w:wordWrap/>
        <w:spacing w:line="360" w:lineRule="auto"/>
        <w:ind w:right="0"/>
        <w:jc w:val="center"/>
        <w:textAlignment w:val="auto"/>
        <w:outlineLvl w:val="1"/>
        <w:rPr>
          <w:rFonts w:hint="eastAsia" w:ascii="仿宋" w:hAnsi="仿宋" w:eastAsia="仿宋" w:cs="仿宋"/>
          <w:sz w:val="32"/>
          <w:szCs w:val="32"/>
          <w:lang w:eastAsia="zh-CN"/>
        </w:rPr>
      </w:pPr>
    </w:p>
    <w:p>
      <w:pPr>
        <w:widowControl w:val="0"/>
        <w:wordWrap/>
        <w:spacing w:line="360" w:lineRule="auto"/>
        <w:ind w:right="0"/>
        <w:jc w:val="both"/>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注：因满意度指标中的“提高观众对各级党委的满意度，对党委声音的满意度”获取难度较大、成本较高而未能获取，将其5分调入可持续影响指标项。</w:t>
      </w:r>
    </w:p>
    <w:p>
      <w:pPr>
        <w:widowControl w:val="0"/>
        <w:wordWrap/>
        <w:spacing w:line="360" w:lineRule="auto"/>
        <w:ind w:left="0" w:leftChars="0" w:right="0"/>
        <w:textAlignment w:val="auto"/>
        <w:outlineLvl w:val="0"/>
        <w:rPr>
          <w:rFonts w:hint="eastAsia" w:ascii="黑体" w:hAnsi="黑体" w:eastAsia="黑体" w:cs="黑体"/>
          <w:b/>
          <w:bCs/>
          <w:sz w:val="32"/>
          <w:szCs w:val="32"/>
          <w:lang w:eastAsia="zh-CN"/>
        </w:rPr>
      </w:pPr>
      <w:r>
        <w:rPr>
          <w:rFonts w:hint="eastAsia" w:ascii="仿宋_GB2312" w:eastAsia="仿宋_GB2312"/>
          <w:b/>
          <w:bCs/>
          <w:sz w:val="32"/>
          <w:szCs w:val="32"/>
          <w:lang w:val="en-US" w:eastAsia="zh-CN"/>
        </w:rPr>
        <w:t xml:space="preserve">    </w:t>
      </w:r>
      <w:r>
        <w:rPr>
          <w:rFonts w:hint="eastAsia" w:ascii="黑体" w:hAnsi="黑体" w:eastAsia="黑体" w:cs="黑体"/>
          <w:b w:val="0"/>
          <w:bCs w:val="0"/>
          <w:sz w:val="32"/>
          <w:szCs w:val="32"/>
          <w:lang w:val="en-US" w:eastAsia="zh-CN"/>
        </w:rPr>
        <w:t>三、</w:t>
      </w:r>
      <w:r>
        <w:rPr>
          <w:rFonts w:hint="eastAsia" w:ascii="黑体" w:hAnsi="黑体" w:eastAsia="黑体" w:cs="黑体"/>
          <w:b w:val="0"/>
          <w:bCs w:val="0"/>
          <w:sz w:val="32"/>
          <w:szCs w:val="32"/>
          <w:lang w:eastAsia="zh-CN"/>
        </w:rPr>
        <w:t>项目执行及绩效实现情况</w:t>
      </w:r>
    </w:p>
    <w:p>
      <w:pPr>
        <w:widowControl w:val="0"/>
        <w:numPr>
          <w:ilvl w:val="0"/>
          <w:numId w:val="2"/>
        </w:numPr>
        <w:wordWrap/>
        <w:spacing w:line="360" w:lineRule="auto"/>
        <w:ind w:left="0" w:leftChars="0" w:right="0" w:firstLine="643" w:firstLineChars="200"/>
        <w:textAlignment w:val="auto"/>
        <w:outlineLvl w:val="1"/>
        <w:rPr>
          <w:rFonts w:hint="eastAsia" w:ascii="楷体_GB2312" w:hAnsi="楷体_GB2312" w:eastAsia="楷体_GB2312" w:cs="楷体_GB2312"/>
          <w:b/>
          <w:bCs/>
          <w:color w:val="auto"/>
          <w:sz w:val="32"/>
          <w:szCs w:val="32"/>
          <w:u w:val="single"/>
          <w:lang w:val="en-US" w:eastAsia="zh-CN"/>
        </w:rPr>
      </w:pPr>
      <w:r>
        <w:rPr>
          <w:rFonts w:hint="eastAsia" w:ascii="楷体_GB2312" w:hAnsi="楷体_GB2312" w:eastAsia="楷体_GB2312" w:cs="楷体_GB2312"/>
          <w:b/>
          <w:bCs/>
          <w:color w:val="auto"/>
          <w:sz w:val="32"/>
          <w:szCs w:val="32"/>
          <w:u w:val="single"/>
          <w:lang w:val="en-US" w:eastAsia="zh-CN"/>
        </w:rPr>
        <w:t>预算执行情况</w:t>
      </w:r>
    </w:p>
    <w:p>
      <w:pPr>
        <w:widowControl w:val="0"/>
        <w:numPr>
          <w:ilvl w:val="0"/>
          <w:numId w:val="0"/>
        </w:numPr>
        <w:wordWrap/>
        <w:spacing w:line="360" w:lineRule="auto"/>
        <w:ind w:left="0" w:leftChars="0" w:right="0" w:firstLine="640" w:firstLineChars="200"/>
        <w:textAlignment w:val="auto"/>
        <w:outlineLvl w:val="9"/>
        <w:rPr>
          <w:rFonts w:hint="eastAsia" w:ascii="仿宋_GB2312" w:eastAsia="仿宋_GB2312"/>
          <w:b w:val="0"/>
          <w:bCs w:val="0"/>
          <w:color w:val="auto"/>
          <w:sz w:val="32"/>
          <w:szCs w:val="32"/>
          <w:u w:val="none"/>
          <w:lang w:val="en-US" w:eastAsia="zh-CN"/>
        </w:rPr>
      </w:pPr>
      <w:r>
        <w:rPr>
          <w:rFonts w:hint="eastAsia" w:ascii="仿宋_GB2312" w:eastAsia="仿宋_GB2312"/>
          <w:b w:val="0"/>
          <w:bCs w:val="0"/>
          <w:color w:val="auto"/>
          <w:sz w:val="32"/>
          <w:szCs w:val="32"/>
          <w:u w:val="none"/>
          <w:lang w:val="en-US" w:eastAsia="zh-CN"/>
        </w:rPr>
        <w:t>执行初始预算安排情况，我部门按照合同进度要求目前已经支付了合同额的100%。实际完成值100%。自评得分10分。</w:t>
      </w:r>
    </w:p>
    <w:p>
      <w:pPr>
        <w:widowControl w:val="0"/>
        <w:numPr>
          <w:ilvl w:val="0"/>
          <w:numId w:val="0"/>
        </w:numPr>
        <w:wordWrap/>
        <w:spacing w:line="360" w:lineRule="auto"/>
        <w:ind w:left="0" w:leftChars="0" w:right="0"/>
        <w:textAlignment w:val="auto"/>
        <w:outlineLvl w:val="1"/>
        <w:rPr>
          <w:rFonts w:hint="eastAsia" w:ascii="仿宋_GB2312" w:eastAsia="仿宋_GB2312"/>
          <w:b/>
          <w:bCs/>
          <w:sz w:val="32"/>
          <w:szCs w:val="32"/>
          <w:lang w:val="en-US" w:eastAsia="zh-CN"/>
        </w:rPr>
      </w:pPr>
      <w:r>
        <w:rPr>
          <w:rFonts w:hint="eastAsia" w:ascii="仿宋_GB2312" w:eastAsia="仿宋_GB2312"/>
          <w:b/>
          <w:bCs/>
          <w:sz w:val="32"/>
          <w:szCs w:val="32"/>
          <w:lang w:val="en-US" w:eastAsia="zh-CN"/>
        </w:rPr>
        <w:t xml:space="preserve">   </w:t>
      </w:r>
      <w:r>
        <w:rPr>
          <w:rFonts w:hint="eastAsia" w:ascii="楷体_GB2312" w:hAnsi="楷体_GB2312" w:eastAsia="楷体_GB2312" w:cs="楷体_GB2312"/>
          <w:b/>
          <w:bCs/>
          <w:sz w:val="32"/>
          <w:szCs w:val="32"/>
          <w:lang w:val="en-US" w:eastAsia="zh-CN"/>
        </w:rPr>
        <w:t xml:space="preserve"> （二）项目产出</w:t>
      </w:r>
    </w:p>
    <w:p>
      <w:pPr>
        <w:widowControl w:val="0"/>
        <w:numPr>
          <w:ilvl w:val="0"/>
          <w:numId w:val="0"/>
        </w:numPr>
        <w:wordWrap/>
        <w:spacing w:line="360" w:lineRule="auto"/>
        <w:ind w:left="0" w:leftChars="0" w:right="0" w:firstLine="640" w:firstLineChars="200"/>
        <w:textAlignment w:val="auto"/>
        <w:outlineLvl w:val="9"/>
        <w:rPr>
          <w:rFonts w:hint="default" w:ascii="仿宋_GB2312" w:eastAsia="仿宋_GB2312"/>
          <w:b w:val="0"/>
          <w:bCs w:val="0"/>
          <w:sz w:val="32"/>
          <w:szCs w:val="32"/>
          <w:lang w:val="en-US" w:eastAsia="zh-CN"/>
        </w:rPr>
      </w:pPr>
      <w:r>
        <w:rPr>
          <w:rFonts w:hint="eastAsia" w:ascii="仿宋_GB2312" w:eastAsia="仿宋_GB2312"/>
          <w:b w:val="0"/>
          <w:bCs w:val="0"/>
          <w:sz w:val="32"/>
          <w:szCs w:val="32"/>
          <w:lang w:val="en-US" w:eastAsia="zh-CN"/>
        </w:rPr>
        <w:t>数量指标：组织春节、元宵节、清明节、端午节、七夕节、中秋节、重阳节等活动。完成率为100%，本项得分为10分。</w:t>
      </w:r>
    </w:p>
    <w:p>
      <w:pPr>
        <w:widowControl w:val="0"/>
        <w:numPr>
          <w:ilvl w:val="0"/>
          <w:numId w:val="0"/>
        </w:numPr>
        <w:wordWrap/>
        <w:spacing w:line="360" w:lineRule="auto"/>
        <w:ind w:left="0" w:leftChars="0" w:right="0" w:firstLine="640" w:firstLineChars="200"/>
        <w:textAlignment w:val="auto"/>
        <w:outlineLvl w:val="9"/>
        <w:rPr>
          <w:rFonts w:hint="default" w:ascii="仿宋_GB2312" w:eastAsia="仿宋_GB2312"/>
          <w:b w:val="0"/>
          <w:bCs w:val="0"/>
          <w:sz w:val="32"/>
          <w:szCs w:val="32"/>
          <w:lang w:val="en-US" w:eastAsia="zh-CN"/>
        </w:rPr>
      </w:pPr>
      <w:r>
        <w:rPr>
          <w:rFonts w:hint="eastAsia" w:ascii="仿宋_GB2312" w:eastAsia="仿宋_GB2312"/>
          <w:b w:val="0"/>
          <w:bCs w:val="0"/>
          <w:sz w:val="32"/>
          <w:szCs w:val="32"/>
          <w:lang w:val="en-US" w:eastAsia="zh-CN"/>
        </w:rPr>
        <w:t>质量指标：活动组织完成适合在石家庄台以及新媒体平台播发的高质量消息片。完成率为100%，本项得分为10分。</w:t>
      </w:r>
    </w:p>
    <w:p>
      <w:pPr>
        <w:widowControl w:val="0"/>
        <w:numPr>
          <w:ilvl w:val="0"/>
          <w:numId w:val="0"/>
        </w:numPr>
        <w:wordWrap/>
        <w:spacing w:line="360" w:lineRule="auto"/>
        <w:ind w:left="0" w:leftChars="0" w:right="0" w:firstLine="640" w:firstLineChars="200"/>
        <w:textAlignment w:val="auto"/>
        <w:outlineLvl w:val="9"/>
        <w:rPr>
          <w:rFonts w:hint="default" w:ascii="仿宋_GB2312" w:eastAsia="仿宋_GB2312"/>
          <w:b w:val="0"/>
          <w:bCs w:val="0"/>
          <w:sz w:val="32"/>
          <w:szCs w:val="32"/>
          <w:lang w:val="en-US" w:eastAsia="zh-CN"/>
        </w:rPr>
      </w:pPr>
      <w:r>
        <w:rPr>
          <w:rFonts w:hint="eastAsia" w:ascii="仿宋_GB2312" w:eastAsia="仿宋_GB2312"/>
          <w:b w:val="0"/>
          <w:bCs w:val="0"/>
          <w:sz w:val="32"/>
          <w:szCs w:val="32"/>
          <w:lang w:val="en-US" w:eastAsia="zh-CN"/>
        </w:rPr>
        <w:t>时效指标：实现1月份开始，至12月结束，每个传统节日的节点，都会有相应的活动举办，贯穿全年。完成率为100%，本项得分为10分。</w:t>
      </w:r>
    </w:p>
    <w:p>
      <w:pPr>
        <w:widowControl w:val="0"/>
        <w:numPr>
          <w:ilvl w:val="0"/>
          <w:numId w:val="0"/>
        </w:numPr>
        <w:wordWrap/>
        <w:spacing w:line="360" w:lineRule="auto"/>
        <w:ind w:left="0" w:leftChars="0" w:right="0" w:firstLine="640" w:firstLineChars="200"/>
        <w:textAlignment w:val="auto"/>
        <w:outlineLvl w:val="9"/>
        <w:rPr>
          <w:rFonts w:hint="default" w:ascii="仿宋_GB2312" w:eastAsia="仿宋_GB2312"/>
          <w:b w:val="0"/>
          <w:bCs w:val="0"/>
          <w:sz w:val="32"/>
          <w:szCs w:val="32"/>
          <w:lang w:val="en-US" w:eastAsia="zh-CN"/>
        </w:rPr>
      </w:pPr>
      <w:r>
        <w:rPr>
          <w:rFonts w:hint="eastAsia" w:ascii="仿宋_GB2312" w:eastAsia="仿宋_GB2312"/>
          <w:b w:val="0"/>
          <w:bCs w:val="0"/>
          <w:sz w:val="32"/>
          <w:szCs w:val="32"/>
          <w:lang w:val="en-US" w:eastAsia="zh-CN"/>
        </w:rPr>
        <w:t>成本指标：减少制作成本支出,增加活动的频次。本项完成率为100%，本项得分为10分。</w:t>
      </w:r>
    </w:p>
    <w:p>
      <w:pPr>
        <w:widowControl w:val="0"/>
        <w:wordWrap/>
        <w:spacing w:line="360" w:lineRule="auto"/>
        <w:ind w:left="0" w:leftChars="0" w:right="0" w:firstLine="643" w:firstLineChars="200"/>
        <w:textAlignment w:val="auto"/>
        <w:outlineLvl w:val="1"/>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（三）项目效益</w:t>
      </w:r>
    </w:p>
    <w:p>
      <w:pPr>
        <w:widowControl w:val="0"/>
        <w:numPr>
          <w:ilvl w:val="0"/>
          <w:numId w:val="0"/>
        </w:numPr>
        <w:wordWrap/>
        <w:spacing w:line="360" w:lineRule="auto"/>
        <w:ind w:left="0" w:leftChars="0" w:right="0" w:firstLine="640" w:firstLineChars="200"/>
        <w:textAlignment w:val="auto"/>
        <w:outlineLvl w:val="9"/>
        <w:rPr>
          <w:rFonts w:hint="eastAsia" w:ascii="仿宋_GB2312" w:eastAsia="仿宋_GB2312"/>
          <w:b w:val="0"/>
          <w:bCs w:val="0"/>
          <w:sz w:val="32"/>
          <w:szCs w:val="32"/>
          <w:lang w:val="en-US" w:eastAsia="zh-CN"/>
        </w:rPr>
      </w:pPr>
      <w:r>
        <w:rPr>
          <w:rFonts w:hint="eastAsia" w:ascii="仿宋_GB2312" w:eastAsia="仿宋_GB2312"/>
          <w:b w:val="0"/>
          <w:bCs w:val="0"/>
          <w:sz w:val="32"/>
          <w:szCs w:val="32"/>
          <w:lang w:val="en-US" w:eastAsia="zh-CN"/>
        </w:rPr>
        <w:t>经济效益：在石家庄台及无线石家庄、等各媒体平台播出后提高了石家庄的声誉，吸引观众到现场参与活动本项按95%计算完成率，得分9.5分。</w:t>
      </w:r>
    </w:p>
    <w:p>
      <w:pPr>
        <w:widowControl w:val="0"/>
        <w:numPr>
          <w:ilvl w:val="0"/>
          <w:numId w:val="0"/>
        </w:numPr>
        <w:wordWrap/>
        <w:spacing w:line="360" w:lineRule="auto"/>
        <w:ind w:left="0" w:leftChars="0" w:right="0" w:firstLine="640" w:firstLineChars="200"/>
        <w:textAlignment w:val="auto"/>
        <w:outlineLvl w:val="9"/>
        <w:rPr>
          <w:rFonts w:hint="default" w:ascii="仿宋_GB2312" w:eastAsia="仿宋_GB2312"/>
          <w:b w:val="0"/>
          <w:bCs w:val="0"/>
          <w:sz w:val="32"/>
          <w:szCs w:val="32"/>
          <w:lang w:val="en-US" w:eastAsia="zh-CN"/>
        </w:rPr>
      </w:pPr>
      <w:r>
        <w:rPr>
          <w:rFonts w:hint="eastAsia" w:ascii="仿宋_GB2312" w:eastAsia="仿宋_GB2312"/>
          <w:b w:val="0"/>
          <w:bCs w:val="0"/>
          <w:sz w:val="32"/>
          <w:szCs w:val="32"/>
          <w:lang w:val="en-US" w:eastAsia="zh-CN"/>
        </w:rPr>
        <w:t>社会效益：该活动在个地方组织现场活动以外，活动现场的内容通过消息的形式在石家庄台及新媒体平台的全媒体播出，以全新的表现手段推动了市民深入了解中华优秀传统文化。完成率100%，本项得分10分。</w:t>
      </w:r>
    </w:p>
    <w:p>
      <w:pPr>
        <w:widowControl w:val="0"/>
        <w:numPr>
          <w:ilvl w:val="0"/>
          <w:numId w:val="0"/>
        </w:numPr>
        <w:wordWrap/>
        <w:spacing w:line="360" w:lineRule="auto"/>
        <w:ind w:left="0" w:leftChars="0" w:right="0" w:firstLine="640" w:firstLineChars="200"/>
        <w:textAlignment w:val="auto"/>
        <w:outlineLvl w:val="9"/>
        <w:rPr>
          <w:rFonts w:hint="default" w:ascii="仿宋_GB2312" w:eastAsia="仿宋_GB2312"/>
          <w:b w:val="0"/>
          <w:bCs w:val="0"/>
          <w:sz w:val="32"/>
          <w:szCs w:val="32"/>
          <w:lang w:val="en-US" w:eastAsia="zh-CN"/>
        </w:rPr>
      </w:pPr>
      <w:r>
        <w:rPr>
          <w:rFonts w:hint="eastAsia" w:ascii="仿宋_GB2312" w:eastAsia="仿宋_GB2312"/>
          <w:b w:val="0"/>
          <w:bCs w:val="0"/>
          <w:sz w:val="32"/>
          <w:szCs w:val="32"/>
          <w:lang w:val="en-US" w:eastAsia="zh-CN"/>
        </w:rPr>
        <w:t>生态效益：激发市民对传统节日的热情，结合城市新风貌和地标，展现祖国欣欣向荣、生机勃勃的时代主旋律增强了文化自觉和文化自信，增进爱党爱国爱生会主义情感。完成率100%，本项得分10分。</w:t>
      </w:r>
    </w:p>
    <w:p>
      <w:pPr>
        <w:widowControl w:val="0"/>
        <w:numPr>
          <w:ilvl w:val="0"/>
          <w:numId w:val="0"/>
        </w:numPr>
        <w:wordWrap/>
        <w:spacing w:line="360" w:lineRule="auto"/>
        <w:ind w:left="0" w:leftChars="0" w:right="0" w:firstLine="640" w:firstLineChars="200"/>
        <w:textAlignment w:val="auto"/>
        <w:outlineLvl w:val="9"/>
        <w:rPr>
          <w:rFonts w:hint="default" w:ascii="仿宋_GB2312" w:eastAsia="仿宋_GB2312"/>
          <w:b w:val="0"/>
          <w:bCs w:val="0"/>
          <w:sz w:val="32"/>
          <w:szCs w:val="32"/>
          <w:lang w:val="en-US" w:eastAsia="zh-CN"/>
        </w:rPr>
      </w:pPr>
      <w:r>
        <w:rPr>
          <w:rFonts w:hint="eastAsia" w:ascii="仿宋_GB2312" w:eastAsia="仿宋_GB2312"/>
          <w:b w:val="0"/>
          <w:bCs w:val="0"/>
          <w:sz w:val="32"/>
          <w:szCs w:val="32"/>
          <w:lang w:val="en-US" w:eastAsia="zh-CN"/>
        </w:rPr>
        <w:t>可持续影响：《我们的节日》活动开展以来，参与者纷纷称赞，同时也引起跟多的人关注传统节日，该活动通过不同的主题和形式，发挥民族传统节日思想熏陶和文化教育功能，提高了百姓的文化自觉和文化自信。完成率100%，本项得分15分。</w:t>
      </w:r>
    </w:p>
    <w:p>
      <w:pPr>
        <w:widowControl w:val="0"/>
        <w:wordWrap/>
        <w:spacing w:line="360" w:lineRule="auto"/>
        <w:ind w:left="0" w:leftChars="0" w:right="0" w:firstLine="643" w:firstLineChars="200"/>
        <w:textAlignment w:val="auto"/>
        <w:outlineLvl w:val="1"/>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（四）满意度</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640" w:firstLineChars="200"/>
        <w:jc w:val="both"/>
        <w:textAlignment w:val="auto"/>
        <w:outlineLvl w:val="9"/>
        <w:rPr>
          <w:rFonts w:hint="default" w:ascii="仿宋_GB2312" w:eastAsia="仿宋_GB2312"/>
          <w:b w:val="0"/>
          <w:bCs w:val="0"/>
          <w:sz w:val="32"/>
          <w:szCs w:val="32"/>
          <w:lang w:val="en-US" w:eastAsia="zh-CN"/>
        </w:rPr>
      </w:pPr>
      <w:r>
        <w:rPr>
          <w:rFonts w:hint="eastAsia" w:ascii="仿宋_GB2312" w:eastAsia="仿宋_GB2312"/>
          <w:b w:val="0"/>
          <w:bCs w:val="0"/>
          <w:sz w:val="32"/>
          <w:szCs w:val="32"/>
          <w:lang w:val="en-US" w:eastAsia="zh-CN"/>
        </w:rPr>
        <w:t>因“提高观众对各级党委的满意度，对党委声音的满意度”的调查困难，将本项分值5分归入“可持续影响”项中。</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640" w:firstLineChars="200"/>
        <w:jc w:val="both"/>
        <w:textAlignment w:val="auto"/>
        <w:outlineLvl w:val="9"/>
        <w:rPr>
          <w:rFonts w:hint="default" w:ascii="宋体" w:hAnsi="宋体"/>
          <w:sz w:val="28"/>
          <w:szCs w:val="28"/>
          <w:lang w:val="en-US" w:eastAsia="zh-CN"/>
        </w:rPr>
      </w:pPr>
      <w:r>
        <w:rPr>
          <w:rFonts w:hint="eastAsia" w:ascii="仿宋_GB2312" w:eastAsia="仿宋_GB2312"/>
          <w:b w:val="0"/>
          <w:bCs w:val="0"/>
          <w:sz w:val="32"/>
          <w:szCs w:val="32"/>
          <w:lang w:val="en-US" w:eastAsia="zh-CN"/>
        </w:rPr>
        <w:t>切实提高了新闻舆论传播力、引导力、影响力、公信力。完成率100%，本项得分5分。</w:t>
      </w:r>
    </w:p>
    <w:p>
      <w:pPr>
        <w:widowControl w:val="0"/>
        <w:numPr>
          <w:ilvl w:val="0"/>
          <w:numId w:val="0"/>
        </w:numPr>
        <w:wordWrap/>
        <w:spacing w:line="360" w:lineRule="auto"/>
        <w:ind w:left="0" w:leftChars="0" w:right="0" w:firstLine="640" w:firstLineChars="200"/>
        <w:textAlignment w:val="auto"/>
        <w:outlineLvl w:val="0"/>
        <w:rPr>
          <w:rFonts w:hint="eastAsia" w:ascii="黑体" w:hAnsi="黑体" w:eastAsia="黑体"/>
          <w:b w:val="0"/>
          <w:bCs w:val="0"/>
          <w:sz w:val="32"/>
          <w:szCs w:val="32"/>
          <w:lang w:val="en-US" w:eastAsia="zh-CN"/>
        </w:rPr>
      </w:pPr>
      <w:r>
        <w:rPr>
          <w:rFonts w:hint="eastAsia" w:ascii="黑体" w:hAnsi="黑体" w:eastAsia="黑体"/>
          <w:b w:val="0"/>
          <w:bCs w:val="0"/>
          <w:sz w:val="32"/>
          <w:szCs w:val="32"/>
          <w:lang w:val="en-US" w:eastAsia="zh-CN"/>
        </w:rPr>
        <w:t>四、项目综合评价结论和评价等级</w:t>
      </w:r>
    </w:p>
    <w:p>
      <w:pPr>
        <w:widowControl w:val="0"/>
        <w:numPr>
          <w:ilvl w:val="0"/>
          <w:numId w:val="0"/>
        </w:numPr>
        <w:wordWrap/>
        <w:spacing w:line="360" w:lineRule="auto"/>
        <w:ind w:left="0" w:leftChars="0" w:right="0" w:firstLine="640" w:firstLineChars="200"/>
        <w:textAlignment w:val="auto"/>
        <w:outlineLvl w:val="9"/>
        <w:rPr>
          <w:rFonts w:hint="eastAsia" w:ascii="仿宋_GB2312" w:eastAsia="仿宋_GB2312"/>
          <w:b w:val="0"/>
          <w:bCs w:val="0"/>
          <w:color w:val="auto"/>
          <w:sz w:val="32"/>
          <w:szCs w:val="32"/>
          <w:u w:val="none"/>
          <w:lang w:val="en-US" w:eastAsia="zh-CN"/>
        </w:rPr>
      </w:pPr>
      <w:r>
        <w:rPr>
          <w:rFonts w:hint="eastAsia" w:ascii="仿宋_GB2312" w:eastAsia="仿宋_GB2312"/>
          <w:b w:val="0"/>
          <w:bCs w:val="0"/>
          <w:color w:val="auto"/>
          <w:sz w:val="32"/>
          <w:szCs w:val="32"/>
          <w:u w:val="none"/>
          <w:lang w:val="en-US" w:eastAsia="zh-CN"/>
        </w:rPr>
        <w:t>项目具有明确的目标，项目实施过程中能够严格按照省市有关项目管理和资金管理规定执行，资金到位及时，使用得当。</w:t>
      </w:r>
    </w:p>
    <w:p>
      <w:pPr>
        <w:widowControl w:val="0"/>
        <w:numPr>
          <w:ilvl w:val="0"/>
          <w:numId w:val="0"/>
        </w:numPr>
        <w:wordWrap/>
        <w:spacing w:line="360" w:lineRule="auto"/>
        <w:ind w:left="0" w:leftChars="0" w:right="0" w:firstLine="640" w:firstLineChars="200"/>
        <w:textAlignment w:val="auto"/>
        <w:outlineLvl w:val="9"/>
        <w:rPr>
          <w:rFonts w:hint="eastAsia" w:ascii="仿宋_GB2312" w:eastAsia="仿宋_GB2312"/>
          <w:b w:val="0"/>
          <w:bCs w:val="0"/>
          <w:sz w:val="32"/>
          <w:szCs w:val="32"/>
          <w:lang w:val="en-US" w:eastAsia="zh-CN"/>
        </w:rPr>
      </w:pPr>
      <w:r>
        <w:rPr>
          <w:rFonts w:hint="eastAsia" w:ascii="仿宋_GB2312" w:eastAsia="仿宋_GB2312"/>
          <w:b w:val="0"/>
          <w:bCs w:val="0"/>
          <w:sz w:val="32"/>
          <w:szCs w:val="32"/>
          <w:lang w:val="en-US" w:eastAsia="zh-CN"/>
        </w:rPr>
        <w:t>该项目工程从前期调研、立项、论证、招标等工作，到项目实施、验收等工作，资料完整、齐全，该项目总得分99.5分，综合绩效评价等级为优秀。</w:t>
      </w:r>
    </w:p>
    <w:p>
      <w:pPr>
        <w:widowControl w:val="0"/>
        <w:numPr>
          <w:ilvl w:val="0"/>
          <w:numId w:val="0"/>
        </w:numPr>
        <w:wordWrap/>
        <w:spacing w:line="360" w:lineRule="auto"/>
        <w:ind w:left="0" w:leftChars="0" w:right="0" w:firstLine="640" w:firstLineChars="200"/>
        <w:textAlignment w:val="auto"/>
        <w:outlineLvl w:val="0"/>
        <w:rPr>
          <w:rFonts w:hint="eastAsia" w:ascii="仿宋_GB2312" w:eastAsia="仿宋_GB2312"/>
          <w:b w:val="0"/>
          <w:bCs w:val="0"/>
          <w:sz w:val="32"/>
          <w:szCs w:val="32"/>
          <w:lang w:val="en-US" w:eastAsia="zh-CN"/>
        </w:rPr>
      </w:pPr>
      <w:r>
        <w:rPr>
          <w:rFonts w:hint="eastAsia" w:ascii="黑体" w:hAnsi="黑体" w:eastAsia="黑体"/>
          <w:b w:val="0"/>
          <w:bCs w:val="0"/>
          <w:sz w:val="32"/>
          <w:szCs w:val="32"/>
          <w:lang w:val="en-US" w:eastAsia="zh-CN"/>
        </w:rPr>
        <w:t>五、存在的问题及改进措施</w:t>
      </w:r>
    </w:p>
    <w:p>
      <w:pPr>
        <w:widowControl w:val="0"/>
        <w:numPr>
          <w:ilvl w:val="0"/>
          <w:numId w:val="0"/>
        </w:numPr>
        <w:wordWrap/>
        <w:spacing w:line="360" w:lineRule="auto"/>
        <w:ind w:left="0" w:leftChars="0" w:right="0" w:firstLine="643" w:firstLineChars="200"/>
        <w:textAlignment w:val="auto"/>
        <w:outlineLvl w:val="1"/>
        <w:rPr>
          <w:rFonts w:hint="eastAsia" w:ascii="楷体_GB2312" w:hAnsi="楷体_GB2312" w:eastAsia="楷体_GB2312"/>
          <w:b/>
          <w:bCs/>
          <w:sz w:val="32"/>
          <w:szCs w:val="32"/>
          <w:lang w:val="en-US" w:eastAsia="zh-CN"/>
        </w:rPr>
      </w:pPr>
      <w:r>
        <w:rPr>
          <w:rFonts w:hint="eastAsia" w:ascii="楷体_GB2312" w:hAnsi="楷体_GB2312" w:eastAsia="楷体_GB2312"/>
          <w:b/>
          <w:bCs/>
          <w:sz w:val="32"/>
          <w:szCs w:val="32"/>
          <w:lang w:val="en-US" w:eastAsia="zh-CN"/>
        </w:rPr>
        <w:t>（一）项目存在的主要问题</w:t>
      </w:r>
    </w:p>
    <w:p>
      <w:pPr>
        <w:widowControl w:val="0"/>
        <w:numPr>
          <w:ilvl w:val="0"/>
          <w:numId w:val="0"/>
        </w:numPr>
        <w:wordWrap/>
        <w:spacing w:line="360" w:lineRule="auto"/>
        <w:ind w:left="0" w:leftChars="0" w:right="0" w:firstLine="640" w:firstLineChars="200"/>
        <w:textAlignment w:val="auto"/>
        <w:outlineLvl w:val="9"/>
        <w:rPr>
          <w:rFonts w:hint="eastAsia" w:ascii="仿宋_GB2312" w:eastAsia="仿宋_GB2312"/>
          <w:sz w:val="32"/>
          <w:szCs w:val="32"/>
          <w:lang w:val="en-US" w:eastAsia="zh-CN"/>
        </w:rPr>
      </w:pPr>
      <w:r>
        <w:rPr>
          <w:rFonts w:hint="eastAsia" w:ascii="仿宋_GB2312" w:eastAsia="仿宋_GB2312"/>
          <w:sz w:val="32"/>
          <w:szCs w:val="32"/>
          <w:lang w:val="en-US" w:eastAsia="zh-CN"/>
        </w:rPr>
        <w:t>主要填写项目绩效存在问题及原因分析,下一步拟采取的纠偏措施及对策建议,项目绩效目标指标设定存在的问题及修改完善措施</w:t>
      </w:r>
    </w:p>
    <w:p>
      <w:pPr>
        <w:widowControl w:val="0"/>
        <w:numPr>
          <w:ilvl w:val="0"/>
          <w:numId w:val="0"/>
        </w:numPr>
        <w:wordWrap/>
        <w:spacing w:line="360" w:lineRule="auto"/>
        <w:ind w:left="0" w:leftChars="0" w:right="0" w:firstLine="640" w:firstLineChars="200"/>
        <w:textAlignment w:val="auto"/>
        <w:outlineLvl w:val="9"/>
        <w:rPr>
          <w:rFonts w:hint="eastAsia" w:ascii="仿宋_GB2312" w:eastAsia="仿宋_GB2312"/>
          <w:sz w:val="32"/>
          <w:szCs w:val="32"/>
          <w:lang w:val="en-US" w:eastAsia="zh-CN"/>
        </w:rPr>
      </w:pPr>
      <w:r>
        <w:rPr>
          <w:rFonts w:hint="eastAsia" w:ascii="仿宋_GB2312" w:eastAsia="仿宋_GB2312"/>
          <w:sz w:val="32"/>
          <w:szCs w:val="32"/>
          <w:lang w:val="en-US" w:eastAsia="zh-CN"/>
        </w:rPr>
        <w:t>经济效益指标因当前大环境影响，传统媒体受新媒体冲击，提升电视收视率和广告收入比较困难。</w:t>
      </w:r>
    </w:p>
    <w:p>
      <w:pPr>
        <w:widowControl w:val="0"/>
        <w:numPr>
          <w:ilvl w:val="0"/>
          <w:numId w:val="2"/>
        </w:numPr>
        <w:wordWrap/>
        <w:spacing w:line="360" w:lineRule="auto"/>
        <w:ind w:left="0" w:leftChars="0" w:right="0" w:firstLine="643" w:firstLineChars="200"/>
        <w:textAlignment w:val="auto"/>
        <w:outlineLvl w:val="1"/>
        <w:rPr>
          <w:rFonts w:hint="eastAsia" w:ascii="楷体_GB2312" w:hAnsi="楷体_GB2312" w:eastAsia="楷体_GB2312"/>
          <w:b/>
          <w:bCs/>
          <w:sz w:val="32"/>
          <w:szCs w:val="32"/>
          <w:lang w:val="en-US" w:eastAsia="zh-CN"/>
        </w:rPr>
      </w:pPr>
      <w:r>
        <w:rPr>
          <w:rFonts w:hint="eastAsia" w:ascii="楷体_GB2312" w:hAnsi="楷体_GB2312" w:eastAsia="楷体_GB2312"/>
          <w:b/>
          <w:bCs/>
          <w:sz w:val="32"/>
          <w:szCs w:val="32"/>
          <w:lang w:val="en-US" w:eastAsia="zh-CN"/>
        </w:rPr>
        <w:t>针对问题提出具体的改进措施或建议</w:t>
      </w:r>
    </w:p>
    <w:p>
      <w:pPr>
        <w:widowControl w:val="0"/>
        <w:numPr>
          <w:ilvl w:val="0"/>
          <w:numId w:val="0"/>
        </w:numPr>
        <w:wordWrap/>
        <w:spacing w:line="360" w:lineRule="auto"/>
        <w:ind w:left="0" w:leftChars="0" w:right="0" w:firstLine="640" w:firstLineChars="200"/>
        <w:textAlignment w:val="auto"/>
        <w:outlineLvl w:val="9"/>
        <w:rPr>
          <w:rFonts w:hint="eastAsia" w:ascii="仿宋_GB2312" w:eastAsia="仿宋_GB2312"/>
          <w:sz w:val="32"/>
          <w:szCs w:val="32"/>
          <w:lang w:val="en-US" w:eastAsia="zh-CN"/>
        </w:rPr>
      </w:pPr>
      <w:r>
        <w:rPr>
          <w:rFonts w:hint="eastAsia" w:ascii="仿宋_GB2312" w:eastAsia="仿宋_GB2312"/>
          <w:sz w:val="32"/>
          <w:szCs w:val="32"/>
          <w:lang w:val="en-US" w:eastAsia="zh-CN"/>
        </w:rPr>
        <w:t>针对传统媒体收视率和广告收入下降的问题，我们力求通过这个项目的完成，提升节目质量，减缓收视率和广告收入降低的速度，同时拓宽新媒体市场份额和收入。</w:t>
      </w:r>
    </w:p>
    <w:p>
      <w:pPr>
        <w:widowControl w:val="0"/>
        <w:wordWrap/>
        <w:adjustRightInd w:val="0"/>
        <w:snapToGrid w:val="0"/>
        <w:spacing w:line="360" w:lineRule="auto"/>
        <w:ind w:left="0" w:leftChars="0" w:right="0" w:firstLine="640" w:firstLineChars="200"/>
        <w:textAlignment w:val="auto"/>
        <w:outlineLvl w:val="0"/>
        <w:rPr>
          <w:rFonts w:hint="eastAsia" w:ascii="仿宋_GB2312" w:hAnsi="仿宋" w:eastAsia="仿宋_GB2312"/>
          <w:sz w:val="32"/>
          <w:szCs w:val="32"/>
        </w:rPr>
      </w:pPr>
      <w:r>
        <w:rPr>
          <w:rFonts w:hint="eastAsia" w:ascii="黑体" w:eastAsia="黑体"/>
          <w:b w:val="0"/>
          <w:bCs w:val="0"/>
          <w:sz w:val="32"/>
          <w:szCs w:val="32"/>
          <w:lang w:eastAsia="zh-CN"/>
        </w:rPr>
        <w:t>六</w:t>
      </w:r>
      <w:r>
        <w:rPr>
          <w:rFonts w:hint="eastAsia" w:ascii="黑体" w:eastAsia="黑体"/>
          <w:b w:val="0"/>
          <w:bCs w:val="0"/>
          <w:sz w:val="32"/>
          <w:szCs w:val="32"/>
        </w:rPr>
        <w:t>、评价工作组人员名单及签字</w:t>
      </w:r>
      <w:r>
        <w:rPr>
          <w:rFonts w:hint="eastAsia" w:ascii="仿宋_GB2312" w:eastAsia="仿宋_GB2312"/>
          <w:sz w:val="32"/>
          <w:szCs w:val="32"/>
        </w:rPr>
        <w:t>（姓名、工作单位、职务、职称）</w:t>
      </w:r>
    </w:p>
    <w:tbl>
      <w:tblPr>
        <w:tblStyle w:val="7"/>
        <w:tblW w:w="9055" w:type="dxa"/>
        <w:tblInd w:w="-2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9"/>
        <w:gridCol w:w="2021"/>
        <w:gridCol w:w="2243"/>
        <w:gridCol w:w="1971"/>
        <w:gridCol w:w="15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9" w:type="dxa"/>
          </w:tcPr>
          <w:p>
            <w:pPr>
              <w:widowControl w:val="0"/>
              <w:wordWrap/>
              <w:spacing w:line="360" w:lineRule="auto"/>
              <w:ind w:right="0"/>
              <w:jc w:val="center"/>
              <w:textAlignment w:val="auto"/>
              <w:outlineLvl w:val="9"/>
              <w:rPr>
                <w:rFonts w:hint="eastAsia" w:eastAsia="宋体"/>
                <w:sz w:val="32"/>
                <w:szCs w:val="32"/>
                <w:vertAlign w:val="baseline"/>
                <w:lang w:eastAsia="zh-CN"/>
              </w:rPr>
            </w:pPr>
            <w:r>
              <w:rPr>
                <w:rFonts w:hint="eastAsia"/>
                <w:sz w:val="32"/>
                <w:szCs w:val="32"/>
                <w:vertAlign w:val="baseline"/>
                <w:lang w:eastAsia="zh-CN"/>
              </w:rPr>
              <w:t>姓名</w:t>
            </w:r>
          </w:p>
        </w:tc>
        <w:tc>
          <w:tcPr>
            <w:tcW w:w="2021" w:type="dxa"/>
          </w:tcPr>
          <w:p>
            <w:pPr>
              <w:widowControl w:val="0"/>
              <w:wordWrap/>
              <w:spacing w:line="360" w:lineRule="auto"/>
              <w:ind w:right="0"/>
              <w:jc w:val="center"/>
              <w:textAlignment w:val="auto"/>
              <w:outlineLvl w:val="9"/>
              <w:rPr>
                <w:rFonts w:hint="eastAsia" w:eastAsia="宋体"/>
                <w:sz w:val="32"/>
                <w:szCs w:val="32"/>
                <w:vertAlign w:val="baseline"/>
                <w:lang w:eastAsia="zh-CN"/>
              </w:rPr>
            </w:pPr>
            <w:r>
              <w:rPr>
                <w:rFonts w:hint="eastAsia"/>
                <w:sz w:val="32"/>
                <w:szCs w:val="32"/>
                <w:vertAlign w:val="baseline"/>
                <w:lang w:eastAsia="zh-CN"/>
              </w:rPr>
              <w:t>工作单位</w:t>
            </w:r>
          </w:p>
        </w:tc>
        <w:tc>
          <w:tcPr>
            <w:tcW w:w="2243" w:type="dxa"/>
          </w:tcPr>
          <w:p>
            <w:pPr>
              <w:widowControl w:val="0"/>
              <w:wordWrap/>
              <w:spacing w:line="360" w:lineRule="auto"/>
              <w:ind w:right="0"/>
              <w:jc w:val="center"/>
              <w:textAlignment w:val="auto"/>
              <w:outlineLvl w:val="9"/>
              <w:rPr>
                <w:rFonts w:hint="eastAsia" w:eastAsia="宋体"/>
                <w:sz w:val="32"/>
                <w:szCs w:val="32"/>
                <w:vertAlign w:val="baseline"/>
                <w:lang w:eastAsia="zh-CN"/>
              </w:rPr>
            </w:pPr>
            <w:r>
              <w:rPr>
                <w:rFonts w:hint="eastAsia"/>
                <w:sz w:val="32"/>
                <w:szCs w:val="32"/>
                <w:vertAlign w:val="baseline"/>
                <w:lang w:eastAsia="zh-CN"/>
              </w:rPr>
              <w:t>职务</w:t>
            </w:r>
          </w:p>
        </w:tc>
        <w:tc>
          <w:tcPr>
            <w:tcW w:w="1971" w:type="dxa"/>
          </w:tcPr>
          <w:p>
            <w:pPr>
              <w:widowControl w:val="0"/>
              <w:wordWrap/>
              <w:spacing w:line="360" w:lineRule="auto"/>
              <w:ind w:right="0"/>
              <w:jc w:val="center"/>
              <w:textAlignment w:val="auto"/>
              <w:outlineLvl w:val="9"/>
              <w:rPr>
                <w:rFonts w:hint="eastAsia" w:eastAsia="宋体"/>
                <w:sz w:val="32"/>
                <w:szCs w:val="32"/>
                <w:vertAlign w:val="baseline"/>
                <w:lang w:eastAsia="zh-CN"/>
              </w:rPr>
            </w:pPr>
            <w:r>
              <w:rPr>
                <w:rFonts w:hint="eastAsia"/>
                <w:sz w:val="32"/>
                <w:szCs w:val="32"/>
                <w:vertAlign w:val="baseline"/>
                <w:lang w:eastAsia="zh-CN"/>
              </w:rPr>
              <w:t>职称</w:t>
            </w:r>
          </w:p>
        </w:tc>
        <w:tc>
          <w:tcPr>
            <w:tcW w:w="1511" w:type="dxa"/>
          </w:tcPr>
          <w:p>
            <w:pPr>
              <w:widowControl w:val="0"/>
              <w:wordWrap/>
              <w:spacing w:line="360" w:lineRule="auto"/>
              <w:ind w:right="0"/>
              <w:jc w:val="center"/>
              <w:textAlignment w:val="auto"/>
              <w:outlineLvl w:val="9"/>
              <w:rPr>
                <w:rFonts w:hint="eastAsia" w:eastAsia="宋体"/>
                <w:sz w:val="32"/>
                <w:szCs w:val="32"/>
                <w:vertAlign w:val="baseline"/>
                <w:lang w:eastAsia="zh-CN"/>
              </w:rPr>
            </w:pPr>
            <w:r>
              <w:rPr>
                <w:rFonts w:hint="eastAsia"/>
                <w:sz w:val="32"/>
                <w:szCs w:val="32"/>
                <w:vertAlign w:val="baseline"/>
                <w:lang w:eastAsia="zh-CN"/>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309" w:type="dxa"/>
          </w:tcPr>
          <w:p>
            <w:pPr>
              <w:widowControl w:val="0"/>
              <w:wordWrap/>
              <w:spacing w:line="360" w:lineRule="auto"/>
              <w:ind w:right="0"/>
              <w:jc w:val="center"/>
              <w:textAlignment w:val="auto"/>
              <w:outlineLvl w:val="9"/>
              <w:rPr>
                <w:rFonts w:hint="eastAsia" w:eastAsia="宋体"/>
                <w:color w:val="auto"/>
                <w:vertAlign w:val="baseline"/>
                <w:lang w:eastAsia="zh-CN"/>
              </w:rPr>
            </w:pPr>
            <w:r>
              <w:rPr>
                <w:rFonts w:hint="eastAsia"/>
                <w:color w:val="auto"/>
                <w:vertAlign w:val="baseline"/>
                <w:lang w:eastAsia="zh-CN"/>
              </w:rPr>
              <w:t>刘兵</w:t>
            </w:r>
          </w:p>
        </w:tc>
        <w:tc>
          <w:tcPr>
            <w:tcW w:w="2021" w:type="dxa"/>
          </w:tcPr>
          <w:p>
            <w:pPr>
              <w:widowControl w:val="0"/>
              <w:wordWrap/>
              <w:spacing w:line="360" w:lineRule="auto"/>
              <w:ind w:right="0"/>
              <w:textAlignment w:val="auto"/>
              <w:outlineLvl w:val="9"/>
              <w:rPr>
                <w:rFonts w:hint="eastAsia" w:eastAsia="宋体"/>
                <w:color w:val="auto"/>
                <w:vertAlign w:val="baseline"/>
                <w:lang w:eastAsia="zh-CN"/>
              </w:rPr>
            </w:pPr>
            <w:r>
              <w:rPr>
                <w:rFonts w:hint="eastAsia"/>
                <w:color w:val="auto"/>
                <w:vertAlign w:val="baseline"/>
                <w:lang w:eastAsia="zh-CN"/>
              </w:rPr>
              <w:t>石家庄广播电视台</w:t>
            </w:r>
          </w:p>
        </w:tc>
        <w:tc>
          <w:tcPr>
            <w:tcW w:w="2243" w:type="dxa"/>
          </w:tcPr>
          <w:p>
            <w:pPr>
              <w:widowControl w:val="0"/>
              <w:wordWrap/>
              <w:spacing w:line="360" w:lineRule="auto"/>
              <w:ind w:right="0"/>
              <w:textAlignment w:val="auto"/>
              <w:outlineLvl w:val="9"/>
              <w:rPr>
                <w:rFonts w:hint="eastAsia" w:eastAsia="宋体"/>
                <w:color w:val="auto"/>
                <w:vertAlign w:val="baseline"/>
                <w:lang w:eastAsia="zh-CN"/>
              </w:rPr>
            </w:pPr>
            <w:r>
              <w:rPr>
                <w:rFonts w:hint="eastAsia"/>
                <w:color w:val="auto"/>
                <w:vertAlign w:val="baseline"/>
                <w:lang w:eastAsia="zh-CN"/>
              </w:rPr>
              <w:t>生活频道总监</w:t>
            </w:r>
          </w:p>
        </w:tc>
        <w:tc>
          <w:tcPr>
            <w:tcW w:w="1971" w:type="dxa"/>
          </w:tcPr>
          <w:p>
            <w:pPr>
              <w:widowControl w:val="0"/>
              <w:wordWrap/>
              <w:spacing w:line="360" w:lineRule="auto"/>
              <w:ind w:right="0"/>
              <w:textAlignment w:val="auto"/>
              <w:outlineLvl w:val="9"/>
              <w:rPr>
                <w:rFonts w:hint="eastAsia" w:eastAsia="宋体"/>
                <w:color w:val="auto"/>
                <w:vertAlign w:val="baseline"/>
                <w:lang w:eastAsia="zh-CN"/>
              </w:rPr>
            </w:pPr>
          </w:p>
        </w:tc>
        <w:tc>
          <w:tcPr>
            <w:tcW w:w="1511" w:type="dxa"/>
          </w:tcPr>
          <w:p>
            <w:pPr>
              <w:widowControl w:val="0"/>
              <w:wordWrap/>
              <w:spacing w:line="360" w:lineRule="auto"/>
              <w:ind w:right="0"/>
              <w:textAlignment w:val="auto"/>
              <w:outlineLvl w:val="9"/>
              <w:rPr>
                <w:color w:val="auto"/>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9" w:type="dxa"/>
          </w:tcPr>
          <w:p>
            <w:pPr>
              <w:widowControl w:val="0"/>
              <w:wordWrap/>
              <w:spacing w:line="360" w:lineRule="auto"/>
              <w:ind w:right="0"/>
              <w:jc w:val="center"/>
              <w:textAlignment w:val="auto"/>
              <w:outlineLvl w:val="9"/>
              <w:rPr>
                <w:rFonts w:hint="eastAsia" w:eastAsia="宋体"/>
                <w:color w:val="auto"/>
                <w:vertAlign w:val="baseline"/>
                <w:lang w:eastAsia="zh-CN"/>
              </w:rPr>
            </w:pPr>
            <w:r>
              <w:rPr>
                <w:rFonts w:hint="eastAsia"/>
                <w:color w:val="auto"/>
                <w:vertAlign w:val="baseline"/>
                <w:lang w:eastAsia="zh-CN"/>
              </w:rPr>
              <w:t>翟刚</w:t>
            </w:r>
          </w:p>
        </w:tc>
        <w:tc>
          <w:tcPr>
            <w:tcW w:w="2021" w:type="dxa"/>
          </w:tcPr>
          <w:p>
            <w:pPr>
              <w:widowControl w:val="0"/>
              <w:wordWrap/>
              <w:spacing w:line="360" w:lineRule="auto"/>
              <w:ind w:right="0"/>
              <w:textAlignment w:val="auto"/>
              <w:outlineLvl w:val="9"/>
              <w:rPr>
                <w:color w:val="auto"/>
                <w:vertAlign w:val="baseline"/>
              </w:rPr>
            </w:pPr>
            <w:r>
              <w:rPr>
                <w:rFonts w:hint="eastAsia"/>
                <w:color w:val="auto"/>
                <w:vertAlign w:val="baseline"/>
                <w:lang w:eastAsia="zh-CN"/>
              </w:rPr>
              <w:t>石家庄广播电视台</w:t>
            </w:r>
          </w:p>
        </w:tc>
        <w:tc>
          <w:tcPr>
            <w:tcW w:w="2243" w:type="dxa"/>
          </w:tcPr>
          <w:p>
            <w:pPr>
              <w:widowControl w:val="0"/>
              <w:wordWrap/>
              <w:spacing w:line="360" w:lineRule="auto"/>
              <w:ind w:right="0"/>
              <w:textAlignment w:val="auto"/>
              <w:outlineLvl w:val="9"/>
              <w:rPr>
                <w:rFonts w:hint="eastAsia" w:eastAsia="宋体"/>
                <w:color w:val="auto"/>
                <w:vertAlign w:val="baseline"/>
                <w:lang w:eastAsia="zh-CN"/>
              </w:rPr>
            </w:pPr>
            <w:r>
              <w:rPr>
                <w:rFonts w:hint="eastAsia"/>
                <w:color w:val="auto"/>
                <w:vertAlign w:val="baseline"/>
                <w:lang w:eastAsia="zh-CN"/>
              </w:rPr>
              <w:t>生活频道副总监</w:t>
            </w:r>
          </w:p>
        </w:tc>
        <w:tc>
          <w:tcPr>
            <w:tcW w:w="1971" w:type="dxa"/>
          </w:tcPr>
          <w:p>
            <w:pPr>
              <w:widowControl w:val="0"/>
              <w:wordWrap/>
              <w:spacing w:line="360" w:lineRule="auto"/>
              <w:ind w:right="0"/>
              <w:textAlignment w:val="auto"/>
              <w:outlineLvl w:val="9"/>
              <w:rPr>
                <w:rFonts w:hint="eastAsia" w:eastAsia="宋体"/>
                <w:color w:val="auto"/>
                <w:vertAlign w:val="baseline"/>
                <w:lang w:eastAsia="zh-CN"/>
              </w:rPr>
            </w:pPr>
          </w:p>
        </w:tc>
        <w:tc>
          <w:tcPr>
            <w:tcW w:w="1511" w:type="dxa"/>
          </w:tcPr>
          <w:p>
            <w:pPr>
              <w:widowControl w:val="0"/>
              <w:wordWrap/>
              <w:spacing w:line="360" w:lineRule="auto"/>
              <w:ind w:right="0"/>
              <w:textAlignment w:val="auto"/>
              <w:outlineLvl w:val="9"/>
              <w:rPr>
                <w:color w:val="auto"/>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9" w:type="dxa"/>
            <w:vAlign w:val="top"/>
          </w:tcPr>
          <w:p>
            <w:pPr>
              <w:widowControl w:val="0"/>
              <w:wordWrap/>
              <w:spacing w:line="360" w:lineRule="auto"/>
              <w:ind w:right="0" w:rightChars="0"/>
              <w:jc w:val="center"/>
              <w:textAlignment w:val="auto"/>
              <w:outlineLvl w:val="9"/>
              <w:rPr>
                <w:rFonts w:hint="eastAsia" w:eastAsia="宋体"/>
                <w:color w:val="auto"/>
                <w:lang w:eastAsia="zh-CN"/>
              </w:rPr>
            </w:pPr>
            <w:r>
              <w:rPr>
                <w:rFonts w:hint="eastAsia"/>
                <w:color w:val="auto"/>
                <w:lang w:eastAsia="zh-CN"/>
              </w:rPr>
              <w:t>李诚</w:t>
            </w:r>
          </w:p>
        </w:tc>
        <w:tc>
          <w:tcPr>
            <w:tcW w:w="2021" w:type="dxa"/>
            <w:vAlign w:val="top"/>
          </w:tcPr>
          <w:p>
            <w:pPr>
              <w:widowControl w:val="0"/>
              <w:wordWrap/>
              <w:spacing w:line="360" w:lineRule="auto"/>
              <w:ind w:right="0" w:rightChars="0"/>
              <w:textAlignment w:val="auto"/>
              <w:outlineLvl w:val="9"/>
              <w:rPr>
                <w:rFonts w:hint="eastAsia"/>
                <w:color w:val="auto"/>
                <w:vertAlign w:val="baseline"/>
                <w:lang w:eastAsia="zh-CN"/>
              </w:rPr>
            </w:pPr>
            <w:r>
              <w:rPr>
                <w:rFonts w:hint="eastAsia"/>
                <w:color w:val="auto"/>
                <w:vertAlign w:val="baseline"/>
                <w:lang w:eastAsia="zh-CN"/>
              </w:rPr>
              <w:t>石家庄广播电视台</w:t>
            </w:r>
          </w:p>
        </w:tc>
        <w:tc>
          <w:tcPr>
            <w:tcW w:w="2243" w:type="dxa"/>
            <w:vAlign w:val="top"/>
          </w:tcPr>
          <w:p>
            <w:pPr>
              <w:widowControl w:val="0"/>
              <w:wordWrap/>
              <w:spacing w:line="360" w:lineRule="auto"/>
              <w:ind w:right="0" w:rightChars="0"/>
              <w:textAlignment w:val="auto"/>
              <w:outlineLvl w:val="9"/>
              <w:rPr>
                <w:rFonts w:hint="eastAsia"/>
                <w:color w:val="auto"/>
                <w:vertAlign w:val="baseline"/>
                <w:lang w:eastAsia="zh-CN"/>
              </w:rPr>
            </w:pPr>
            <w:r>
              <w:rPr>
                <w:rFonts w:hint="eastAsia"/>
                <w:color w:val="auto"/>
                <w:vertAlign w:val="baseline"/>
                <w:lang w:eastAsia="zh-CN"/>
              </w:rPr>
              <w:t>生活频道制片人</w:t>
            </w:r>
          </w:p>
        </w:tc>
        <w:tc>
          <w:tcPr>
            <w:tcW w:w="1971" w:type="dxa"/>
            <w:vAlign w:val="top"/>
          </w:tcPr>
          <w:p>
            <w:pPr>
              <w:widowControl w:val="0"/>
              <w:wordWrap/>
              <w:spacing w:line="360" w:lineRule="auto"/>
              <w:ind w:right="0" w:rightChars="0"/>
              <w:textAlignment w:val="auto"/>
              <w:outlineLvl w:val="9"/>
              <w:rPr>
                <w:rFonts w:hint="eastAsia"/>
                <w:color w:val="auto"/>
                <w:vertAlign w:val="baseline"/>
                <w:lang w:eastAsia="zh-CN"/>
              </w:rPr>
            </w:pPr>
          </w:p>
        </w:tc>
        <w:tc>
          <w:tcPr>
            <w:tcW w:w="1511" w:type="dxa"/>
          </w:tcPr>
          <w:p>
            <w:pPr>
              <w:widowControl w:val="0"/>
              <w:wordWrap/>
              <w:spacing w:line="360" w:lineRule="auto"/>
              <w:ind w:right="0"/>
              <w:textAlignment w:val="auto"/>
              <w:outlineLvl w:val="9"/>
              <w:rPr>
                <w:color w:val="auto"/>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9" w:type="dxa"/>
          </w:tcPr>
          <w:p>
            <w:pPr>
              <w:widowControl w:val="0"/>
              <w:wordWrap/>
              <w:spacing w:line="360" w:lineRule="auto"/>
              <w:ind w:right="0"/>
              <w:jc w:val="center"/>
              <w:textAlignment w:val="auto"/>
              <w:outlineLvl w:val="9"/>
              <w:rPr>
                <w:rFonts w:hint="eastAsia" w:eastAsia="宋体"/>
                <w:color w:val="auto"/>
                <w:vertAlign w:val="baseline"/>
                <w:lang w:eastAsia="zh-CN"/>
              </w:rPr>
            </w:pPr>
            <w:r>
              <w:rPr>
                <w:rFonts w:hint="eastAsia"/>
                <w:color w:val="auto"/>
                <w:vertAlign w:val="baseline"/>
                <w:lang w:eastAsia="zh-CN"/>
              </w:rPr>
              <w:t>王少锋</w:t>
            </w:r>
          </w:p>
        </w:tc>
        <w:tc>
          <w:tcPr>
            <w:tcW w:w="2021" w:type="dxa"/>
          </w:tcPr>
          <w:p>
            <w:pPr>
              <w:widowControl w:val="0"/>
              <w:wordWrap/>
              <w:spacing w:line="360" w:lineRule="auto"/>
              <w:ind w:right="0"/>
              <w:textAlignment w:val="auto"/>
              <w:outlineLvl w:val="9"/>
              <w:rPr>
                <w:color w:val="auto"/>
                <w:vertAlign w:val="baseline"/>
              </w:rPr>
            </w:pPr>
            <w:r>
              <w:rPr>
                <w:rFonts w:hint="eastAsia"/>
                <w:color w:val="auto"/>
                <w:vertAlign w:val="baseline"/>
                <w:lang w:eastAsia="zh-CN"/>
              </w:rPr>
              <w:t>石家庄广播电视台</w:t>
            </w:r>
          </w:p>
        </w:tc>
        <w:tc>
          <w:tcPr>
            <w:tcW w:w="2243" w:type="dxa"/>
          </w:tcPr>
          <w:p>
            <w:pPr>
              <w:widowControl w:val="0"/>
              <w:wordWrap/>
              <w:spacing w:line="360" w:lineRule="auto"/>
              <w:ind w:right="0"/>
              <w:textAlignment w:val="auto"/>
              <w:outlineLvl w:val="9"/>
              <w:rPr>
                <w:rFonts w:hint="eastAsia" w:eastAsia="宋体"/>
                <w:color w:val="auto"/>
                <w:vertAlign w:val="baseline"/>
                <w:lang w:eastAsia="zh-CN"/>
              </w:rPr>
            </w:pPr>
            <w:r>
              <w:rPr>
                <w:rFonts w:hint="eastAsia"/>
                <w:color w:val="auto"/>
                <w:vertAlign w:val="baseline"/>
                <w:lang w:eastAsia="zh-CN"/>
              </w:rPr>
              <w:t>生活频道制片人</w:t>
            </w:r>
          </w:p>
        </w:tc>
        <w:tc>
          <w:tcPr>
            <w:tcW w:w="1971" w:type="dxa"/>
          </w:tcPr>
          <w:p>
            <w:pPr>
              <w:widowControl w:val="0"/>
              <w:wordWrap/>
              <w:spacing w:line="360" w:lineRule="auto"/>
              <w:ind w:right="0"/>
              <w:textAlignment w:val="auto"/>
              <w:outlineLvl w:val="9"/>
              <w:rPr>
                <w:rFonts w:hint="eastAsia" w:eastAsia="宋体"/>
                <w:color w:val="auto"/>
                <w:vertAlign w:val="baseline"/>
                <w:lang w:eastAsia="zh-CN"/>
              </w:rPr>
            </w:pPr>
          </w:p>
        </w:tc>
        <w:tc>
          <w:tcPr>
            <w:tcW w:w="1511" w:type="dxa"/>
          </w:tcPr>
          <w:p>
            <w:pPr>
              <w:widowControl w:val="0"/>
              <w:wordWrap/>
              <w:spacing w:line="360" w:lineRule="auto"/>
              <w:ind w:right="0"/>
              <w:textAlignment w:val="auto"/>
              <w:outlineLvl w:val="9"/>
              <w:rPr>
                <w:color w:val="auto"/>
                <w:vertAlign w:val="baseline"/>
              </w:rPr>
            </w:pPr>
          </w:p>
        </w:tc>
      </w:tr>
    </w:tbl>
    <w:p>
      <w:pPr>
        <w:widowControl w:val="0"/>
        <w:wordWrap/>
        <w:spacing w:line="360" w:lineRule="auto"/>
        <w:ind w:left="0" w:leftChars="0" w:right="0"/>
        <w:textAlignment w:val="auto"/>
        <w:outlineLvl w:val="9"/>
      </w:pPr>
    </w:p>
    <w:p>
      <w:pPr>
        <w:widowControl w:val="0"/>
        <w:wordWrap/>
        <w:spacing w:line="360" w:lineRule="auto"/>
        <w:ind w:left="0" w:leftChars="0" w:right="0"/>
        <w:textAlignment w:val="auto"/>
        <w:outlineLvl w:val="9"/>
      </w:pPr>
    </w:p>
    <w:p>
      <w:pPr>
        <w:widowControl w:val="0"/>
        <w:wordWrap/>
        <w:spacing w:line="360" w:lineRule="auto"/>
        <w:ind w:left="0" w:leftChars="0" w:right="0"/>
        <w:textAlignment w:val="auto"/>
        <w:outlineLvl w:val="9"/>
      </w:pPr>
    </w:p>
    <w:p/>
    <w:sectPr>
      <w:headerReference r:id="rId3" w:type="default"/>
      <w:footerReference r:id="rId4" w:type="default"/>
      <w:pgSz w:w="11906" w:h="16838"/>
      <w:pgMar w:top="1440" w:right="1800" w:bottom="1440" w:left="180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- 1 -</w:t>
                          </w:r>
                          <w:r>
                            <w:rPr>
                              <w:rFonts w:hint="eastAsia"/>
                              <w:sz w:val="18"/>
                              <w:lang w:eastAsia="zh-CN"/>
                            </w:rP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M6pebnPAAAABQEA&#10;AA8AAAAAAAAAAQAgAAAAIgAAAGRycy9kb3ducmV2LnhtbFBLAQIUABQAAAAIAIdO4kCKLCCisQEA&#10;AE4DAAAOAAAAAAAAAAEAIAAAAB4BAABkcnMvZTJvRG9jLnhtbFBLBQYAAAAABgAGAFkBAABBBQAA&#10;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- 1 -</w:t>
                    </w:r>
                    <w:r>
                      <w:rPr>
                        <w:rFonts w:hint="eastAsia"/>
                        <w:sz w:val="1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68489B"/>
    <w:multiLevelType w:val="singleLevel"/>
    <w:tmpl w:val="5E68489B"/>
    <w:lvl w:ilvl="0" w:tentative="0">
      <w:start w:val="1"/>
      <w:numFmt w:val="chineseCounting"/>
      <w:suff w:val="nothing"/>
      <w:lvlText w:val="（%1）"/>
      <w:lvlJc w:val="left"/>
    </w:lvl>
  </w:abstractNum>
  <w:abstractNum w:abstractNumId="1">
    <w:nsid w:val="66B89FC1"/>
    <w:multiLevelType w:val="singleLevel"/>
    <w:tmpl w:val="66B89FC1"/>
    <w:lvl w:ilvl="0" w:tentative="0">
      <w:start w:val="2"/>
      <w:numFmt w:val="chineseCounting"/>
      <w:suff w:val="nothing"/>
      <w:lvlText w:val="（%1）"/>
      <w:lvlJc w:val="left"/>
      <w:pPr>
        <w:ind w:left="642" w:leftChars="0" w:firstLine="0" w:firstLineChars="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BD2122"/>
    <w:rsid w:val="00530308"/>
    <w:rsid w:val="01263398"/>
    <w:rsid w:val="014B3D43"/>
    <w:rsid w:val="020F0375"/>
    <w:rsid w:val="022F5D6B"/>
    <w:rsid w:val="026D526D"/>
    <w:rsid w:val="02B43A28"/>
    <w:rsid w:val="031F0958"/>
    <w:rsid w:val="03717380"/>
    <w:rsid w:val="04805B89"/>
    <w:rsid w:val="04CB2778"/>
    <w:rsid w:val="05711D9A"/>
    <w:rsid w:val="05F2039A"/>
    <w:rsid w:val="073F19AF"/>
    <w:rsid w:val="07582E12"/>
    <w:rsid w:val="07CD4228"/>
    <w:rsid w:val="088303D7"/>
    <w:rsid w:val="08BD68F7"/>
    <w:rsid w:val="09A01C5C"/>
    <w:rsid w:val="09A95ECA"/>
    <w:rsid w:val="0A1C3A07"/>
    <w:rsid w:val="0ABB01A3"/>
    <w:rsid w:val="0B965B2C"/>
    <w:rsid w:val="0C053655"/>
    <w:rsid w:val="0C56148B"/>
    <w:rsid w:val="0E0504E8"/>
    <w:rsid w:val="0E1C7C54"/>
    <w:rsid w:val="0E6B1A5B"/>
    <w:rsid w:val="0E9B669E"/>
    <w:rsid w:val="0EB97A43"/>
    <w:rsid w:val="0EBD2122"/>
    <w:rsid w:val="0F586290"/>
    <w:rsid w:val="0F9471B5"/>
    <w:rsid w:val="11A87931"/>
    <w:rsid w:val="11B71E6A"/>
    <w:rsid w:val="12553883"/>
    <w:rsid w:val="12586682"/>
    <w:rsid w:val="1460732E"/>
    <w:rsid w:val="14BE75A5"/>
    <w:rsid w:val="15195427"/>
    <w:rsid w:val="15394360"/>
    <w:rsid w:val="15890D29"/>
    <w:rsid w:val="158F20E1"/>
    <w:rsid w:val="15EA4E66"/>
    <w:rsid w:val="162A5BA0"/>
    <w:rsid w:val="16515BF2"/>
    <w:rsid w:val="16836FB7"/>
    <w:rsid w:val="16BE7DC1"/>
    <w:rsid w:val="16CC23A5"/>
    <w:rsid w:val="171A203D"/>
    <w:rsid w:val="18250397"/>
    <w:rsid w:val="194E65F2"/>
    <w:rsid w:val="19A36B8F"/>
    <w:rsid w:val="1A46389B"/>
    <w:rsid w:val="1A480489"/>
    <w:rsid w:val="1A4E7B6B"/>
    <w:rsid w:val="1AAF0063"/>
    <w:rsid w:val="1AC95206"/>
    <w:rsid w:val="1B3A2811"/>
    <w:rsid w:val="1BE140DE"/>
    <w:rsid w:val="1CA00C2C"/>
    <w:rsid w:val="1CDA5D8C"/>
    <w:rsid w:val="1D161263"/>
    <w:rsid w:val="1D361D18"/>
    <w:rsid w:val="1D8272B1"/>
    <w:rsid w:val="1DDE1D5D"/>
    <w:rsid w:val="1E0D4C76"/>
    <w:rsid w:val="1EE014AA"/>
    <w:rsid w:val="1F02090D"/>
    <w:rsid w:val="1FEC1BB9"/>
    <w:rsid w:val="204743B3"/>
    <w:rsid w:val="20500B0D"/>
    <w:rsid w:val="20876D32"/>
    <w:rsid w:val="215C0267"/>
    <w:rsid w:val="21F227C8"/>
    <w:rsid w:val="21FD7636"/>
    <w:rsid w:val="22FC19BD"/>
    <w:rsid w:val="23844274"/>
    <w:rsid w:val="23FF1F39"/>
    <w:rsid w:val="2475428C"/>
    <w:rsid w:val="248C197D"/>
    <w:rsid w:val="252959AF"/>
    <w:rsid w:val="258204E4"/>
    <w:rsid w:val="25951341"/>
    <w:rsid w:val="25D71DA7"/>
    <w:rsid w:val="26CD582A"/>
    <w:rsid w:val="273E7B4C"/>
    <w:rsid w:val="277A6671"/>
    <w:rsid w:val="28570FCB"/>
    <w:rsid w:val="28C91B78"/>
    <w:rsid w:val="29245038"/>
    <w:rsid w:val="299F7B89"/>
    <w:rsid w:val="29A2254A"/>
    <w:rsid w:val="29AB2358"/>
    <w:rsid w:val="2AC906CF"/>
    <w:rsid w:val="2B196C45"/>
    <w:rsid w:val="2C62582B"/>
    <w:rsid w:val="2CD47CFA"/>
    <w:rsid w:val="2CE97190"/>
    <w:rsid w:val="2DD92418"/>
    <w:rsid w:val="2F761BAF"/>
    <w:rsid w:val="30824F46"/>
    <w:rsid w:val="30C15ABE"/>
    <w:rsid w:val="31544C37"/>
    <w:rsid w:val="32436162"/>
    <w:rsid w:val="328A7D62"/>
    <w:rsid w:val="32D5693E"/>
    <w:rsid w:val="335C61B9"/>
    <w:rsid w:val="33B11115"/>
    <w:rsid w:val="33EB6CFF"/>
    <w:rsid w:val="34357404"/>
    <w:rsid w:val="35230053"/>
    <w:rsid w:val="35277408"/>
    <w:rsid w:val="353F0394"/>
    <w:rsid w:val="3624596F"/>
    <w:rsid w:val="366828CA"/>
    <w:rsid w:val="36ED5747"/>
    <w:rsid w:val="371A10BB"/>
    <w:rsid w:val="375E525A"/>
    <w:rsid w:val="386C6581"/>
    <w:rsid w:val="393F1EC2"/>
    <w:rsid w:val="3AFF2997"/>
    <w:rsid w:val="3B286E81"/>
    <w:rsid w:val="3B4746F6"/>
    <w:rsid w:val="3B5B44D2"/>
    <w:rsid w:val="3B625C0A"/>
    <w:rsid w:val="3B7A518B"/>
    <w:rsid w:val="3B9B1C2B"/>
    <w:rsid w:val="3BB95811"/>
    <w:rsid w:val="3C5D6727"/>
    <w:rsid w:val="3CEC5353"/>
    <w:rsid w:val="3CEE1963"/>
    <w:rsid w:val="3CF768E3"/>
    <w:rsid w:val="3DB86606"/>
    <w:rsid w:val="3E592097"/>
    <w:rsid w:val="3EBB5138"/>
    <w:rsid w:val="3EC4738D"/>
    <w:rsid w:val="3EDB09C8"/>
    <w:rsid w:val="3EFC698A"/>
    <w:rsid w:val="3F3B4591"/>
    <w:rsid w:val="3F7E11E1"/>
    <w:rsid w:val="3FC61E44"/>
    <w:rsid w:val="40186775"/>
    <w:rsid w:val="40554BF1"/>
    <w:rsid w:val="40B67F58"/>
    <w:rsid w:val="41535BAD"/>
    <w:rsid w:val="41C712FE"/>
    <w:rsid w:val="41FB3A76"/>
    <w:rsid w:val="42543EEC"/>
    <w:rsid w:val="426E7BF8"/>
    <w:rsid w:val="427F023E"/>
    <w:rsid w:val="45574ADC"/>
    <w:rsid w:val="458364F6"/>
    <w:rsid w:val="45AD0A99"/>
    <w:rsid w:val="47144B58"/>
    <w:rsid w:val="47A828C4"/>
    <w:rsid w:val="47C31A28"/>
    <w:rsid w:val="48086B42"/>
    <w:rsid w:val="485C7BB8"/>
    <w:rsid w:val="48F21D26"/>
    <w:rsid w:val="499E0071"/>
    <w:rsid w:val="4A071EF9"/>
    <w:rsid w:val="4A2671D3"/>
    <w:rsid w:val="4B7A118F"/>
    <w:rsid w:val="4BFE11BA"/>
    <w:rsid w:val="4C7A236B"/>
    <w:rsid w:val="4D374AA3"/>
    <w:rsid w:val="4EBB6676"/>
    <w:rsid w:val="512260B4"/>
    <w:rsid w:val="520271B2"/>
    <w:rsid w:val="52987325"/>
    <w:rsid w:val="54861280"/>
    <w:rsid w:val="551063E1"/>
    <w:rsid w:val="55886989"/>
    <w:rsid w:val="564901FB"/>
    <w:rsid w:val="567E45EF"/>
    <w:rsid w:val="56A84E6A"/>
    <w:rsid w:val="56E11F33"/>
    <w:rsid w:val="57231214"/>
    <w:rsid w:val="578B1746"/>
    <w:rsid w:val="57C42E38"/>
    <w:rsid w:val="58037A01"/>
    <w:rsid w:val="58355E5C"/>
    <w:rsid w:val="58420E79"/>
    <w:rsid w:val="598A150A"/>
    <w:rsid w:val="5B0F2709"/>
    <w:rsid w:val="5B1B7AAF"/>
    <w:rsid w:val="5B6D1183"/>
    <w:rsid w:val="5BA479F5"/>
    <w:rsid w:val="5BCE5451"/>
    <w:rsid w:val="5C230116"/>
    <w:rsid w:val="5C9F4517"/>
    <w:rsid w:val="5CDD14E8"/>
    <w:rsid w:val="5D0C7CB9"/>
    <w:rsid w:val="5D255AA3"/>
    <w:rsid w:val="5DE22E40"/>
    <w:rsid w:val="5DEF61C3"/>
    <w:rsid w:val="5E28283B"/>
    <w:rsid w:val="5ED70C9F"/>
    <w:rsid w:val="5F5B4940"/>
    <w:rsid w:val="5F7E2B07"/>
    <w:rsid w:val="60CC7DF4"/>
    <w:rsid w:val="61D96562"/>
    <w:rsid w:val="62F3204C"/>
    <w:rsid w:val="6351160A"/>
    <w:rsid w:val="63542BB2"/>
    <w:rsid w:val="63845765"/>
    <w:rsid w:val="642F128B"/>
    <w:rsid w:val="644E3DBC"/>
    <w:rsid w:val="65227670"/>
    <w:rsid w:val="657125CF"/>
    <w:rsid w:val="65C9567F"/>
    <w:rsid w:val="65F3012F"/>
    <w:rsid w:val="66AF0CE5"/>
    <w:rsid w:val="67E937A4"/>
    <w:rsid w:val="68B36828"/>
    <w:rsid w:val="68C071CB"/>
    <w:rsid w:val="691B50FB"/>
    <w:rsid w:val="69766A11"/>
    <w:rsid w:val="69CF001C"/>
    <w:rsid w:val="6A0E1913"/>
    <w:rsid w:val="6A3320BC"/>
    <w:rsid w:val="6C13620E"/>
    <w:rsid w:val="6D6D2BA9"/>
    <w:rsid w:val="6DEE255B"/>
    <w:rsid w:val="6E5B14A6"/>
    <w:rsid w:val="6EA67D08"/>
    <w:rsid w:val="6F435265"/>
    <w:rsid w:val="6F813D9F"/>
    <w:rsid w:val="6FB26D1C"/>
    <w:rsid w:val="6FEC7BC7"/>
    <w:rsid w:val="7004259B"/>
    <w:rsid w:val="702570DB"/>
    <w:rsid w:val="705A6488"/>
    <w:rsid w:val="707F7C96"/>
    <w:rsid w:val="71307B04"/>
    <w:rsid w:val="72156702"/>
    <w:rsid w:val="734628B1"/>
    <w:rsid w:val="76103387"/>
    <w:rsid w:val="76EA710A"/>
    <w:rsid w:val="770A5E3A"/>
    <w:rsid w:val="776A7DD7"/>
    <w:rsid w:val="78597E89"/>
    <w:rsid w:val="789805D0"/>
    <w:rsid w:val="79E71DA7"/>
    <w:rsid w:val="7A856DB0"/>
    <w:rsid w:val="7AB709DD"/>
    <w:rsid w:val="7B5C0841"/>
    <w:rsid w:val="7BB51E06"/>
    <w:rsid w:val="7C387F7C"/>
    <w:rsid w:val="7E2170B1"/>
    <w:rsid w:val="7EF0504B"/>
    <w:rsid w:val="7F602CC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paragraph" w:styleId="2">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font01"/>
    <w:basedOn w:val="8"/>
    <w:qFormat/>
    <w:uiPriority w:val="0"/>
    <w:rPr>
      <w:rFonts w:hint="default" w:ascii="Calibri" w:hAnsi="Calibri" w:cs="Calibri"/>
      <w:color w:val="000000"/>
      <w:sz w:val="16"/>
      <w:szCs w:val="16"/>
      <w:u w:val="none"/>
    </w:rPr>
  </w:style>
  <w:style w:type="character" w:customStyle="1" w:styleId="10">
    <w:name w:val="font41"/>
    <w:basedOn w:val="8"/>
    <w:qFormat/>
    <w:uiPriority w:val="0"/>
    <w:rPr>
      <w:rFonts w:hint="eastAsia" w:ascii="宋体" w:hAnsi="宋体" w:eastAsia="宋体" w:cs="宋体"/>
      <w:color w:val="000000"/>
      <w:sz w:val="16"/>
      <w:szCs w:val="16"/>
      <w:u w:val="none"/>
    </w:rPr>
  </w:style>
  <w:style w:type="character" w:customStyle="1" w:styleId="11">
    <w:name w:val="font91"/>
    <w:basedOn w:val="8"/>
    <w:qFormat/>
    <w:uiPriority w:val="0"/>
    <w:rPr>
      <w:rFonts w:hint="eastAsia" w:ascii="宋体" w:hAnsi="宋体" w:eastAsia="宋体" w:cs="宋体"/>
      <w:color w:val="000000"/>
      <w:sz w:val="16"/>
      <w:szCs w:val="16"/>
      <w:u w:val="none"/>
    </w:rPr>
  </w:style>
  <w:style w:type="character" w:customStyle="1" w:styleId="12">
    <w:name w:val="font81"/>
    <w:basedOn w:val="8"/>
    <w:qFormat/>
    <w:uiPriority w:val="0"/>
    <w:rPr>
      <w:rFonts w:hint="eastAsia" w:ascii="宋体" w:hAnsi="宋体" w:eastAsia="宋体" w:cs="宋体"/>
      <w:color w:val="000000"/>
      <w:sz w:val="16"/>
      <w:szCs w:val="16"/>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46</TotalTime>
  <ScaleCrop>false</ScaleCrop>
  <LinksUpToDate>false</LinksUpToDate>
  <CharactersWithSpaces>0</CharactersWithSpaces>
  <Application>WPS Office_11.8.2.9067_F1E327BC-269C-435d-A152-05C5408002CA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2020-02-04T03:46:00Z</dcterms:created>
  <dc:creator>欣欣大人</dc:creator>
  <cp:lastModifiedBy>Administrator</cp:lastModifiedBy>
  <cp:lastPrinted>2020-05-14T01:03:00Z</cp:lastPrinted>
  <dcterms:modified xsi:type="dcterms:W3CDTF">2021-06-10T08:29:53Z</dcterms:modified>
  <dc:title>附件3：</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2052-11.8.2.9067</vt:lpwstr>
  </property>
  <property fmtid="{D5CDD505-2E9C-101B-9397-08002B2CF9AE}" pid="3" name="ICV">
    <vt:lpwstr>2C959D01AB0C45029FBB4E2DE5B2E347</vt:lpwstr>
  </property>
</Properties>
</file>