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880E6">
      <w:pPr>
        <w:spacing w:line="560" w:lineRule="exact"/>
        <w:jc w:val="center"/>
        <w:rPr>
          <w:rFonts w:ascii="宋体" w:hAnsi="宋体" w:cs="宋体"/>
          <w:b/>
          <w:bCs/>
          <w:sz w:val="44"/>
          <w:szCs w:val="44"/>
        </w:rPr>
      </w:pPr>
      <w:r>
        <w:rPr>
          <w:rFonts w:hint="eastAsia" w:ascii="宋体" w:hAnsi="宋体" w:cs="宋体"/>
          <w:b/>
          <w:bCs/>
          <w:sz w:val="44"/>
          <w:szCs w:val="44"/>
        </w:rPr>
        <w:t>石家庄市城市管理综合行政执法局</w:t>
      </w:r>
    </w:p>
    <w:p w14:paraId="4D53EB27">
      <w:pPr>
        <w:spacing w:line="560" w:lineRule="exact"/>
        <w:jc w:val="center"/>
        <w:rPr>
          <w:rFonts w:ascii="宋体" w:hAnsi="宋体" w:cs="宋体"/>
          <w:b/>
          <w:bCs/>
          <w:sz w:val="44"/>
          <w:szCs w:val="44"/>
        </w:rPr>
      </w:pPr>
      <w:r>
        <w:rPr>
          <w:rFonts w:hint="eastAsia" w:ascii="宋体" w:hAnsi="宋体" w:cs="宋体"/>
          <w:b/>
          <w:bCs/>
          <w:sz w:val="44"/>
          <w:szCs w:val="44"/>
        </w:rPr>
        <w:t>部门2021年度整体支出绩效自评报告</w:t>
      </w:r>
    </w:p>
    <w:p w14:paraId="39D27A66">
      <w:pPr>
        <w:spacing w:line="560" w:lineRule="exact"/>
        <w:jc w:val="center"/>
        <w:rPr>
          <w:rFonts w:ascii="华文楷体" w:eastAsia="华文楷体"/>
          <w:sz w:val="32"/>
          <w:szCs w:val="32"/>
        </w:rPr>
      </w:pPr>
    </w:p>
    <w:p w14:paraId="5D89C161">
      <w:pPr>
        <w:spacing w:line="560" w:lineRule="exact"/>
        <w:ind w:firstLine="640" w:firstLineChars="200"/>
        <w:jc w:val="left"/>
        <w:rPr>
          <w:rFonts w:ascii="仿宋_GB2312" w:hAnsi="华文仿宋" w:eastAsia="仿宋_GB2312"/>
          <w:sz w:val="32"/>
          <w:szCs w:val="32"/>
        </w:rPr>
      </w:pPr>
      <w:r>
        <w:rPr>
          <w:rFonts w:hint="eastAsia" w:ascii="仿宋_GB2312" w:hAnsi="华文仿宋" w:eastAsia="仿宋_GB2312"/>
          <w:sz w:val="32"/>
          <w:szCs w:val="32"/>
        </w:rPr>
        <w:t>为贯彻落实市委市政府《关于全面落实预算绩效管理的实施意见》（石发</w:t>
      </w:r>
      <w:r>
        <w:rPr>
          <w:rFonts w:hint="eastAsia" w:ascii="宋体" w:hAnsi="宋体" w:cs="宋体"/>
          <w:sz w:val="32"/>
          <w:szCs w:val="32"/>
        </w:rPr>
        <w:t>﹝</w:t>
      </w:r>
      <w:r>
        <w:rPr>
          <w:rFonts w:hint="eastAsia" w:ascii="仿宋_GB2312" w:hAnsi="华文仿宋" w:eastAsia="仿宋_GB2312"/>
          <w:sz w:val="32"/>
          <w:szCs w:val="32"/>
        </w:rPr>
        <w:t>2019</w:t>
      </w:r>
      <w:r>
        <w:rPr>
          <w:rFonts w:hint="eastAsia" w:ascii="宋体" w:hAnsi="宋体" w:cs="宋体"/>
          <w:sz w:val="32"/>
          <w:szCs w:val="32"/>
        </w:rPr>
        <w:t>﹞</w:t>
      </w:r>
      <w:r>
        <w:rPr>
          <w:rFonts w:hint="eastAsia" w:ascii="仿宋_GB2312" w:hAnsi="华文仿宋" w:eastAsia="仿宋_GB2312"/>
          <w:sz w:val="32"/>
          <w:szCs w:val="32"/>
        </w:rPr>
        <w:t>8号）文件精神，遵循“科学性、规范性、客观性和公正性”的原则，对石家庄市城市管理综合行政执法局部门2021年预算项目整体支出情况实施了财政支出绩效自评价，形成本评价报告。</w:t>
      </w:r>
    </w:p>
    <w:p w14:paraId="200C0E67">
      <w:pPr>
        <w:adjustRightInd w:val="0"/>
        <w:snapToGrid w:val="0"/>
        <w:spacing w:line="560" w:lineRule="exact"/>
        <w:rPr>
          <w:rFonts w:ascii="仿宋_GB2312" w:hAnsi="华文仿宋" w:eastAsia="仿宋_GB2312"/>
          <w:b/>
          <w:bCs/>
          <w:sz w:val="32"/>
          <w:szCs w:val="32"/>
        </w:rPr>
      </w:pPr>
      <w:r>
        <w:rPr>
          <w:rFonts w:hint="eastAsia" w:ascii="仿宋_GB2312" w:hAnsi="华文仿宋" w:eastAsia="仿宋_GB2312"/>
          <w:b/>
          <w:sz w:val="32"/>
          <w:szCs w:val="32"/>
        </w:rPr>
        <w:t>一、部门基本情况</w:t>
      </w:r>
    </w:p>
    <w:p w14:paraId="2B69DA50">
      <w:pPr>
        <w:adjustRightInd w:val="0"/>
        <w:snapToGrid w:val="0"/>
        <w:spacing w:line="560" w:lineRule="exact"/>
        <w:ind w:firstLine="643" w:firstLineChars="200"/>
        <w:rPr>
          <w:rFonts w:ascii="仿宋_GB2312" w:hAnsi="华文仿宋" w:eastAsia="仿宋_GB2312" w:cs="楷体_GB2312"/>
          <w:b/>
          <w:bCs/>
          <w:sz w:val="32"/>
          <w:szCs w:val="32"/>
        </w:rPr>
      </w:pPr>
      <w:r>
        <w:rPr>
          <w:rFonts w:hint="eastAsia" w:ascii="仿宋_GB2312" w:hAnsi="华文仿宋" w:eastAsia="仿宋_GB2312" w:cs="楷体_GB2312"/>
          <w:b/>
          <w:bCs/>
          <w:sz w:val="32"/>
          <w:szCs w:val="32"/>
        </w:rPr>
        <w:t>（一）部门概况</w:t>
      </w:r>
    </w:p>
    <w:p w14:paraId="617D2370">
      <w:pPr>
        <w:snapToGrid w:val="0"/>
        <w:spacing w:line="520" w:lineRule="exact"/>
        <w:ind w:firstLine="640" w:firstLineChars="200"/>
        <w:rPr>
          <w:rFonts w:ascii="仿宋_GB2312" w:hAnsi="华文仿宋" w:eastAsia="仿宋_GB2312"/>
          <w:sz w:val="32"/>
          <w:szCs w:val="32"/>
        </w:rPr>
      </w:pPr>
      <w:r>
        <w:rPr>
          <w:rFonts w:hint="eastAsia" w:ascii="仿宋_GB2312" w:hAnsi="华文仿宋" w:eastAsia="仿宋_GB2312"/>
          <w:sz w:val="32"/>
          <w:szCs w:val="32"/>
        </w:rPr>
        <w:t>1．主要职能:</w:t>
      </w:r>
    </w:p>
    <w:p w14:paraId="280BD1A2">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贯彻落实党中央、国务院和省委、省政府，市委、市政府关于城市管理相关工作的方针政策和法律法规。起草有关地方性法规、政府规章草案和行业标准，拟订城市管理中长期发展规划和年度计划并组织实施。</w:t>
      </w:r>
    </w:p>
    <w:p w14:paraId="6CFC9F0A">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2）负责编制道路、桥梁、排水、照明设施的改造、整修计划并组织实施；负责城市排水管理工作及城市排水、中水的水质监测及监督管理；负责城市道路、桥梁维护管理；负责城市夜景照明维护管理工作；负责组织、协调、管理城区市政设施改造工作，负责工程质量监督检查，安全监督检查，验收和移交工作。</w:t>
      </w:r>
    </w:p>
    <w:p w14:paraId="444C705D">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3）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14:paraId="3A0BD27C">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（4）负责指导、协调、考核城市市政设施管理、市容环境卫生管理和城市管理综合执法工作；负责组织城市管理专项活动和重大执法活动。</w:t>
      </w:r>
    </w:p>
    <w:p w14:paraId="71FD69E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（5）负责城市供水、节水、污水处理工作。</w:t>
      </w:r>
    </w:p>
    <w:p w14:paraId="0BB0CC06">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（6）负责民心河河道管理工作。</w:t>
      </w:r>
    </w:p>
    <w:p w14:paraId="5209B69C">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（7）负责城区防汛工作。研究部署城区防汛工作，开展城区防汛宣传，提高全社会的防洪减灾意识，会同有关部门做好城区自然灾害应急处置工作。承担城区防汛指挥部日常工作。</w:t>
      </w:r>
    </w:p>
    <w:p w14:paraId="7D1ABAB8">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8）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14:paraId="1CE159F8">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9）负责协调、监督城区生活垃圾、建筑垃圾、餐厨垃圾、粪便垃圾、医疗废弃垃圾无害化处理工作；参与城市开发和城区改造中有关环卫设施配套项目建设竣工验收；指导协调主城区环卫基础设施处理能力建设。</w:t>
      </w:r>
    </w:p>
    <w:p w14:paraId="7E1A6242">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（10）负责全市供热、燃气行业管理工作。指导县（市、区）供热、燃气管理工作。</w:t>
      </w:r>
    </w:p>
    <w:p w14:paraId="040C536A">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（11）负责指导各区城市便道非机动车停放工作。</w:t>
      </w:r>
    </w:p>
    <w:p w14:paraId="194C6081">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（12）负责城区洗车行业的监督管理工作。</w:t>
      </w:r>
    </w:p>
    <w:p w14:paraId="3545AA06">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（13）负责机关和所属单位的安全生产综合监督管理工作。</w:t>
      </w:r>
    </w:p>
    <w:p w14:paraId="7A23680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（14）负责指导县（市、区）城镇（县城城建界以内）容貌整治、环境卫生、市政基础设施日常管护、综合执法、垃圾处理、污水处理等工作。</w:t>
      </w:r>
    </w:p>
    <w:p w14:paraId="5F1E6E6F">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（15）会同有关部门，做好城市建设行业涉及本部门的相关专业规划的编制和实施工作。</w:t>
      </w:r>
    </w:p>
    <w:p w14:paraId="2A6C00F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（16）实施与以下范围内法律法规规章规定的行政处罚权有关的行政强制措施：</w:t>
      </w:r>
    </w:p>
    <w:p w14:paraId="3B6B2313">
      <w:pPr>
        <w:numPr>
          <w:ilvl w:val="0"/>
          <w:numId w:val="1"/>
        </w:numPr>
        <w:rPr>
          <w:rFonts w:ascii="仿宋_GB2312" w:hAnsi="华文仿宋" w:eastAsia="仿宋_GB2312" w:cs="仿宋_GB2312"/>
          <w:sz w:val="32"/>
          <w:szCs w:val="32"/>
        </w:rPr>
      </w:pPr>
      <w:r>
        <w:rPr>
          <w:rFonts w:hint="eastAsia" w:ascii="仿宋_GB2312" w:hAnsi="华文仿宋" w:eastAsia="仿宋_GB2312" w:cs="仿宋_GB2312"/>
          <w:sz w:val="32"/>
          <w:szCs w:val="32"/>
        </w:rPr>
        <w:t>市容环境卫生、市政公用设施、园林绿化等方面法律、法规、规章规定的全部行政处罚权；</w:t>
      </w:r>
    </w:p>
    <w:p w14:paraId="5B560983">
      <w:pPr>
        <w:numPr>
          <w:ilvl w:val="0"/>
          <w:numId w:val="2"/>
        </w:numPr>
        <w:rPr>
          <w:rFonts w:ascii="仿宋_GB2312" w:hAnsi="华文仿宋" w:eastAsia="仿宋_GB2312" w:cs="仿宋_GB2312"/>
          <w:sz w:val="32"/>
          <w:szCs w:val="32"/>
        </w:rPr>
      </w:pPr>
      <w:r>
        <w:rPr>
          <w:rFonts w:hint="eastAsia" w:ascii="仿宋_GB2312" w:hAnsi="华文仿宋" w:eastAsia="仿宋_GB2312" w:cs="仿宋_GB2312"/>
          <w:sz w:val="32"/>
          <w:szCs w:val="32"/>
        </w:rPr>
        <w:t>住房和城乡建设、城乡规划方面法律、法规、规章规定的全部行政处罚权；</w:t>
      </w:r>
    </w:p>
    <w:p w14:paraId="3EA2E1C4">
      <w:pPr>
        <w:numPr>
          <w:ilvl w:val="0"/>
          <w:numId w:val="3"/>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14:paraId="6910B049">
      <w:pPr>
        <w:numPr>
          <w:ilvl w:val="0"/>
          <w:numId w:val="4"/>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城市建成区专业市场外城市道路、绿地、公园、广场、街头空地等公共场所无照商贩经营、违规设置户外广告等行为的行政处罚权；</w:t>
      </w:r>
    </w:p>
    <w:p w14:paraId="7322DCC6">
      <w:pPr>
        <w:numPr>
          <w:ilvl w:val="0"/>
          <w:numId w:val="5"/>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城市建成区内非机动车辆乱停乱放影响交通行为的行政处罚权；</w:t>
      </w:r>
    </w:p>
    <w:p w14:paraId="00181717">
      <w:pPr>
        <w:numPr>
          <w:ilvl w:val="0"/>
          <w:numId w:val="6"/>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城市供水、节水、污水处理的行政处罚权，向城市河道倾倒废弃物、垃圾及违规取土、城市河道违法建筑物拆除等行政处罚权；</w:t>
      </w:r>
    </w:p>
    <w:p w14:paraId="23D14FD7">
      <w:pPr>
        <w:numPr>
          <w:ilvl w:val="0"/>
          <w:numId w:val="7"/>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城市建成区内户外公共场所食品销售和餐饮摊点无证经营，以及违法回收贩卖药品的行政处罚权。</w:t>
      </w:r>
    </w:p>
    <w:p w14:paraId="1046793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（17）负责城市管理综合行政执法监督工作，指导城市管理综合执法队伍规范执法、文明执法。研究拟订城市管理和综合执法资金计划；指导县（市、区）城管综合行政执法队伍正规化建设。</w:t>
      </w:r>
    </w:p>
    <w:p w14:paraId="5A2079E7">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（18）完成市委、市政府交办的其他任务。</w:t>
      </w:r>
    </w:p>
    <w:p w14:paraId="3F7E12C9">
      <w:pPr>
        <w:ind w:firstLine="643" w:firstLineChars="200"/>
        <w:rPr>
          <w:rFonts w:ascii="仿宋_GB2312" w:hAnsi="华文仿宋" w:eastAsia="仿宋_GB2312" w:cs="仿宋_GB2312"/>
          <w:b/>
          <w:sz w:val="32"/>
          <w:szCs w:val="32"/>
        </w:rPr>
      </w:pPr>
      <w:r>
        <w:rPr>
          <w:rFonts w:hint="eastAsia" w:ascii="仿宋_GB2312" w:hAnsi="华文仿宋" w:eastAsia="仿宋_GB2312" w:cs="仿宋_GB2312"/>
          <w:b/>
          <w:sz w:val="32"/>
          <w:szCs w:val="32"/>
        </w:rPr>
        <w:t>2．机构情况:</w:t>
      </w:r>
    </w:p>
    <w:tbl>
      <w:tblPr>
        <w:tblStyle w:val="5"/>
        <w:tblpPr w:leftFromText="180" w:rightFromText="180" w:vertAnchor="page" w:horzAnchor="margin" w:tblpY="13231"/>
        <w:tblW w:w="865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702"/>
        <w:gridCol w:w="992"/>
        <w:gridCol w:w="1843"/>
        <w:gridCol w:w="3118"/>
      </w:tblGrid>
      <w:tr w14:paraId="1144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82" w:hRule="atLeast"/>
        </w:trPr>
        <w:tc>
          <w:tcPr>
            <w:tcW w:w="2702" w:type="dxa"/>
          </w:tcPr>
          <w:p w14:paraId="7BE8949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单位名称</w:t>
            </w:r>
          </w:p>
        </w:tc>
        <w:tc>
          <w:tcPr>
            <w:tcW w:w="992" w:type="dxa"/>
          </w:tcPr>
          <w:p w14:paraId="3C422643">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单位性质</w:t>
            </w:r>
          </w:p>
        </w:tc>
        <w:tc>
          <w:tcPr>
            <w:tcW w:w="1843" w:type="dxa"/>
          </w:tcPr>
          <w:p w14:paraId="39B29581">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单位规格</w:t>
            </w:r>
          </w:p>
        </w:tc>
        <w:tc>
          <w:tcPr>
            <w:tcW w:w="3118" w:type="dxa"/>
          </w:tcPr>
          <w:p w14:paraId="488C9CC0">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经费保障形式</w:t>
            </w:r>
          </w:p>
        </w:tc>
      </w:tr>
      <w:tr w14:paraId="3807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2643375B">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石家庄市城市管理综合行政执法局</w:t>
            </w:r>
          </w:p>
        </w:tc>
        <w:tc>
          <w:tcPr>
            <w:tcW w:w="992" w:type="dxa"/>
          </w:tcPr>
          <w:p w14:paraId="06D358E7">
            <w:pPr>
              <w:rPr>
                <w:rFonts w:ascii="仿宋_GB2312" w:hAnsi="华文仿宋" w:eastAsia="仿宋_GB2312" w:cs="仿宋_GB2312"/>
                <w:sz w:val="32"/>
                <w:szCs w:val="32"/>
              </w:rPr>
            </w:pPr>
            <w:r>
              <w:rPr>
                <w:rFonts w:hint="eastAsia" w:ascii="仿宋_GB2312" w:hAnsi="华文仿宋" w:eastAsia="仿宋_GB2312" w:cs="仿宋_GB2312"/>
                <w:sz w:val="32"/>
                <w:szCs w:val="32"/>
              </w:rPr>
              <w:t>行政</w:t>
            </w:r>
          </w:p>
        </w:tc>
        <w:tc>
          <w:tcPr>
            <w:tcW w:w="1843" w:type="dxa"/>
          </w:tcPr>
          <w:p w14:paraId="620EFD6E">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55147B43">
            <w:pPr>
              <w:rPr>
                <w:rFonts w:ascii="仿宋_GB2312" w:hAnsi="华文仿宋" w:eastAsia="仿宋_GB2312" w:cs="仿宋_GB2312"/>
                <w:sz w:val="32"/>
                <w:szCs w:val="32"/>
              </w:rPr>
            </w:pPr>
            <w:r>
              <w:rPr>
                <w:rFonts w:hint="eastAsia" w:ascii="仿宋_GB2312" w:hAnsi="华文仿宋" w:eastAsia="仿宋_GB2312" w:cs="仿宋_GB2312"/>
                <w:sz w:val="32"/>
                <w:szCs w:val="32"/>
              </w:rPr>
              <w:t>财政拨款</w:t>
            </w:r>
          </w:p>
        </w:tc>
      </w:tr>
      <w:tr w14:paraId="447F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EA53F57">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石家庄市城市管理执法支队</w:t>
            </w:r>
          </w:p>
        </w:tc>
        <w:tc>
          <w:tcPr>
            <w:tcW w:w="992" w:type="dxa"/>
          </w:tcPr>
          <w:p w14:paraId="3C39EC4F">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377FDB5F">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2C75F1A5">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E73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655524D9">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石家庄市市容管理考评中心</w:t>
            </w:r>
          </w:p>
        </w:tc>
        <w:tc>
          <w:tcPr>
            <w:tcW w:w="992" w:type="dxa"/>
          </w:tcPr>
          <w:p w14:paraId="3B5821E6">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B1CEF3B">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223A8272">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340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054BDB93">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石家庄市卫生垃圾太行填埋场</w:t>
            </w:r>
          </w:p>
        </w:tc>
        <w:tc>
          <w:tcPr>
            <w:tcW w:w="992" w:type="dxa"/>
          </w:tcPr>
          <w:p w14:paraId="4DD98D7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D027A49">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04FFB9EC">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8BD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570E3977">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石家庄市医疗废物处置中心</w:t>
            </w:r>
          </w:p>
        </w:tc>
        <w:tc>
          <w:tcPr>
            <w:tcW w:w="992" w:type="dxa"/>
          </w:tcPr>
          <w:p w14:paraId="3A05ACE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0AF255C8">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15CBC84">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44D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4FB897C8">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石家庄市危险废弃物处置场</w:t>
            </w:r>
          </w:p>
        </w:tc>
        <w:tc>
          <w:tcPr>
            <w:tcW w:w="992" w:type="dxa"/>
          </w:tcPr>
          <w:p w14:paraId="1E89077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105CAD14">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DA4C3C6">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4C19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500584F4">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石家庄市市容环卫服务中心</w:t>
            </w:r>
          </w:p>
        </w:tc>
        <w:tc>
          <w:tcPr>
            <w:tcW w:w="992" w:type="dxa"/>
          </w:tcPr>
          <w:p w14:paraId="046B646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0D22A29A">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720D7A07">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748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7EE0A3D">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石家庄市城市照明管护中心</w:t>
            </w:r>
          </w:p>
        </w:tc>
        <w:tc>
          <w:tcPr>
            <w:tcW w:w="992" w:type="dxa"/>
          </w:tcPr>
          <w:p w14:paraId="4367B621">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2B016130">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781230AA">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0E6C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526424A">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石家庄市二环路管护中心</w:t>
            </w:r>
          </w:p>
        </w:tc>
        <w:tc>
          <w:tcPr>
            <w:tcW w:w="992" w:type="dxa"/>
          </w:tcPr>
          <w:p w14:paraId="7B4650E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5172591">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389D1A11">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223B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36C3335F">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石家庄市环境卫生事务中心</w:t>
            </w:r>
          </w:p>
        </w:tc>
        <w:tc>
          <w:tcPr>
            <w:tcW w:w="992" w:type="dxa"/>
          </w:tcPr>
          <w:p w14:paraId="064BC33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4A73DD13">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00CFA9A0">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9F3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E08C302">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石家庄市道桥设施管护中心</w:t>
            </w:r>
          </w:p>
        </w:tc>
        <w:tc>
          <w:tcPr>
            <w:tcW w:w="992" w:type="dxa"/>
          </w:tcPr>
          <w:p w14:paraId="0A196BA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0DE0C5C">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5A19B78E">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199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35DFA0FA">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石家庄市市政建设服务中心</w:t>
            </w:r>
          </w:p>
        </w:tc>
        <w:tc>
          <w:tcPr>
            <w:tcW w:w="992" w:type="dxa"/>
          </w:tcPr>
          <w:p w14:paraId="157D9DB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75708A2D">
            <w:pPr>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67E9FCDF">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1CA9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68BF91A0">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石家庄市总退水渠管理所</w:t>
            </w:r>
          </w:p>
        </w:tc>
        <w:tc>
          <w:tcPr>
            <w:tcW w:w="992" w:type="dxa"/>
          </w:tcPr>
          <w:p w14:paraId="5E56143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122E8834">
            <w:pPr>
              <w:rPr>
                <w:rFonts w:ascii="仿宋_GB2312" w:hAnsi="华文仿宋" w:eastAsia="仿宋_GB2312" w:cs="仿宋_GB2312"/>
                <w:sz w:val="32"/>
                <w:szCs w:val="32"/>
              </w:rPr>
            </w:pPr>
            <w:r>
              <w:rPr>
                <w:rFonts w:hint="eastAsia" w:ascii="仿宋_GB2312" w:hAnsi="华文仿宋" w:eastAsia="仿宋_GB2312" w:cs="仿宋_GB2312"/>
                <w:sz w:val="32"/>
                <w:szCs w:val="32"/>
              </w:rPr>
              <w:t>股级</w:t>
            </w:r>
          </w:p>
        </w:tc>
        <w:tc>
          <w:tcPr>
            <w:tcW w:w="3118" w:type="dxa"/>
          </w:tcPr>
          <w:p w14:paraId="7AEABDE4">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39C7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0E6994D">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石家庄市排水管护中心</w:t>
            </w:r>
          </w:p>
        </w:tc>
        <w:tc>
          <w:tcPr>
            <w:tcW w:w="992" w:type="dxa"/>
          </w:tcPr>
          <w:p w14:paraId="5C5DC52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7B826D0B">
            <w:pPr>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5D7E977E">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1F8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5BBC22AB">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石家庄市城管便民服务中心</w:t>
            </w:r>
          </w:p>
        </w:tc>
        <w:tc>
          <w:tcPr>
            <w:tcW w:w="992" w:type="dxa"/>
          </w:tcPr>
          <w:p w14:paraId="33CF469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65DCA057">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95B1A78">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3E3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25AB125">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石家庄火车站站前地区管理委员会</w:t>
            </w:r>
          </w:p>
        </w:tc>
        <w:tc>
          <w:tcPr>
            <w:tcW w:w="992" w:type="dxa"/>
          </w:tcPr>
          <w:p w14:paraId="7360AEFF">
            <w:pPr>
              <w:rPr>
                <w:rFonts w:ascii="仿宋_GB2312" w:hAnsi="华文仿宋" w:eastAsia="仿宋_GB2312" w:cs="仿宋_GB2312"/>
                <w:sz w:val="32"/>
                <w:szCs w:val="32"/>
              </w:rPr>
            </w:pPr>
            <w:r>
              <w:rPr>
                <w:rFonts w:hint="eastAsia" w:ascii="仿宋_GB2312" w:hAnsi="华文仿宋" w:eastAsia="仿宋_GB2312" w:cs="仿宋_GB2312"/>
                <w:sz w:val="32"/>
                <w:szCs w:val="32"/>
              </w:rPr>
              <w:t>行政</w:t>
            </w:r>
          </w:p>
        </w:tc>
        <w:tc>
          <w:tcPr>
            <w:tcW w:w="1843" w:type="dxa"/>
          </w:tcPr>
          <w:p w14:paraId="45716769">
            <w:pPr>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0DE0D9A8">
            <w:pPr>
              <w:rPr>
                <w:rFonts w:ascii="仿宋_GB2312" w:hAnsi="华文仿宋" w:eastAsia="仿宋_GB2312" w:cs="仿宋_GB2312"/>
                <w:sz w:val="32"/>
                <w:szCs w:val="32"/>
              </w:rPr>
            </w:pPr>
            <w:r>
              <w:rPr>
                <w:rFonts w:hint="eastAsia" w:ascii="仿宋_GB2312" w:hAnsi="华文仿宋" w:eastAsia="仿宋_GB2312" w:cs="仿宋_GB2312"/>
                <w:sz w:val="32"/>
                <w:szCs w:val="32"/>
              </w:rPr>
              <w:t>财政拨款</w:t>
            </w:r>
          </w:p>
        </w:tc>
      </w:tr>
      <w:tr w14:paraId="703B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008676B6">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石家庄市燃气中心</w:t>
            </w:r>
          </w:p>
        </w:tc>
        <w:tc>
          <w:tcPr>
            <w:tcW w:w="992" w:type="dxa"/>
          </w:tcPr>
          <w:p w14:paraId="156D0A7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417E899A">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08A1B2C9">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CEC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9596AF6">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石家庄市供热管理中心</w:t>
            </w:r>
          </w:p>
        </w:tc>
        <w:tc>
          <w:tcPr>
            <w:tcW w:w="992" w:type="dxa"/>
          </w:tcPr>
          <w:p w14:paraId="337B6CC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656A48CF">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79766790">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bl>
    <w:p w14:paraId="0CB402C8">
      <w:pPr>
        <w:rPr>
          <w:rFonts w:ascii="仿宋_GB2312" w:hAnsi="华文仿宋" w:eastAsia="仿宋_GB2312" w:cs="仿宋_GB2312"/>
          <w:b/>
          <w:sz w:val="32"/>
          <w:szCs w:val="32"/>
        </w:rPr>
      </w:pPr>
    </w:p>
    <w:p w14:paraId="2D94DB0D">
      <w:pPr>
        <w:snapToGrid w:val="0"/>
        <w:spacing w:line="520" w:lineRule="exact"/>
        <w:ind w:firstLine="643" w:firstLineChars="200"/>
        <w:rPr>
          <w:rFonts w:ascii="仿宋_GB2312" w:hAnsi="华文仿宋" w:eastAsia="仿宋_GB2312"/>
          <w:b/>
          <w:sz w:val="32"/>
          <w:szCs w:val="32"/>
        </w:rPr>
      </w:pPr>
      <w:r>
        <w:rPr>
          <w:rFonts w:hint="eastAsia" w:ascii="仿宋_GB2312" w:hAnsi="华文仿宋" w:eastAsia="仿宋_GB2312"/>
          <w:b/>
          <w:sz w:val="32"/>
          <w:szCs w:val="32"/>
        </w:rPr>
        <w:t>3．人员情况:</w:t>
      </w:r>
    </w:p>
    <w:p w14:paraId="468BB498">
      <w:pPr>
        <w:snapToGrid w:val="0"/>
        <w:spacing w:line="520" w:lineRule="exact"/>
        <w:ind w:firstLine="640" w:firstLineChars="200"/>
        <w:rPr>
          <w:rFonts w:ascii="仿宋_GB2312" w:hAnsi="华文仿宋" w:eastAsia="仿宋_GB2312"/>
          <w:sz w:val="32"/>
          <w:szCs w:val="32"/>
        </w:rPr>
      </w:pPr>
      <w:r>
        <w:rPr>
          <w:rFonts w:hint="eastAsia" w:ascii="仿宋_GB2312" w:hAnsi="华文仿宋" w:eastAsia="仿宋_GB2312" w:cs="仿宋"/>
          <w:color w:val="000000"/>
          <w:sz w:val="32"/>
          <w:szCs w:val="32"/>
        </w:rPr>
        <w:t>我部门2021年末实有人数1226人，其中在职人员1220人，离退休人员6人。其他人员7人。</w:t>
      </w:r>
    </w:p>
    <w:p w14:paraId="1AC6454F">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（二）部门收支预决算情况</w:t>
      </w:r>
    </w:p>
    <w:p w14:paraId="34FD46C6">
      <w:pPr>
        <w:snapToGrid w:val="0"/>
        <w:spacing w:line="520" w:lineRule="exact"/>
        <w:ind w:firstLine="643" w:firstLineChars="200"/>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1、收入支出预算安排情况。</w:t>
      </w:r>
    </w:p>
    <w:p w14:paraId="19EA506C">
      <w:pPr>
        <w:snapToGrid w:val="0"/>
        <w:spacing w:line="520" w:lineRule="exact"/>
        <w:ind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本年预算安排总收入241372.29万元，其中一般公共预算财政拨款收入支出113776.53万元，政府型基金预算财政拨款收入125982.82万元，经营收入223.55万元，其他1389.38万元。</w:t>
      </w:r>
    </w:p>
    <w:p w14:paraId="6488E0EC">
      <w:pPr>
        <w:snapToGrid w:val="0"/>
        <w:spacing w:line="520" w:lineRule="exact"/>
        <w:ind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本年预算安排总支出218451.88万元，其中基本支出18311.65万元，项目支出199916.68万元，其他223.55万元。</w:t>
      </w:r>
    </w:p>
    <w:p w14:paraId="3D53914E">
      <w:pPr>
        <w:snapToGrid w:val="0"/>
        <w:spacing w:line="520" w:lineRule="exact"/>
        <w:ind w:firstLine="643" w:firstLineChars="200"/>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2、收入支出预算执行情况。</w:t>
      </w:r>
    </w:p>
    <w:p w14:paraId="1BF9D130">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按照收入预算安排和调整预算，当年总收入241372.29万元，其中一般公共预算财政拨款收入支出113776.53万元，政府型基金预算财政拨款收入125982.82万元，经营收入223.55万元，其他1389.38万元。</w:t>
      </w:r>
    </w:p>
    <w:p w14:paraId="23D8C08E">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按照支出预算安排和调整预算，当年预算执行总支出218451.88万元，其中基本支出18311.65万元(人员经费16703.89万元，公用经费1609.05万元)，项目支出199906.68万元，经营收入223.55万元。</w:t>
      </w:r>
    </w:p>
    <w:p w14:paraId="47E08DA6">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（三）部门整体支出绩效目标、指标</w:t>
      </w:r>
    </w:p>
    <w:p w14:paraId="4B86DFA1">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1、市容环卫做优做亮。</w:t>
      </w:r>
      <w:r>
        <w:rPr>
          <w:rFonts w:hint="eastAsia" w:ascii="仿宋_GB2312" w:hAnsi="华文仿宋" w:eastAsia="仿宋_GB2312" w:cs="仿宋"/>
          <w:color w:val="000000"/>
          <w:sz w:val="32"/>
          <w:szCs w:val="32"/>
        </w:rPr>
        <w:t>市区建成区道路机械化清扫率达到90%以上，县城道路达到85%以上；城乡结合部、背街小巷干净整洁，卫生死角死面消除；生活垃圾分类深入推进，居民知晓率达到90%以上，回收利用率达到35%以上，垃圾无害化处理率100%；完成美丽街区、精品街道创建20个以上，实现市容管理精细化、规范化、长效化。</w:t>
      </w:r>
    </w:p>
    <w:p w14:paraId="3256A287">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2、市政设施维护提标提档。</w:t>
      </w:r>
      <w:r>
        <w:rPr>
          <w:rFonts w:hint="eastAsia" w:ascii="仿宋_GB2312" w:hAnsi="华文仿宋" w:eastAsia="仿宋_GB2312" w:cs="仿宋"/>
          <w:color w:val="000000"/>
          <w:sz w:val="32"/>
          <w:szCs w:val="32"/>
        </w:rPr>
        <w:t>道桥设施完好率95%以上，主次干道亮灯率99%；民心河水清河畅。水、暖、气等民生保障坚强有力，主城区完成供水、供热、燃气老旧管网改造120公里以上，公共供水普及率95%以上，燃气普及率97%以上，清洁能源供热率100%；主城区生活污水集中收集率不低于90%，县城不低于75%；全市污泥无害化处置率90%以上，再生水利用率30%以上。</w:t>
      </w:r>
    </w:p>
    <w:p w14:paraId="197BF161">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3、城管执法服务水平提升。</w:t>
      </w:r>
      <w:r>
        <w:rPr>
          <w:rFonts w:hint="eastAsia" w:ascii="仿宋_GB2312" w:hAnsi="华文仿宋" w:eastAsia="仿宋_GB2312" w:cs="仿宋"/>
          <w:color w:val="000000"/>
          <w:sz w:val="32"/>
          <w:szCs w:val="32"/>
        </w:rPr>
        <w:t>执法查处处罚力度加大，执法效果日益明显，层级执法监督得到强化；智慧城管深化建设，治理体系不断完善；城管文化凝聚人心，党的建设持续加强；城管队伍执政能力、执法水平、文明素质、工作作风显著提升，塑造一流队伍形象。</w:t>
      </w:r>
    </w:p>
    <w:p w14:paraId="53E57FE1">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二、自评工作开展情况</w:t>
      </w:r>
    </w:p>
    <w:p w14:paraId="6242BC4F">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（一）自评的组织工作</w:t>
      </w:r>
    </w:p>
    <w:p w14:paraId="4F3844AF">
      <w:pPr>
        <w:ind w:left="-141" w:firstLine="640" w:firstLineChars="200"/>
        <w:rPr>
          <w:rFonts w:ascii="仿宋_GB2312" w:hAnsi="华文仿宋" w:eastAsia="仿宋_GB2312" w:cs="仿宋"/>
          <w:color w:val="000000"/>
          <w:sz w:val="32"/>
          <w:szCs w:val="32"/>
        </w:rPr>
      </w:pPr>
      <w:r>
        <w:rPr>
          <w:rFonts w:hint="eastAsia" w:ascii="仿宋_GB2312" w:hAnsi="华文仿宋" w:eastAsia="仿宋_GB2312"/>
          <w:sz w:val="32"/>
          <w:szCs w:val="32"/>
        </w:rPr>
        <w:t>根据《石家庄市财政局关于开展2022年绩效自评工作的通知》石财监〔2022〕1号文件要求，</w:t>
      </w:r>
      <w:r>
        <w:rPr>
          <w:rFonts w:hint="eastAsia" w:ascii="仿宋_GB2312" w:hAnsi="华文仿宋" w:eastAsia="仿宋_GB2312" w:cs="仿宋"/>
          <w:color w:val="000000"/>
          <w:sz w:val="32"/>
          <w:szCs w:val="32"/>
        </w:rPr>
        <w:t>2022 年对我部门2021年项目预算中109个项目就行绩效自评，其中石家庄市城市管理综合行政执法局本级项目数40个（含</w:t>
      </w:r>
      <w:r>
        <w:rPr>
          <w:rFonts w:hint="eastAsia" w:ascii="仿宋_GB2312" w:hAnsi="华文仿宋" w:eastAsia="仿宋_GB2312"/>
          <w:sz w:val="32"/>
          <w:szCs w:val="32"/>
        </w:rPr>
        <w:t>重点项目1个</w:t>
      </w:r>
      <w:r>
        <w:rPr>
          <w:rFonts w:hint="eastAsia" w:ascii="仿宋_GB2312" w:hAnsi="华文仿宋" w:eastAsia="仿宋_GB2312" w:cs="仿宋"/>
          <w:color w:val="000000"/>
          <w:sz w:val="32"/>
          <w:szCs w:val="32"/>
        </w:rPr>
        <w:t>）；石家庄市城市管理执法支队项目数3个；石家庄市市容管理考评中心项目数3个；石家庄市卫生垃圾太行填埋场项目数2个；石家庄市危险废弃物处置场项目数2个；石家庄市市容环卫服务中心项目数2个；石家庄市城市照明管护中心项目数3个；石家庄市二环路管护中心项目数3个；石家庄市环境卫生事务中心项目数14个；石家庄市道桥设施管护中心项目数5个；石家庄市市政建设服务中心项目数6个；石家庄市总退水渠管理所项目数1个；石家庄市排水管护中心项目数9个；石家庄市城管便民服务中心项目数1个；石家庄火车站站前地区管理委员会项目数3个；石家庄市燃气中心项目数2个；石家庄市供热事务中心项目数10个。</w:t>
      </w:r>
    </w:p>
    <w:p w14:paraId="34D4EAD6">
      <w:pPr>
        <w:ind w:left="-141"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为做好部门（单位）自评工作，</w:t>
      </w:r>
      <w:r>
        <w:rPr>
          <w:rFonts w:hint="eastAsia" w:ascii="仿宋_GB2312" w:hAnsi="华文仿宋" w:eastAsia="仿宋_GB2312"/>
          <w:sz w:val="32"/>
          <w:szCs w:val="32"/>
        </w:rPr>
        <w:t>对2022年绩效自评工作进行布置，提出要求。</w:t>
      </w:r>
      <w:r>
        <w:rPr>
          <w:rFonts w:hint="eastAsia" w:ascii="仿宋_GB2312" w:hAnsi="华文仿宋" w:eastAsia="仿宋_GB2312" w:cs="仿宋"/>
          <w:color w:val="000000"/>
          <w:sz w:val="32"/>
          <w:szCs w:val="32"/>
        </w:rPr>
        <w:t>确定本次评价工作以各下属单位为主，明确了工作要求和工作目标，组织本单位相关科室对本单位2021年109个预算项目</w:t>
      </w:r>
      <w:r>
        <w:rPr>
          <w:rFonts w:hint="eastAsia" w:ascii="仿宋_GB2312" w:hAnsi="华文仿宋" w:eastAsia="仿宋_GB2312"/>
          <w:sz w:val="32"/>
          <w:szCs w:val="32"/>
        </w:rPr>
        <w:t>的概况、绩效目标、政策依据、数据资料、指标体系等进行了评价，分别形成了自评表和自评报告。</w:t>
      </w:r>
      <w:r>
        <w:rPr>
          <w:rFonts w:hint="eastAsia" w:ascii="仿宋_GB2312" w:hAnsi="华文仿宋" w:eastAsia="仿宋_GB2312" w:cs="仿宋"/>
          <w:color w:val="000000"/>
          <w:sz w:val="32"/>
          <w:szCs w:val="32"/>
        </w:rPr>
        <w:t>局本级按照财政局相关要求聘请第三方对污水污泥处理费项目进行重点绩效评价，本部门将各单位编制的自评表进行了修改完善，提高了自评表的完整性、准确性，并负责汇总结果后对照项目绩效目标，按实际项目推进情况进行打分。</w:t>
      </w:r>
    </w:p>
    <w:p w14:paraId="7BB95BDE">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（二）自评的方法和过程</w:t>
      </w:r>
    </w:p>
    <w:p w14:paraId="481303B0">
      <w:pPr>
        <w:ind w:left="-141" w:firstLine="640" w:firstLineChars="200"/>
        <w:rPr>
          <w:rFonts w:ascii="仿宋_GB2312" w:hAnsi="华文仿宋" w:eastAsia="仿宋_GB2312"/>
          <w:sz w:val="32"/>
          <w:szCs w:val="32"/>
        </w:rPr>
      </w:pPr>
      <w:r>
        <w:rPr>
          <w:rFonts w:hint="eastAsia" w:ascii="仿宋_GB2312" w:hAnsi="华文仿宋" w:eastAsia="仿宋_GB2312"/>
          <w:sz w:val="32"/>
          <w:szCs w:val="32"/>
        </w:rPr>
        <w:t>以2021年预算确定的项目绩效目标和绩效指标为依据，设置了详细的三级指标、绩效指标描述、指标值和指标确定依据，明确了评价标准，使指标可量化、可衡量、可考核，收集整理了项目各阶段的信息、材料，逐项评定指标得分并对资料进行分类整理、审查和分析。</w:t>
      </w:r>
    </w:p>
    <w:p w14:paraId="160D9062">
      <w:pPr>
        <w:pStyle w:val="8"/>
        <w:ind w:firstLine="0" w:firstLineChars="0"/>
        <w:rPr>
          <w:rFonts w:ascii="仿宋_GB2312" w:hAnsi="华文仿宋" w:eastAsia="仿宋_GB2312"/>
          <w:b/>
          <w:bCs/>
          <w:sz w:val="32"/>
          <w:szCs w:val="32"/>
        </w:rPr>
      </w:pPr>
      <w:r>
        <w:rPr>
          <w:rFonts w:hint="eastAsia" w:ascii="仿宋_GB2312" w:hAnsi="华文仿宋" w:eastAsia="仿宋_GB2312"/>
          <w:b/>
          <w:bCs/>
          <w:sz w:val="32"/>
          <w:szCs w:val="32"/>
        </w:rPr>
        <w:t>（三）建立绩效评价指标体系</w:t>
      </w:r>
    </w:p>
    <w:p w14:paraId="2CDCF4A1">
      <w:pPr>
        <w:ind w:firstLine="320" w:firstLineChars="100"/>
        <w:rPr>
          <w:rFonts w:ascii="仿宋_GB2312" w:hAnsi="华文仿宋" w:eastAsia="仿宋_GB2312"/>
          <w:sz w:val="32"/>
          <w:szCs w:val="32"/>
        </w:rPr>
      </w:pPr>
      <w:r>
        <w:rPr>
          <w:rFonts w:hint="eastAsia" w:ascii="仿宋_GB2312" w:hAnsi="华文仿宋" w:eastAsia="仿宋_GB2312"/>
          <w:sz w:val="32"/>
          <w:szCs w:val="32"/>
        </w:rPr>
        <w:t>指标设置要求。总分设定为100分。</w:t>
      </w:r>
    </w:p>
    <w:p w14:paraId="4D9417CA">
      <w:pPr>
        <w:ind w:firstLine="566" w:firstLineChars="177"/>
        <w:rPr>
          <w:rFonts w:ascii="仿宋_GB2312" w:hAnsi="华文仿宋" w:eastAsia="仿宋_GB2312"/>
          <w:sz w:val="32"/>
          <w:szCs w:val="32"/>
        </w:rPr>
      </w:pPr>
      <w:r>
        <w:rPr>
          <w:rFonts w:hint="eastAsia" w:ascii="仿宋_GB2312" w:hAnsi="华文仿宋" w:eastAsia="仿宋_GB2312"/>
          <w:sz w:val="32"/>
          <w:szCs w:val="32"/>
        </w:rPr>
        <w:t>1.一级产出指标40分，包含二级指标为：数量、质量、时效、成本指标，</w:t>
      </w:r>
      <w:bookmarkStart w:id="0" w:name="_Hlk94189318"/>
      <w:r>
        <w:rPr>
          <w:rFonts w:hint="eastAsia" w:ascii="仿宋_GB2312" w:hAnsi="华文仿宋" w:eastAsia="仿宋_GB2312"/>
          <w:sz w:val="32"/>
          <w:szCs w:val="32"/>
        </w:rPr>
        <w:t>三级指标为2021预算绩效目标申报表的指标。二级及以下指标权重根据评价对象实际情况确定。</w:t>
      </w:r>
      <w:bookmarkEnd w:id="0"/>
    </w:p>
    <w:p w14:paraId="47EB11C0">
      <w:pPr>
        <w:ind w:firstLine="566" w:firstLineChars="177"/>
        <w:rPr>
          <w:rFonts w:ascii="仿宋_GB2312" w:hAnsi="华文仿宋" w:eastAsia="仿宋_GB2312"/>
          <w:sz w:val="32"/>
          <w:szCs w:val="32"/>
        </w:rPr>
      </w:pPr>
      <w:r>
        <w:rPr>
          <w:rFonts w:hint="eastAsia" w:ascii="仿宋_GB2312" w:hAnsi="华文仿宋" w:eastAsia="仿宋_GB2312"/>
          <w:sz w:val="32"/>
          <w:szCs w:val="32"/>
        </w:rPr>
        <w:t>2.一级预算执行率指标10分。</w:t>
      </w:r>
    </w:p>
    <w:p w14:paraId="441A74FB">
      <w:pPr>
        <w:ind w:firstLine="566" w:firstLineChars="177"/>
        <w:rPr>
          <w:rFonts w:ascii="仿宋_GB2312" w:hAnsi="华文仿宋" w:eastAsia="仿宋_GB2312"/>
          <w:sz w:val="32"/>
          <w:szCs w:val="32"/>
        </w:rPr>
      </w:pPr>
      <w:r>
        <w:rPr>
          <w:rFonts w:hint="eastAsia" w:ascii="仿宋_GB2312" w:hAnsi="华文仿宋" w:eastAsia="仿宋_GB2312"/>
          <w:sz w:val="32"/>
          <w:szCs w:val="32"/>
        </w:rPr>
        <w:t>3.一级效益指标40分，包含二级指标为：经济效益、社会效益、生态效益、可持续影响指标，</w:t>
      </w:r>
      <w:bookmarkStart w:id="1" w:name="_Hlk94189432"/>
      <w:r>
        <w:rPr>
          <w:rFonts w:hint="eastAsia" w:ascii="仿宋_GB2312" w:hAnsi="华文仿宋" w:eastAsia="仿宋_GB2312"/>
          <w:sz w:val="32"/>
          <w:szCs w:val="32"/>
        </w:rPr>
        <w:t>三级指标为2021预算绩效目标申报表的指标。</w:t>
      </w:r>
      <w:bookmarkEnd w:id="1"/>
      <w:bookmarkStart w:id="2" w:name="_Hlk94189454"/>
      <w:r>
        <w:rPr>
          <w:rFonts w:hint="eastAsia" w:ascii="仿宋_GB2312" w:hAnsi="华文仿宋" w:eastAsia="仿宋_GB2312"/>
          <w:sz w:val="32"/>
          <w:szCs w:val="32"/>
        </w:rPr>
        <w:t>二级及以下指标权重根据评价对象实际情况确定。</w:t>
      </w:r>
    </w:p>
    <w:bookmarkEnd w:id="2"/>
    <w:p w14:paraId="3FBB1405">
      <w:pPr>
        <w:ind w:left="-141" w:firstLine="707" w:firstLineChars="221"/>
        <w:rPr>
          <w:rFonts w:ascii="仿宋_GB2312" w:hAnsi="华文仿宋" w:eastAsia="仿宋_GB2312"/>
          <w:sz w:val="32"/>
          <w:szCs w:val="32"/>
        </w:rPr>
      </w:pPr>
      <w:r>
        <w:rPr>
          <w:rFonts w:hint="eastAsia" w:ascii="仿宋_GB2312" w:hAnsi="华文仿宋" w:eastAsia="仿宋_GB2312"/>
          <w:sz w:val="32"/>
          <w:szCs w:val="32"/>
        </w:rPr>
        <w:t>4.一级满意度指标10分，包含二级指标为满意度指标，三级指标为2021预算绩效目标申报表的指标。二级及以下指标权重根据评价对象实际情况确定。</w:t>
      </w:r>
    </w:p>
    <w:p w14:paraId="24FD34B8">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三、部门整体支出绩效目标实现情况及指标分析</w:t>
      </w:r>
    </w:p>
    <w:p w14:paraId="2818A61A">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（一）总体绩效目标实现情况</w:t>
      </w:r>
    </w:p>
    <w:p w14:paraId="6C699C88">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1、增强工作落实的主动性和坚定性。</w:t>
      </w:r>
      <w:r>
        <w:rPr>
          <w:rFonts w:hint="eastAsia" w:ascii="仿宋_GB2312" w:hAnsi="华文仿宋" w:eastAsia="仿宋_GB2312" w:cs="仿宋_GB2312"/>
          <w:sz w:val="32"/>
          <w:szCs w:val="32"/>
        </w:rPr>
        <w:t>认真落实党中央和省委、市委和市政府工作部署，确保圆满完成交办的各项任务。加强疫情常态化防控，有效防范化解各类风险。扎实做好大气、水、土壤污染防治工作，积极为全市生态环境改善作贡献。</w:t>
      </w:r>
    </w:p>
    <w:p w14:paraId="3E3A2E52">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2、全面深化党的建设。</w:t>
      </w:r>
      <w:r>
        <w:rPr>
          <w:rFonts w:hint="eastAsia" w:ascii="仿宋_GB2312" w:hAnsi="华文仿宋" w:eastAsia="仿宋_GB2312" w:cs="仿宋_GB2312"/>
          <w:sz w:val="32"/>
          <w:szCs w:val="32"/>
        </w:rPr>
        <w:t>坚持把政治建设摆在首位，不断增强“四个意识”、坚定“四个自信”、做到“两个维护”。巩固深化“不忘初心、牢记使命”主题教育成果，完善“三会一课”制度和中心组集中学习、两周一课学习机制。开展“五好党支部”评选，推进支部标准化、规范化建设。扎实做好老干部、工青妇等工作。</w:t>
      </w:r>
    </w:p>
    <w:p w14:paraId="41927D0A">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3、持续加强意识形态建设。</w:t>
      </w:r>
      <w:r>
        <w:rPr>
          <w:rFonts w:hint="eastAsia" w:ascii="仿宋_GB2312" w:hAnsi="华文仿宋" w:eastAsia="仿宋_GB2312" w:cs="仿宋_GB2312"/>
          <w:sz w:val="32"/>
          <w:szCs w:val="32"/>
        </w:rPr>
        <w:t>谋划建设城管文化展室，启动编制城管志，继续打造“走进城管”“最美城管人”“书香城管”等品牌，讲好城管故事，宣传城管精神，塑造城管文化，巩固深化精神文明建设成果。组织开展“颂歌献给亲爱的党”等建党100周年系列活动，营造庆祝建党百年的浓厚氛围。</w:t>
      </w:r>
    </w:p>
    <w:p w14:paraId="712536ED">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4、不断提升“精细化、科学化、智能化”水平。</w:t>
      </w:r>
      <w:r>
        <w:rPr>
          <w:rFonts w:hint="eastAsia" w:ascii="仿宋_GB2312" w:hAnsi="华文仿宋" w:eastAsia="仿宋_GB2312" w:cs="仿宋_GB2312"/>
          <w:sz w:val="32"/>
          <w:szCs w:val="32"/>
        </w:rPr>
        <w:t>对照《河北省城市精细化管理标准》，研究配套规范细则标准，提高精细化管理水平。编制供热、燃气、供水、中水回用、污水、环卫、照明等“十四五”专项规划，健全完善规章制度，严格规划制度刚性，提高科学化管理水平。有序推进城市管理信息化平台建设，促进城市管理由数字化向智能化转变。</w:t>
      </w:r>
    </w:p>
    <w:p w14:paraId="1B8DABBC">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5、深入推进城管体制改革。</w:t>
      </w:r>
      <w:r>
        <w:rPr>
          <w:rFonts w:hint="eastAsia" w:ascii="仿宋_GB2312" w:hAnsi="华文仿宋" w:eastAsia="仿宋_GB2312" w:cs="仿宋_GB2312"/>
          <w:sz w:val="32"/>
          <w:szCs w:val="32"/>
        </w:rPr>
        <w:t>深化执法体制改革，加强基层综合执法队伍行风建设，建立市、区（县）、街道执法层级指导监督体系。深化考评机制改革，谋划建立高位考评机制，强化街道综合执法队伍考核评比。深化事业单位改革，稳妥解决改革中各类问题，确保取得实效。深化县城指导督导，完善工作机制，提高县级城管工作水平。</w:t>
      </w:r>
    </w:p>
    <w:p w14:paraId="66491DBE">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6、牢固树立以人为本。</w:t>
      </w:r>
      <w:r>
        <w:rPr>
          <w:rFonts w:hint="eastAsia" w:ascii="仿宋_GB2312" w:hAnsi="华文仿宋" w:eastAsia="仿宋_GB2312" w:cs="仿宋_GB2312"/>
          <w:sz w:val="32"/>
          <w:szCs w:val="32"/>
        </w:rPr>
        <w:t>坚持以人民为中心发展思想，突出服务意识，优化营商环境，着力办好群众各项“急难愁盼”问题。积极开展“双问计”活动，坚持开门办城管，强化城管微信公众号、官方网站、“市民通APP”等媒体平台影响力，拓宽市民参与城市管理的渠道，带动市民共同治理和建设美丽家园，不断提升人民群众获得感、幸福感、安全感。</w:t>
      </w:r>
    </w:p>
    <w:p w14:paraId="0668643A">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7、全面加强队伍建设。</w:t>
      </w:r>
      <w:r>
        <w:rPr>
          <w:rFonts w:hint="eastAsia" w:ascii="仿宋_GB2312" w:hAnsi="华文仿宋" w:eastAsia="仿宋_GB2312" w:cs="仿宋_GB2312"/>
          <w:sz w:val="32"/>
          <w:szCs w:val="32"/>
        </w:rPr>
        <w:t>严格落实党风廉政建设“两个责任”，持之以恒纠正“四风”，坚持“事争一流、勇当先锋”，造就一支政治素质高、业务能力强、工作作风硬、能打胜仗的城管队伍。</w:t>
      </w:r>
    </w:p>
    <w:p w14:paraId="35745E24">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8、持续强化平安建设。</w:t>
      </w:r>
      <w:r>
        <w:rPr>
          <w:rFonts w:hint="eastAsia" w:ascii="仿宋_GB2312" w:hAnsi="华文仿宋" w:eastAsia="仿宋_GB2312" w:cs="仿宋_GB2312"/>
          <w:sz w:val="32"/>
          <w:szCs w:val="32"/>
        </w:rPr>
        <w:t>加大供水、燃气、供热市政基础设施安全排查力度，确保城市水热气等生命线系统畅通、安全运行。修订完善城区防汛、冬季融雪、道路塌陷等应急预案，遇有险情迅速反应、及时处置。严格落实安全生产“党政同责、一岗双责”责任制，深入开展安全生产、扫黑除恶、信访稳定等隐患排查整治活动，确保全局系统安全稳定。</w:t>
      </w:r>
    </w:p>
    <w:p w14:paraId="2854B0C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（二）分项绩效目标实现情况及指标分析</w:t>
      </w:r>
    </w:p>
    <w:p w14:paraId="1778B66E">
      <w:pPr>
        <w:spacing w:line="560" w:lineRule="exact"/>
        <w:ind w:firstLine="480" w:firstLineChars="15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本年度专项项目预算安排资金196171.620716万元，执行数181362.781365万元，执行率92.45%。部门总体自评平均得分99分，总体绩效目标实现情况优秀。</w:t>
      </w:r>
    </w:p>
    <w:p w14:paraId="4BB7E87B">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各单位具体支出绩效目标如下：</w:t>
      </w:r>
    </w:p>
    <w:p w14:paraId="359C3F71">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A.石家庄市城市管理综合行政执法局本级：40个项目，其中1个重点评价项目。</w:t>
      </w:r>
      <w:r>
        <w:rPr>
          <w:rFonts w:hint="eastAsia" w:ascii="仿宋_GB2312" w:hAnsi="华文仿宋" w:eastAsia="仿宋_GB2312" w:cs="仿宋_GB2312"/>
          <w:sz w:val="32"/>
          <w:szCs w:val="32"/>
        </w:rPr>
        <w:t>本年度专项项目预算安排资金78632.127101万元，执行数71050.420201万元，执行率90.35%。总体绩效目标实现情况优秀。</w:t>
      </w:r>
    </w:p>
    <w:p w14:paraId="31E0EB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1、2020年城市照明改造完善工程　</w:t>
      </w:r>
    </w:p>
    <w:p w14:paraId="12D022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（1）年度目标：本工程的建设将极大提升城市形象，本工程的建设将极大地改善民生。</w:t>
      </w:r>
    </w:p>
    <w:p w14:paraId="12782AE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（2）绩效目标总体情况：完成御城路（建华大街-高营大街）、翟营北大街（御城路—北二环）等17条路段照明设施改善及中山路夜景亮化建设，完成率100%。</w:t>
      </w:r>
    </w:p>
    <w:p w14:paraId="1A5AAB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18612D6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2、2020年生活垃圾分类　</w:t>
      </w:r>
    </w:p>
    <w:p w14:paraId="09A0515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（1）年度目标：2020年生活垃圾分类全部完成。</w:t>
      </w:r>
    </w:p>
    <w:p w14:paraId="3A6348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（2）绩效目标总体情况：垃圾分类宣传项目文艺汇演部分和第三方考评项目，因疫情影响需延期完工，其他项目均已完成，完成率97%。</w:t>
      </w:r>
    </w:p>
    <w:p w14:paraId="57BDB2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（3）自评得分：95.5分。</w:t>
      </w:r>
    </w:p>
    <w:p w14:paraId="772E8E2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3、2020年市区排水管网改造工程</w:t>
      </w:r>
    </w:p>
    <w:p w14:paraId="508537B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（1）年度目标：极大的完善城区排水管网设施。</w:t>
      </w:r>
    </w:p>
    <w:p w14:paraId="25932F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（2）绩效目标总体情况：完成中华北大街、汇通路、兴凯路、裕翔街、学府路、体育大街、泰华街和平路、泰华街联盟路、高东街等排水设施改造，完成率100%。</w:t>
      </w:r>
    </w:p>
    <w:p w14:paraId="628B50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BA6EF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4、拆除违章户外广告　</w:t>
      </w:r>
    </w:p>
    <w:p w14:paraId="26C6E0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（1）年度目标：依据《石家庄市城市广告牌匾整治提升行动推动工作方案》石政办函〔2018〕194号文件要求，对主城四区违规私设、有碍观瞻的户外广告进行拆除。</w:t>
      </w:r>
    </w:p>
    <w:p w14:paraId="324D16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（2）绩效目标总体情况：通过对主城四区违规私设、有碍观瞻的户外广告进行拆除，提升石家庄市城市形象，完成率99%。</w:t>
      </w:r>
    </w:p>
    <w:p w14:paraId="68B14A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（3）自评得分：96分。</w:t>
      </w:r>
    </w:p>
    <w:p w14:paraId="49F5BE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5、二环路沿线泵站及裕翔街、南栗明渠闸门改造工程　</w:t>
      </w:r>
    </w:p>
    <w:p w14:paraId="43B6BAB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（1）年度目标：提升泵站抽排能力，解决区域易积水问题。</w:t>
      </w:r>
    </w:p>
    <w:p w14:paraId="3AB64D2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（2）绩效目标总体情况：完成东二环裕华路泵站、西二环和平路泵站改造，完成率100%。</w:t>
      </w:r>
    </w:p>
    <w:p w14:paraId="471E9F5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72C9E4C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6、二环路沿线区域排水改造工程</w:t>
      </w:r>
    </w:p>
    <w:p w14:paraId="790D30B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（1）年度目标：解决区域易积水问题。</w:t>
      </w:r>
    </w:p>
    <w:p w14:paraId="0C62D5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（2）绩效目标总体情况：完成北二环明珠街、誉兴街、桃园村，西二环中山庄园，东二环土贤庄，丰收路谈固大街口区域排水设施改造，完成率100%。</w:t>
      </w:r>
    </w:p>
    <w:p w14:paraId="530E21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77B652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7、公务用车回购</w:t>
      </w:r>
    </w:p>
    <w:p w14:paraId="0A9641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（1）年度目标：回购一辆公务用车。</w:t>
      </w:r>
    </w:p>
    <w:p w14:paraId="7FBB01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3B252D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AC6B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8、公益广告设置</w:t>
      </w:r>
    </w:p>
    <w:p w14:paraId="0ABA0A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（1）年度目标：通过在主城四区设置相关公益广告，专门用于提升石家庄城市形象，国家文明城和国庆的公益广告宣传工作。</w:t>
      </w:r>
    </w:p>
    <w:p w14:paraId="60A194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（2）绩效目标总体情况：石家庄市城市形象得到显著提升，国家文明城市和国庆节的公益广告宣传和氛围营造开展到位，完成率99%。</w:t>
      </w:r>
    </w:p>
    <w:p w14:paraId="72E5685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29A14F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9、供水集团债券付费　</w:t>
      </w:r>
    </w:p>
    <w:p w14:paraId="5ACC72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（1）年度目标：如期缴纳费用。</w:t>
      </w:r>
    </w:p>
    <w:p w14:paraId="6F9F562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（2）绩效目标总体情况：根据政府文件批复，水投集团无需支付此费用，完成率100%。</w:t>
      </w:r>
    </w:p>
    <w:p w14:paraId="5424B3F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907DC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10、供水集团债券付息</w:t>
      </w:r>
    </w:p>
    <w:p w14:paraId="623CB7C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（1）年度目标：如期缴纳，如数上缴。</w:t>
      </w:r>
    </w:p>
    <w:p w14:paraId="13A274C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（2）绩效目标总体情况：根据市政府文件批复，水投集团无需支付债券利息，完成率100%。</w:t>
      </w:r>
    </w:p>
    <w:p w14:paraId="0A6C95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BB741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11、红外线测温仪　</w:t>
      </w:r>
    </w:p>
    <w:p w14:paraId="3ABBAE3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（1）年度目标：购置一台红外线测温仪。</w:t>
      </w:r>
    </w:p>
    <w:p w14:paraId="2A81BE7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700262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874C20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12、环卫工人意外伤害救助金　</w:t>
      </w:r>
    </w:p>
    <w:p w14:paraId="7C1329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（1）年度目标：保障救助金及时发放，保障环卫工人权益,提高环卫工人满意度。</w:t>
      </w:r>
    </w:p>
    <w:p w14:paraId="645A86B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（2）绩效目标总体情况：全部完成，完成率100%。</w:t>
      </w:r>
    </w:p>
    <w:p w14:paraId="7D19DC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64BA86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13、汇通路建设大街区域排水改造工程　</w:t>
      </w:r>
    </w:p>
    <w:p w14:paraId="4C07984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（1）年度目标：提升管网排水能力，减少雨季路面积水。</w:t>
      </w:r>
    </w:p>
    <w:p w14:paraId="02927A8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（2）绩效目标总体情况：完成汇通路、建设大街区域排水改造工程，完成率100%。</w:t>
      </w:r>
    </w:p>
    <w:p w14:paraId="3DD1DAC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FDB9A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14、建筑垃圾资源化利用　</w:t>
      </w:r>
    </w:p>
    <w:p w14:paraId="75BA76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（1）年度目标：有效降低建筑垃圾带来的污染。</w:t>
      </w:r>
    </w:p>
    <w:p w14:paraId="28736C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建筑垃圾能力不断提升。</w:t>
      </w:r>
    </w:p>
    <w:p w14:paraId="2B7EE4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（2）绩效目标总体情况：有效降低了污染，建筑垃圾处置利用能力有效提升，完成率100%。</w:t>
      </w:r>
    </w:p>
    <w:p w14:paraId="7B6D8ED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716879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15、掘路修复费　</w:t>
      </w:r>
    </w:p>
    <w:p w14:paraId="5BCAB3F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（1）年度目标：对所辖区施工单位挖掘的城市道路进行恢复，财政阶段性实施评审，依照评审结果拨付资金。</w:t>
      </w:r>
    </w:p>
    <w:p w14:paraId="53DA1A2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（2）绩效目标总体情况：全部修复完成，财政已完成评审并出具评审报告，完成率100%。</w:t>
      </w:r>
    </w:p>
    <w:p w14:paraId="22AF11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（3）自评得分：98.4分。</w:t>
      </w:r>
    </w:p>
    <w:p w14:paraId="5300CEB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16、绿色社区创建三年行动办公室车辆租赁费</w:t>
      </w:r>
    </w:p>
    <w:p w14:paraId="2169E2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（1）年度目标：及时缴纳租车费用,保障车辆状态良好。</w:t>
      </w:r>
    </w:p>
    <w:p w14:paraId="26BF3E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6D5598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0C7A4F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17、绿色社区创建三年行动办公室房屋租赁费　</w:t>
      </w:r>
    </w:p>
    <w:p w14:paraId="6281DF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4C734EB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5FD4D2D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C72DB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18、绿色社区创建三年行动办公室工作经费　</w:t>
      </w:r>
    </w:p>
    <w:p w14:paraId="6758262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（1）年度目标：保障日常办公正常运转,支出费用不超当年预算。</w:t>
      </w:r>
    </w:p>
    <w:p w14:paraId="54EACC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277DFD4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3674F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19、民心河中水补水　</w:t>
      </w:r>
    </w:p>
    <w:p w14:paraId="736936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（1）年度目标：保证民心河正常补水。</w:t>
      </w:r>
    </w:p>
    <w:p w14:paraId="24584F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（2）绩效目标总体情况：完成滹沱河污水处理厂中水管道建设及南栗明渠管道建设，完成率100%。</w:t>
      </w:r>
    </w:p>
    <w:p w14:paraId="6E0DFB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6C92E8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20、胜利大街新客站客整所门前区域排水改造工程　</w:t>
      </w:r>
    </w:p>
    <w:p w14:paraId="02E502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（1）年度目标：解决区域易积水问题。</w:t>
      </w:r>
    </w:p>
    <w:p w14:paraId="598260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（2）绩效目标总体情况：完成胜利大街新客站客整所门前区域排水改造，完成率100%。</w:t>
      </w:r>
    </w:p>
    <w:p w14:paraId="3A799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9A8BA4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21、石德铁路及石太高速沿线区域泵站改造及民心河河道整治工程　</w:t>
      </w:r>
    </w:p>
    <w:p w14:paraId="021A49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（1）年度目标：提升泵站抽排能力，解决区域易积水问题。。</w:t>
      </w:r>
    </w:p>
    <w:p w14:paraId="4F93DE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（2）绩效目标总体情况：完成电大街、友谊大街、胜利大街、和平路、和平西路、大郭村、石获南路、植物园泵站改造及民心河河道整治修复，完成率100%。</w:t>
      </w:r>
    </w:p>
    <w:p w14:paraId="258BFF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43A76A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22、石家庄市汇通路、建设大街区域排水改造工程　</w:t>
      </w:r>
    </w:p>
    <w:p w14:paraId="2AB2DD7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（1）年度目标：用于汇通路（南货场铁路-金利街）、建设大街（仓盛路-嘉华路）排水设施改造。</w:t>
      </w:r>
    </w:p>
    <w:p w14:paraId="5D83B6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（2）绩效目标总体情况：汇通路（南货场铁路-金利街）拆除并新建雨水方沟397米、新建污水管道422米等；建设大街（仓盛路-嘉华路）新建雨水管道634米，雨水口42座等，完成率100%。</w:t>
      </w:r>
    </w:p>
    <w:p w14:paraId="16536CB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AA8080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23、市海绵办工作经费　</w:t>
      </w:r>
    </w:p>
    <w:p w14:paraId="7A05D2E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22BF96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（2）绩效目标总体情况：按照进度完成经费支出，保障日常办公，完成率100%。</w:t>
      </w:r>
    </w:p>
    <w:p w14:paraId="467A9D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A7981E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24、市景观办房租费　</w:t>
      </w:r>
    </w:p>
    <w:p w14:paraId="33D7A8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0584F9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（2）绩效目标总体情况：按时全额缴纳房租，保证正常工作，完成率100%。</w:t>
      </w:r>
    </w:p>
    <w:p w14:paraId="40D9875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D219E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25、市景观办工作经费　</w:t>
      </w:r>
    </w:p>
    <w:p w14:paraId="52DE82F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（1）年度目标：保障正常办公用房，确保工作顺利实施。</w:t>
      </w:r>
    </w:p>
    <w:p w14:paraId="7058F1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（2）绩效目标总体情况：能够及时支付费用，保证正常工作任务，完成率100%。</w:t>
      </w:r>
    </w:p>
    <w:p w14:paraId="40CB580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8534FC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26、市生活垃圾分类办办公房屋租金</w:t>
      </w:r>
    </w:p>
    <w:p w14:paraId="086771E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18E79F8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（2）绩效目标总体情况：保障工作的正常开展，完成率100%。</w:t>
      </w:r>
    </w:p>
    <w:p w14:paraId="55C1353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（3）自评得分：92分。</w:t>
      </w:r>
    </w:p>
    <w:p w14:paraId="275B13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27、市生活垃圾分类办车辆租赁</w:t>
      </w:r>
    </w:p>
    <w:p w14:paraId="72015BB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（1）年度目标：保证车辆状况良好，完成出车任务。。</w:t>
      </w:r>
    </w:p>
    <w:p w14:paraId="54731E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（2）绩效目标总体情况：保障出行考核需求，完成率100%。</w:t>
      </w:r>
    </w:p>
    <w:p w14:paraId="6CF8339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68CC4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28、市生活垃圾分类办公室工作经费</w:t>
      </w:r>
    </w:p>
    <w:p w14:paraId="4FA212A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75683E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（2）绩效目标总体情况：保障日常办公需求，工作顺利实施，完成率100%。</w:t>
      </w:r>
    </w:p>
    <w:p w14:paraId="0855844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E8794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29、市双代办办公房屋租金　</w:t>
      </w:r>
    </w:p>
    <w:p w14:paraId="4556655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（1）年度目标：及时缴纳房租，保障正常办公用房。</w:t>
      </w:r>
    </w:p>
    <w:p w14:paraId="5D92A55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（2）绩效目标总体情况：按照合同约定，及时缴纳了房租，保障了市双代办正常办公用房，完成率100%。</w:t>
      </w:r>
    </w:p>
    <w:p w14:paraId="29A4803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9DDAEE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30、市双代办工作经费　</w:t>
      </w:r>
    </w:p>
    <w:p w14:paraId="3E6AAE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69D1513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（2）绩效目标总体情况：按需采购，及时支付日常办公经费，保障了市双代办工作顺利实施，完成率100%。</w:t>
      </w:r>
    </w:p>
    <w:p w14:paraId="38FC31D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9C5E3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31、体育大街、滹沱河污水厂区域排水改造工程及北二环高东街排水改造工程　</w:t>
      </w:r>
    </w:p>
    <w:p w14:paraId="56EEED2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（1）年度目标：用于体育大街（南二环-308国道）、滹沱河污水厂区域及北二环高东街排水设施改造。</w:t>
      </w:r>
    </w:p>
    <w:p w14:paraId="100EEAD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（2）绩效目标总体情况：体育大街（南二环-308国道）长3479米全线清淤2930立方米；新建滹沱河污水厂进厂管48.36米、新建检查井3座等；北二环高东街新建污水管道138米、新建检查井6座等，完成率100%。</w:t>
      </w:r>
    </w:p>
    <w:p w14:paraId="212BDA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8BC1E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32、污染治理和节能减碳专项(污染治理方向)　</w:t>
      </w:r>
    </w:p>
    <w:p w14:paraId="2A74CA0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（1）年度目标：发挥中央预算内投资激励、带动作用，引导社会资本参与污染治理和节能减碳领域项目建设，促进环境基础设施补短板项目尽快落地实施。</w:t>
      </w:r>
    </w:p>
    <w:p w14:paraId="5002DDF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（2）绩效目标总体情况：使用中央预算资金2000万元，完成率100%。</w:t>
      </w:r>
    </w:p>
    <w:p w14:paraId="4B1D3CB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（3）自评得分：99.5分。</w:t>
      </w:r>
    </w:p>
    <w:p w14:paraId="4A08C0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33、污水处理费征收手续费　</w:t>
      </w:r>
    </w:p>
    <w:p w14:paraId="1E7E716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（1）年度目标：通过收取污水处理费，增加财政非税收入。有利于提高污水处理费收费水平。</w:t>
      </w:r>
    </w:p>
    <w:p w14:paraId="15FEED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（2）绩效目标总体情况：按实际业务，收到的污水处理费全额及时全额上缴财政，完成率100%。</w:t>
      </w:r>
    </w:p>
    <w:p w14:paraId="6A0064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2F1481BB">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34、污水污泥处理费（重点自评项目）　</w:t>
      </w:r>
    </w:p>
    <w:p w14:paraId="572C0E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（1）年度目标：处理污水水质稳定达标，提高再生资源回用。</w:t>
      </w:r>
    </w:p>
    <w:p w14:paraId="6193E47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污水处理在来水满足设计值时，出水水质各项指标均达到河北省地方标准《子牙河流域水污染物排放标准》（DB13/2796--2018)，出水水质指标合格率100%，2021年中水回用率32.68%，项目完成率100%。</w:t>
      </w:r>
    </w:p>
    <w:p w14:paraId="44A582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（3）自评得分：99.89分。</w:t>
      </w:r>
    </w:p>
    <w:p w14:paraId="628185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35、西兆通再生水厂和地上公园项目咨询服务费　</w:t>
      </w:r>
    </w:p>
    <w:p w14:paraId="7B45441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（1）年度目标：聘请第三方对项目咨询服务，咨询成果甲方满意。</w:t>
      </w:r>
    </w:p>
    <w:p w14:paraId="31D39FA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（2）绩效目标总体情况：完成，完成率100%。</w:t>
      </w:r>
    </w:p>
    <w:p w14:paraId="049FD9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200DEC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36、应急和抢险项目　</w:t>
      </w:r>
    </w:p>
    <w:p w14:paraId="2267398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（1）年度目标：城建应急抢险。</w:t>
      </w:r>
    </w:p>
    <w:p w14:paraId="7A41BF9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南延（南二环—南三环）污水调蓄建设，翠屏路抽水，红河小区河道雨损抢修，民心河南二环平台护坡抢险修复，民心河东线雨损护坡、河底抢修，民心河南线雨损护坡、河底抢修，民心河西线雨损护坡、河底抢修，民心河北线雨损护坡、河底抢修，完成率100%。</w:t>
      </w:r>
    </w:p>
    <w:p w14:paraId="66C70C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（3）自评得分：90分。</w:t>
      </w:r>
    </w:p>
    <w:p w14:paraId="0085974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37、裕华路建筑立面提升　</w:t>
      </w:r>
    </w:p>
    <w:p w14:paraId="1A3433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（1）年度目标：裕华路建筑立面提升全部完工。</w:t>
      </w:r>
    </w:p>
    <w:p w14:paraId="443560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（2）绩效目标总体情况：已全部完工，完成率100%。</w:t>
      </w:r>
    </w:p>
    <w:p w14:paraId="1E7EFA4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EFA24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38、中华大街（宁安路-南二环）提升改造　</w:t>
      </w:r>
    </w:p>
    <w:p w14:paraId="5EAF1F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（1）年度目标：本工程的建设将极大的完善中华大街与周边道路的连接，发挥辐射带动作用。解决城市空间狭小、交通拥挤、环境恶化等问题。</w:t>
      </w:r>
    </w:p>
    <w:p w14:paraId="02A6C96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（2）绩效目标总体情况：完成中华大街（宁安路-南二环）道路、排水等设施改造，完成率100%。</w:t>
      </w:r>
    </w:p>
    <w:p w14:paraId="7064793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CB8418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39、中华大街建筑立面提升</w:t>
      </w:r>
    </w:p>
    <w:p w14:paraId="5F8020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（1）年度目标：中华大街建筑立面提升全部完工。</w:t>
      </w:r>
    </w:p>
    <w:p w14:paraId="712107D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（2）绩效目标总体情况：完成中华大街（宁安路-南二环）道路、排水等设施改造，完成率100%。</w:t>
      </w:r>
    </w:p>
    <w:p w14:paraId="26F581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2682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40、中华大街市容市貌整治</w:t>
      </w:r>
    </w:p>
    <w:p w14:paraId="04CC34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（1）年度目标：按照综合整治方案，对有碍观瞻的牌匾广告进行拆除，整治非机动车停车秩序。</w:t>
      </w:r>
    </w:p>
    <w:p w14:paraId="3661398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（2）绩效目标总体情况：对中华大街有碍观瞻的牌匾广告进行拆除、非机动车停车秩序整齐有序，完成率90%。</w:t>
      </w:r>
    </w:p>
    <w:p w14:paraId="465475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3B6A6CB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B.石家庄市城市管理执法支队项目数3个。</w:t>
      </w:r>
    </w:p>
    <w:p w14:paraId="7C225166">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本年度专项项目预算安排资金580.0365万元，执行数580.0365万元，执行率100%。总体绩效目标实现情况优秀。</w:t>
      </w:r>
    </w:p>
    <w:p w14:paraId="7932FDC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1、协管员劳务费</w:t>
      </w:r>
    </w:p>
    <w:p w14:paraId="6F4EC6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（1）年度目标：加强执法队伍建设，解决执法力量不足。</w:t>
      </w:r>
    </w:p>
    <w:p w14:paraId="3FBDCD7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（2）绩效目标总体情况：我单位聘用协管人员124人，协管人员的辅助使工作更好完成，业务能力大大提升，协管人员满意度≥98%。</w:t>
      </w:r>
    </w:p>
    <w:p w14:paraId="7C3BB5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（3）自评得分：94分。</w:t>
      </w:r>
    </w:p>
    <w:p w14:paraId="20F4378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w:t>
      </w:r>
    </w:p>
    <w:p w14:paraId="197ED5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（1）年度目标：强化疫情防控，保障支队正常办公秩序。</w:t>
      </w:r>
    </w:p>
    <w:p w14:paraId="0B7FD7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（2）绩效目标总体情况：完成采购红外线测温仪3台，共计1.38万元，验收合格率≥98%，满足支队日常防疫需求，在职人员使用满意度≥98%。</w:t>
      </w:r>
    </w:p>
    <w:p w14:paraId="6FCFE60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5983C24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3、执法业务费</w:t>
      </w:r>
    </w:p>
    <w:p w14:paraId="636E1D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（1）年度目标：提升执法业务能力，保障支队日常执法。</w:t>
      </w:r>
    </w:p>
    <w:p w14:paraId="6E364E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（2）绩效目标总体情况：完成对讲机租赁110台，对讲机通话率≥98%，业务能力大大提升，在职人员使用满意度≥98%。</w:t>
      </w:r>
    </w:p>
    <w:p w14:paraId="06288C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3A49A3C7">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C.石家庄市市容管理考评中心项目数3个。</w:t>
      </w:r>
    </w:p>
    <w:p w14:paraId="5BC9E6B7">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本年度专项项目预算安排资金3298.09万元，执行数3238.32万元，执行率98.19%。总体绩效目标实现情况优秀。</w:t>
      </w:r>
    </w:p>
    <w:p w14:paraId="632DB84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1、数字化城市管理运行费项目</w:t>
      </w:r>
    </w:p>
    <w:p w14:paraId="3E673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（1）年度目标：保证数字化城管信息系统的正常运行；保证系统软硬件设备得到及时维护，避免出现责任安全事故；数字城管平台使用率达到90%以上；受理案件结案率达到90%以上，提高城市精细化管理水平。</w:t>
      </w:r>
    </w:p>
    <w:p w14:paraId="44FCBB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（2）绩效目标总体情况：2021年截至12月31日数字化城管信息系统运行正常；数字城管平台使用率达到91.6%；受理案件结案率达到96.1%；系统软硬件设备维护及时，未出现责任安全事故。总体完成率达到100%。</w:t>
      </w:r>
    </w:p>
    <w:p w14:paraId="4E73984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8278B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2、石家庄市城市综合管理服务平台项目</w:t>
      </w:r>
    </w:p>
    <w:p w14:paraId="6CD011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（1）年度目标：2021年12月底，平台完成建设。</w:t>
      </w:r>
    </w:p>
    <w:p w14:paraId="5C67E52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平台按合同完成建设，2021年12月9日通过专家验收，投入运行。完成了住建部规定的业务指导系统、指挥协调系统、行业应用系统、公众服务系统、数据汇聚系统、数据交换系统等六大系统。平台融合了数字城管、供热、环卫、排水四个信息系统，实现了精准量化考评，系统智慧化、精细化程度提升明显。平台于10月26日竣工。总体完成率达到100%。</w:t>
      </w:r>
    </w:p>
    <w:p w14:paraId="0972E3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C3C56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3、红外线测温仪项目</w:t>
      </w:r>
    </w:p>
    <w:p w14:paraId="574318D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（1）年度目标：达到防疫标准，精准防控，保障职工身体健康。</w:t>
      </w:r>
    </w:p>
    <w:p w14:paraId="71373B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（2）绩效目标总体情况：按计划及时安装，达到防疫标准，精准防控，保障职工身体健康。总体完成率达到100%。</w:t>
      </w:r>
    </w:p>
    <w:p w14:paraId="711779F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54B9EA4">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D.石家庄市卫生垃圾太行填埋场项目数2个。</w:t>
      </w:r>
    </w:p>
    <w:p w14:paraId="30B974CE">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本年度专项项目预算安排资金1121.49万元，执行数1121.49万元，执行率100%。总体绩效目标实现情况优秀。</w:t>
      </w:r>
    </w:p>
    <w:p w14:paraId="78CA5C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1.生活垃圾卫生填埋运行费</w:t>
      </w:r>
    </w:p>
    <w:p w14:paraId="66CDE68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绩效目标：保障2021年设施设备正常运转，垃圾处理工作顺利开展，垃圾处理率和渗滤液处理率达到100%，降低城市生活垃圾对环境的污染，保持城市环境卫生干净整洁，为市民提供舒适、干净的生活环境。</w:t>
      </w:r>
    </w:p>
    <w:p w14:paraId="346159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数量指标：垃圾填埋完成率达到100%，垃圾渗滤液处理完成率达到100%。</w:t>
      </w:r>
    </w:p>
    <w:p w14:paraId="696E067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质量指标：垃圾处理达标率达到100%，渗滤液处理达标率达到100%。</w:t>
      </w:r>
    </w:p>
    <w:p w14:paraId="7D9BDA3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时效指标：垃圾处理及时率，每日处理；渗滤液处理及时率，每日处理。</w:t>
      </w:r>
    </w:p>
    <w:p w14:paraId="70AC53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成本指标：成本不超预算1121.03万元</w:t>
      </w:r>
    </w:p>
    <w:p w14:paraId="4D059E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w:t>
      </w:r>
    </w:p>
    <w:p w14:paraId="23D2E3D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绩效目标：方便测量进出单位人员体温情况，及时发现问题，达到防控疫情目的，保障本单位人员身体健康，利于工作正常开展。</w:t>
      </w:r>
    </w:p>
    <w:p w14:paraId="324D8ED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数量指标：购买一台测温仪。</w:t>
      </w:r>
    </w:p>
    <w:p w14:paraId="0174D89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质量指标：设备合格安全可靠，体温监测准确。</w:t>
      </w:r>
    </w:p>
    <w:p w14:paraId="0EA1A64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时效指标：测温及时，方便快捷。</w:t>
      </w:r>
    </w:p>
    <w:p w14:paraId="0EBF2B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成本指标：资金成本不超预算0.46万元。</w:t>
      </w:r>
    </w:p>
    <w:p w14:paraId="30CC657E">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E.石家庄市危险废弃物处置场项目数2个。</w:t>
      </w:r>
    </w:p>
    <w:p w14:paraId="2B61CB21">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本年度专项项目预算安排资金66.46万元，执行数66.46万元，执行率100%。总体绩效目标实现情况优秀。</w:t>
      </w:r>
    </w:p>
    <w:p w14:paraId="691DBC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1.废旧电池处置运行费：巡视回收网点，回收废旧电池，减少有害物质污染，对场地进行维护，封存废旧电池，减少地下水及土壤污染，达到环保要求。</w:t>
      </w:r>
    </w:p>
    <w:p w14:paraId="4BE4CDC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数量指标：回收废旧电池7吨，更换贴膜20648张，更换回收桶（箱）802个。</w:t>
      </w:r>
    </w:p>
    <w:p w14:paraId="2D989B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质量指标：项目完成率高于90%。</w:t>
      </w:r>
    </w:p>
    <w:p w14:paraId="47D0D98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时效指标：在一个预算年度内，12月31日前完成。</w:t>
      </w:r>
    </w:p>
    <w:p w14:paraId="20773DD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成本指标：覆盖面积达到160平方千米。</w:t>
      </w:r>
    </w:p>
    <w:p w14:paraId="1E91C6F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2.红外线测温仪：对职工体温进行监测，进一步防控疫情。</w:t>
      </w:r>
    </w:p>
    <w:p w14:paraId="3CC294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数量指标：购买一台测温仪。</w:t>
      </w:r>
    </w:p>
    <w:p w14:paraId="353DE0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质量指标：体温监测准确度。</w:t>
      </w:r>
    </w:p>
    <w:p w14:paraId="381414C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时效指标：2021年完成。</w:t>
      </w:r>
    </w:p>
    <w:p w14:paraId="13D141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成本指标：购买成本一台0.46万元。</w:t>
      </w:r>
    </w:p>
    <w:p w14:paraId="2E79C506">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F.石家庄市市容环卫服务中心项目数2个。</w:t>
      </w:r>
    </w:p>
    <w:p w14:paraId="08F4D546">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本年度专项项目预算安排资金89.46万元，执行数89.45万元，执行率99.99%。总体绩效目标实现情况优秀。</w:t>
      </w:r>
    </w:p>
    <w:p w14:paraId="465FDB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 冬季融雪及移动公厕运行维护费安排预算财政资金88.99万元</w:t>
      </w:r>
    </w:p>
    <w:p w14:paraId="2EB0880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（1）年度目标：完成了融雪基础设施维修更换及日常保养工作，圆满完成车载公厕保障任务。</w:t>
      </w:r>
    </w:p>
    <w:p w14:paraId="7C9A53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（2）绩效目标均完成情况（%）：100%。</w:t>
      </w:r>
    </w:p>
    <w:p w14:paraId="2D1CB58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288B3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红外线测温仪购置红外线测温仪安排预算财政资金0.46万元</w:t>
      </w:r>
    </w:p>
    <w:p w14:paraId="11C9580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（1）年度目标：方便测量进出单位人员体温情况，及时发现问题，达到防控疫情目的，保障本单位人员身体健康，利于工作正常开展。</w:t>
      </w:r>
    </w:p>
    <w:p w14:paraId="00F930B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（2）绩效目标均完成情况（%）：100%。</w:t>
      </w:r>
    </w:p>
    <w:p w14:paraId="03943BA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01D1EE9">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G.石家庄市城市照明管护中心项目数3个</w:t>
      </w:r>
      <w:r>
        <w:rPr>
          <w:rFonts w:hint="eastAsia" w:ascii="仿宋_GB2312" w:hAnsi="华文仿宋" w:eastAsia="仿宋_GB2312" w:cs="仿宋_GB2312"/>
          <w:sz w:val="32"/>
          <w:szCs w:val="32"/>
        </w:rPr>
        <w:t>。</w:t>
      </w:r>
    </w:p>
    <w:p w14:paraId="15F6611E">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本年度专项项目预算安排资金8701.238万元，执行数8701.238万元，执行率100%。总体绩效目标实现情况优秀。</w:t>
      </w:r>
    </w:p>
    <w:p w14:paraId="0363671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1.2021年春节亮化项目</w:t>
      </w:r>
    </w:p>
    <w:p w14:paraId="23467E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（1）年度目标：美化春节期间夜间环境，促进我市夜经济发展；为市民营造欢乐、祥和的气氛。</w:t>
      </w:r>
    </w:p>
    <w:p w14:paraId="671137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（2）绩效目标总体情况：完成春节期间夜景照明和布置工作目标，预算执行率100%。</w:t>
      </w:r>
    </w:p>
    <w:p w14:paraId="46625A8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C3F4B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2.维护车辆购置项目</w:t>
      </w:r>
    </w:p>
    <w:p w14:paraId="07718C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（1）年度目标：通过购置照明维护车辆，保障城市照明工作正常进行，提高工作效率。</w:t>
      </w:r>
    </w:p>
    <w:p w14:paraId="5EEF29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（2）绩效目标总体情况：完成维护车辆购置工作目标，预算执行率100%。</w:t>
      </w:r>
    </w:p>
    <w:p w14:paraId="440826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5C76E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3.照明设施维护费项目</w:t>
      </w:r>
    </w:p>
    <w:p w14:paraId="60576D8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（1）年度目标：项目实施后，通过有效管理，使主要街道亮灯率达到98%以上，次干道亮灯率96%以上；项目实施后，使照明设施完好率达到95%以上，夜景景观完好率90%以上。</w:t>
      </w:r>
    </w:p>
    <w:p w14:paraId="6EFC25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（2）绩效目标总体情况：完成照明设施维护工作目标，预算执行率100%。</w:t>
      </w:r>
    </w:p>
    <w:p w14:paraId="2B8906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CC0D1D3">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H.石家庄市二环路管护中心项目数3个。</w:t>
      </w:r>
    </w:p>
    <w:p w14:paraId="40354F41">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本年度专项项目预算安排资金7378.96万元，执行数7378.96万元，执行率100%。总体绩效目标实现情况优秀。</w:t>
      </w:r>
    </w:p>
    <w:p w14:paraId="5BFB61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（1）、二环路设施维护费</w:t>
      </w:r>
    </w:p>
    <w:p w14:paraId="4CA2353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主要用于二环路道路、桥梁、排水设施的维修养护、绿化管护、清扫保洁，为市民提供“畅、洁、绿、美、新”的出行环境，为社会提供文明、优质、便捷、高效的服务。</w:t>
      </w:r>
    </w:p>
    <w:p w14:paraId="5794EBA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a、产出数量指标满分17.4分，评价得分17.31分，得分率99.48%，具体三级指标评分情况：</w:t>
      </w:r>
    </w:p>
    <w:p w14:paraId="304E434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（1）道路维修数量指标满分1.74分，预期指标值8万平方米/年，实际完成15.9万平方米/年，自评得分1.74分。</w:t>
      </w:r>
    </w:p>
    <w:p w14:paraId="644AC4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（2）便道维修数量指标满分1.74分，预期指标值1.2千平方米/年，实际完成8.7千平方米/年，自评得分1.74分。</w:t>
      </w:r>
    </w:p>
    <w:p w14:paraId="397FD5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（3）清掏收、水井数量指标满分1.74分，预期指标值6300座/年，实际完成13500座/年，自评得分1.74分。</w:t>
      </w:r>
    </w:p>
    <w:p w14:paraId="230A45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（4）泵站正常运行数量指标满分1.74分，预期指标值8座/年，实际完成8座/年，自评得分1.74分。</w:t>
      </w:r>
    </w:p>
    <w:p w14:paraId="43137C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（5）疏通雨、污水管道数量指标满分1.74分，预期指标值1.8万延米/年，实际完成18万延米/年，自评得分1.74分。</w:t>
      </w:r>
    </w:p>
    <w:p w14:paraId="1CD2AA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（6）清扫道路数量指标满分1.74分，预期指标值389.95万平方米/天，实际完成389.95万平方米/天，自评得分1.74分。</w:t>
      </w:r>
    </w:p>
    <w:p w14:paraId="2E1F7F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（7）洒水面积数量指标满分1.74分，预期指标值389.95万平方米/天，实际完成370.45万/天，自评得分1.65分。</w:t>
      </w:r>
    </w:p>
    <w:p w14:paraId="7193F5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（8）环卫工人休息用房维修数量指标满分1.74分，预期指标值8座/年，实际完成8座/年，自评得分1.74分。</w:t>
      </w:r>
    </w:p>
    <w:p w14:paraId="00ED91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（9）融雪池维修数量指标满分1.74分，预期指标值1座/年，实际完成1座/年，自评得分1.74分。</w:t>
      </w:r>
    </w:p>
    <w:p w14:paraId="747E8A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（10）绿化养护数量指标满分1.74分，预期指标值77.91万平方米/年，实际完成77.91万平方米/年，自评得分1.74分。</w:t>
      </w:r>
    </w:p>
    <w:p w14:paraId="7D67D7B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b、产出质量指标满分12.18分，评价得分10.93分，得分率100%，具体三级指标评分情况：</w:t>
      </w:r>
    </w:p>
    <w:p w14:paraId="44375EA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（1）路面清洁程度满分1.74分，根据现场勘察，每发现1处不干净整洁的扣0.25分，扣完为止。经评价，路面比较干净，清洁程度完成较好，现场查看发现2处路面有烟头，扣0.5分，评价得分1.24分。</w:t>
      </w:r>
    </w:p>
    <w:p w14:paraId="442FA46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道路、桥梁维护情况满分1.74分，根据现场勘察，发现1处管护不善问题扣0.25分，扣完为止。经现场踏勘，现场发现东二环1处有坑洼，道路不平，北二环2处有便道砖破裂及塌方的现象，扣0.75分，评价得分0.99分。</w:t>
      </w:r>
    </w:p>
    <w:p w14:paraId="0CEF13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（3）泵站、融雪池运行情况满分3.48分，根据现场踏勘，每发现1处未正常运行扣0.25分，扣完为止。经评价，泵站、融雪池正常运行，评价得分3.48分。</w:t>
      </w:r>
    </w:p>
    <w:p w14:paraId="0BD5E6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（4）洒水覆盖情况满分1.74分，根据现场勘查，每发现洒水覆盖率少一个百分点扣减0.25分，扣完为止。经评价，洒水覆盖率能够达到95%,评价得分1.74分。</w:t>
      </w:r>
    </w:p>
    <w:p w14:paraId="32B9C12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（5）环卫工人休息用房正常使用情况满分1.74分，根据现场勘察，每发现1处未正常使用扣0.25分，扣完为止。经评价，环卫工人休息用房正常使用，评价得分1.74分。</w:t>
      </w:r>
    </w:p>
    <w:p w14:paraId="6D0B374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（6）绿植成活情况满分1.74分，根据现场勘察，每发现1处明显植被光秃或不规整的扣0.25分，扣完为止。经评价，未发现明显植被光秃或不规整的情况，评价得分1.74分。</w:t>
      </w:r>
    </w:p>
    <w:p w14:paraId="0B20B6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c、产出时效指标满分8.69分，评价得分8.69分，得分率100%。考察维修及时率，在本年度内完成维修任务&gt;=90%；洒水作业频次3次以上得满分，每发现少1次扣1分，扣完为止。经评价，维修任务完成及时。</w:t>
      </w:r>
    </w:p>
    <w:p w14:paraId="0F0E75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d、成本控制指标满分1.73分，评价得分1.73分，得分率100%。2021年二环路设施维护资金与实际成本匹配度100%。</w:t>
      </w:r>
    </w:p>
    <w:p w14:paraId="6B4A3C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e、生态效益指标满分5.71分，评价得分4.96分，得分率86.87%。具体三级指标评分情况：</w:t>
      </w:r>
    </w:p>
    <w:p w14:paraId="406BCE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（1）环境保洁效果满分1.9分，保洁效果显著，通过每天定时清扫保洁，确保路面干净整洁、路见底色。个别施工路段因污染影响未达到路见底色标准，评价得分1.65分。</w:t>
      </w:r>
    </w:p>
    <w:p w14:paraId="328E20D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（2）设施维护效果满分1.9分，设施完好、平整、通畅。道路完好，排水通畅，8座泵站运行正常。雨水天气时存在道路、地道桥积水现象，个别路面有轻微病害现象，评价得分1.65分。</w:t>
      </w:r>
    </w:p>
    <w:p w14:paraId="263FD5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（3）环境绿化效果满分1.91分，全年完成绿化林带管护面积77.91万</w:t>
      </w:r>
      <w:r>
        <w:rPr>
          <w:rFonts w:hint="eastAsia" w:ascii="宋体" w:hAnsi="宋体" w:cs="宋体"/>
          <w:sz w:val="32"/>
          <w:szCs w:val="32"/>
        </w:rPr>
        <w:t>㎡</w:t>
      </w:r>
      <w:r>
        <w:rPr>
          <w:rFonts w:hint="eastAsia" w:ascii="仿宋_GB2312" w:hAnsi="仿宋_GB2312" w:eastAsia="仿宋_GB2312" w:cs="仿宋_GB2312"/>
          <w:sz w:val="32"/>
          <w:szCs w:val="32"/>
        </w:rPr>
        <w:t>，绿化美观完好。该项目的实施起到了净化空气、防风固沙、衰减噪音、改善城市生态环境的作用。花卉种类有待丰富，评价得分</w:t>
      </w:r>
      <w:r>
        <w:rPr>
          <w:rFonts w:hint="eastAsia" w:ascii="仿宋_GB2312" w:hAnsi="华文仿宋" w:eastAsia="仿宋_GB2312" w:cs="仿宋_GB2312"/>
          <w:sz w:val="32"/>
          <w:szCs w:val="32"/>
        </w:rPr>
        <w:t>1.66分。</w:t>
      </w:r>
    </w:p>
    <w:p w14:paraId="59DCC0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f、社会效益指标满分17.16分，评价得分16.91分，得分率98.54%。具体三级指标评分情况：</w:t>
      </w:r>
    </w:p>
    <w:p w14:paraId="623179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（1）居民生活环境改善满分5.72分，二环路管护情况整体良好，道路畅通，方便群众出行，改善通勤条件作用比较明显。但恶劣天气时存在道路拥堵，造成群众出行不便，评价得分5.47分。</w:t>
      </w:r>
    </w:p>
    <w:p w14:paraId="0326EAA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（2）作业设备完好率满分5.72分，1座融雪池设备完好，为冬季融雪提供保障，洒水设备完好，有效减少过车扬尘。评价得分5.72分。</w:t>
      </w:r>
    </w:p>
    <w:p w14:paraId="6701C65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（3）配套设施完好率满分5.72分，29座环卫工人休息用房维修完好，为环卫工人提供工间休息场所。评价得分5.72分。</w:t>
      </w:r>
    </w:p>
    <w:p w14:paraId="40433E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g、可持续影响指标满分17.13分，评价得分17.13分，得分率100%。通过每天定时保洁、洒水作业，保证二环路干净整洁、空气净化、通行顺畅；通过对二环路沿线道路、桥梁全方位巡查，保证了设施完好、排水畅通、泵站运行正常的设施维护效果。为居民提供了便利和整洁的出行环境，提高了居民的生活质量，也为城市经济的可持续性发展提供了良好的基础。</w:t>
      </w:r>
    </w:p>
    <w:p w14:paraId="307E0CA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h、发放问卷进行社会调查，评价受益群体及相关群体对该项工作活动的认可程度。通过问卷调查群众满意度占全部调查对象的比率为92.5%。按照比例计算得分9.25分。</w:t>
      </w:r>
    </w:p>
    <w:p w14:paraId="7C4EFAB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i、管护中心专项经费预算7368万元，实际支付7368万元，实际拨付资金占预算安排资金的比例为100%。按照比例计算得分10分。</w:t>
      </w:r>
    </w:p>
    <w:p w14:paraId="2FAC8C0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（2）、省级大气污染防治资金（柴油货车尾气整治）</w:t>
      </w:r>
    </w:p>
    <w:p w14:paraId="48DCBE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主要用于购买尾气净化设备-氢能减排机。</w:t>
      </w:r>
    </w:p>
    <w:p w14:paraId="32A07D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1、产出指标完成情况分析。2021年购买氢能减排机14台。经验收，质量达到合同要求。得分60分。</w:t>
      </w:r>
    </w:p>
    <w:p w14:paraId="5D38D7A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2、效果指标完成情况分析。通过安装氢能减排机，降低了污染物的排放，改善空气质量；降低能耗，节约开支。自评得分30分。</w:t>
      </w:r>
    </w:p>
    <w:p w14:paraId="4F08E9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3满意度指标完成情况分析。</w:t>
      </w:r>
    </w:p>
    <w:p w14:paraId="761551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节能减排，净化空气，为市民创造一个干净的出行环境，提升市民的幸福指数。自评得分10分。</w:t>
      </w:r>
    </w:p>
    <w:p w14:paraId="7764EF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（3）、专用材料购置（测温仪）</w:t>
      </w:r>
    </w:p>
    <w:p w14:paraId="77650B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主要用于购置红外线测温仪。</w:t>
      </w:r>
    </w:p>
    <w:p w14:paraId="77330B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1、产出指标完成情况分析。2021年购买测温仪1台，购置成本0.46万元。经验收，质量达到合同要求。自评得分80分。</w:t>
      </w:r>
    </w:p>
    <w:p w14:paraId="39EB1DE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2、效果指标完成情况分析。做好日常疫情防控工作，保障单位职工及来访人员的身体健康。自评得分10分。</w:t>
      </w:r>
    </w:p>
    <w:p w14:paraId="775856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3、满意度指标完成情况分析。测温仪使用方便，测量结果准确，得到了单位领导及同事的好评。自评得分10分。</w:t>
      </w:r>
    </w:p>
    <w:p w14:paraId="73CDE708">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I.石家庄市环境卫生事务中心项目数14个。</w:t>
      </w:r>
    </w:p>
    <w:p w14:paraId="6E532AFA">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本年度专项项目预算安排资金16164.205万元，执行数12037.885311万元，执行率74.47%。总体绩效目标实现情况优秀。</w:t>
      </w:r>
    </w:p>
    <w:p w14:paraId="2EDACC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 公务用车购置项目</w:t>
      </w:r>
    </w:p>
    <w:p w14:paraId="35CFAAF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（1）年度目标：保障单位执法执勤业务工作用车顺畅。</w:t>
      </w:r>
    </w:p>
    <w:p w14:paraId="31F8379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（2）绩效目标总体情况：完成购置2辆公务用车，保障了单位执法执勤业务工作用车顺畅，提高了工作效率，完成率100%。</w:t>
      </w:r>
    </w:p>
    <w:p w14:paraId="529603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9D331A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红外线测温仪专项购置项目</w:t>
      </w:r>
    </w:p>
    <w:p w14:paraId="1119783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（1）年度目标：购置一台测温仪，加强冠状病毒疫情防控。</w:t>
      </w:r>
    </w:p>
    <w:p w14:paraId="4C4BC7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（2）绩效目标总体情况：完成购置一台测温仪，加强了冠状病毒疫情防控，实现了单位人员出入红外线测温常态化，完成率100%。</w:t>
      </w:r>
    </w:p>
    <w:p w14:paraId="5B8393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E6E094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 华电灰场建筑垃圾倾倒点项目</w:t>
      </w:r>
    </w:p>
    <w:p w14:paraId="2C37780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（1）年度目标：对华电灰场建筑垃圾倾倒点日常维护管理，保障建筑垃圾倾倒规范有序。</w:t>
      </w:r>
    </w:p>
    <w:p w14:paraId="192D21F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建筑垃圾山堆砌山体裸露黄土，进行遮土网覆盖及撒播草籽进行固坡抑尘降尘；保持场内装载机常态化作业摊铺推平、洒水车常态化洒水降尘、建筑垃圾消纳作业雾化降尘，完成建筑垃圾消纳任务，消纳场管理符合有关规定。总体完成率100%。</w:t>
      </w:r>
    </w:p>
    <w:p w14:paraId="4767C6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4D678C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 华电建筑垃圾消纳场借用土地项目</w:t>
      </w:r>
    </w:p>
    <w:p w14:paraId="16A473C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（1）年度目标：租用华电145亩土地，用于倾倒消纳主城区建筑垃圾。</w:t>
      </w:r>
    </w:p>
    <w:p w14:paraId="08A05C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（2）绩效目标总体情况：解决主城区建筑垃圾无处安放和建筑垃圾围城的难题，实现合法有序的倾倒；改善市区环境,为市民提供干净整洁的城区环境，完成率100%。</w:t>
      </w:r>
    </w:p>
    <w:p w14:paraId="222561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248B1C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 环卫设施维护费项目</w:t>
      </w:r>
    </w:p>
    <w:p w14:paraId="71D1EB2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（1）年度目标：保障公厕正常运行，为冬季市区融雪工作做好准备。</w:t>
      </w:r>
    </w:p>
    <w:p w14:paraId="54980DA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（2）绩效目标总体情况：购置融雪剂2000吨，5个市级融雪池的维修维护工作于10月底前完成，1座生态公厕的日常维护管理运行正常；完成率99.2%。</w:t>
      </w:r>
    </w:p>
    <w:p w14:paraId="5F97FA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（3）自评得分：99.2分。</w:t>
      </w:r>
    </w:p>
    <w:p w14:paraId="1D0C6B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 建筑垃圾及环境卫生考核项目</w:t>
      </w:r>
    </w:p>
    <w:p w14:paraId="7BCA0B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（1）年度目标：对建筑垃圾运输及环境卫生质量进行检查考核，实现主城区建筑垃圾乱倾乱倒现象减少，环境卫生质量提升。</w:t>
      </w:r>
    </w:p>
    <w:p w14:paraId="5F9D2E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（2）绩效目标总体情况：对建筑垃圾运输企业及车辆的督导考核检查，每月进行检查通报；办理渣土车辆核准文件，规范建筑垃圾运输秩序；环境卫生质量检查督导及“以克论净”专项检查考核。完成率100%。</w:t>
      </w:r>
    </w:p>
    <w:p w14:paraId="04D921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A7B07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 建筑垃圾倾倒消纳项目</w:t>
      </w:r>
    </w:p>
    <w:p w14:paraId="52418EB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（1）年度目标：采购两处位于市区周边区域的建筑垃圾倾倒点,用于缓解我市主城区建筑垃圾消纳压力。</w:t>
      </w:r>
    </w:p>
    <w:p w14:paraId="4B2A28F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在城区东、北部和西、南部各采购1处建筑垃圾消纳，总体容量在200万立方米。实行建筑垃圾消纳实名制，规范建筑垃圾消纳秩序，极大缓解我市建筑垃圾消纳处置压力，受疫情影响，建筑垃圾处理量减少，建筑垃圾消纳量减少，总体完成率99%。</w:t>
      </w:r>
    </w:p>
    <w:p w14:paraId="095CBE2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02E629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 井陉东水填埋场渗滤液处理设备租赁项目</w:t>
      </w:r>
    </w:p>
    <w:p w14:paraId="1F03F1C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（1）年度目标：租赁渗滤液处理设备，保障太行生活垃圾填埋场渗滤液日常处理。</w:t>
      </w:r>
    </w:p>
    <w:p w14:paraId="294EF8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（2）绩效目标总体情况：通过招标采购完成渗滤液设备租赁，太行生活垃圾填埋场渗滤液日常处理及时，保障了填埋场正常运转。已完成完成率100%。</w:t>
      </w:r>
    </w:p>
    <w:p w14:paraId="0A4E61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4DC8BC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 生活垃圾处理补贴项目</w:t>
      </w:r>
    </w:p>
    <w:p w14:paraId="5BA921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（1）年度目标：生活垃圾处理及时，防止堆积造成二次污染，全部实现无害化处理。</w:t>
      </w:r>
    </w:p>
    <w:p w14:paraId="57555B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生活垃圾全部实现无害化处理，消灭垃圾围城现象，改善城区周边生态环境；有效的遏制餐厨垃圾行业乱象，规范餐厨垃圾处置行业从业行为，为推动餐厨垃圾处置规范化、减量化、规模化、无害化起基础示范性作用，受疫情影响，餐厨垃圾减量。总体完成率99%。</w:t>
      </w:r>
    </w:p>
    <w:p w14:paraId="67E1B08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20119A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 生活垃圾代征手续费项目</w:t>
      </w:r>
    </w:p>
    <w:p w14:paraId="0EAAB1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（1）年度目标：通过委托新奥燃气公司代收燃气居民用户的生活垃圾处理费，增加财政非税收入；有利于提高城镇垃圾处理费收费水平。</w:t>
      </w:r>
    </w:p>
    <w:p w14:paraId="0745745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（2）绩效目标总体情况：通过委托新奥燃气公司代收燃气居民用户的生活垃圾处理费，提高城镇垃圾处理费收费水平，新奥燃气抄表用户收费率达70%以上，实现增加财政非税收入2521.61万元；完成率100%。</w:t>
      </w:r>
    </w:p>
    <w:p w14:paraId="7A55AA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7A46CA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11. 生活垃圾分类专项项目</w:t>
      </w:r>
    </w:p>
    <w:p w14:paraId="1F60EA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（1）年度目标：制作我市垃圾分类宣传资料，以群众喜闻乐见的形式，组织策划宣传生活垃圾分类活动,提高居民垃圾分类意识。</w:t>
      </w:r>
    </w:p>
    <w:p w14:paraId="39CC32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（2）绩效目标总体情况：通过多种形式对我市垃圾分类宣传，组织策划宣传生活垃圾分类活动,提高了居民垃圾分类意识及参与度，实现试点小区生活垃圾减量10%以上，完成率100%。</w:t>
      </w:r>
    </w:p>
    <w:p w14:paraId="40311E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7DDCC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 生活垃圾收费管理项目</w:t>
      </w:r>
    </w:p>
    <w:p w14:paraId="47F327A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（1）年度目标：派人员驻新奥燃气业务大厅，现场宣传解答群众缴纳生活垃圾处理费时产生的问题。</w:t>
      </w:r>
    </w:p>
    <w:p w14:paraId="3B18F7A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（2）绩效目标总体情况：通过现场咨询、宣传督查等方式，让群众了解缴纳生活垃圾处理费是应该缴纳的费用，增强群众缴费意识；提高城镇生活垃圾处理费收费水平，增加财政收入2521.61万元。完成率100%。</w:t>
      </w:r>
    </w:p>
    <w:p w14:paraId="4A1280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03BAD9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13. 以克论净绩效奖励项目</w:t>
      </w:r>
    </w:p>
    <w:p w14:paraId="3047CE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（1）年度目标：通过每月“以克论净”绩效考核，激发环卫工人工作积极性，全面提升主城区环境卫生质量。 </w:t>
      </w:r>
    </w:p>
    <w:p w14:paraId="30EED4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每月打破区域界线，按类别进行全市大排名，奖励“以克论净”优秀网格的环卫工人500元/人/月，激发环卫工人工作积极性，主城区环境卫生质量全面提升；实行“一个标准、两级考核、三方监督”的考核机制，依据统一的考核工具、统一考核标准、统一的操作流程，每天对500个网格进行的称量检测，每月每个网格采取打破区域界线，按类别统一排名，并及时上网公示检查结果，实施公平、公正、公开的考核。完成率100%。</w:t>
      </w:r>
    </w:p>
    <w:p w14:paraId="2F2F23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B47B5D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14. 2019年主城区公厕完善项目</w:t>
      </w:r>
    </w:p>
    <w:p w14:paraId="1F0C19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（1）年度目标：按照政府批准方案对在建86座公厕进行完善。</w:t>
      </w:r>
    </w:p>
    <w:p w14:paraId="5A11CCC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（2）绩效目标总体情况：按照政府批准方案对主城区在建86座公厕进行完善了施工招标采购，招投标手续已完成，项目已完工，因财政资金未到位，资金还未支付。总体完成率90%。</w:t>
      </w:r>
    </w:p>
    <w:p w14:paraId="218D9DB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（3）自评得分：90分。</w:t>
      </w:r>
    </w:p>
    <w:p w14:paraId="3FC8A976">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J.石家庄市道桥设施管护中心项目数5个。</w:t>
      </w:r>
    </w:p>
    <w:p w14:paraId="34677DC0">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本年度专项项目预算安排资金8921.9280万元，执行数8921.9280万元，执行率100%。总体绩效目标实现情况优秀。</w:t>
      </w:r>
    </w:p>
    <w:p w14:paraId="5298F1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1.城市道路桥梁设施维护费</w:t>
      </w:r>
    </w:p>
    <w:p w14:paraId="3103E4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（1）绩效目标：计划维修道路230000平方米，便道80000平方米，桥面15000米，伸缩缝10000米，收水井2000座。</w:t>
      </w:r>
    </w:p>
    <w:p w14:paraId="0FD6CB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44C65F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数量指标：实际完成道路283138平方米，便道140330平方米，桥面17222平方米，伸缩缝21293米，收水井5180座。</w:t>
      </w:r>
    </w:p>
    <w:p w14:paraId="0DD737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质量指标：验收合格率=100%</w:t>
      </w:r>
    </w:p>
    <w:p w14:paraId="22795BA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时效指标：完成及时率=100%</w:t>
      </w:r>
    </w:p>
    <w:p w14:paraId="676AC3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成本指标：完成资金额=8559万元</w:t>
      </w:r>
    </w:p>
    <w:p w14:paraId="4F060F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2.道路桥梁信息管理系统运行维护费</w:t>
      </w:r>
    </w:p>
    <w:p w14:paraId="406390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（1）绩效目标：完成年度信息采集任务。</w:t>
      </w:r>
    </w:p>
    <w:p w14:paraId="06A658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55F250C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数量指标：保障一个平台正常运行</w:t>
      </w:r>
    </w:p>
    <w:p w14:paraId="408FD9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质量指标：系统正常运转比率≥90%</w:t>
      </w:r>
    </w:p>
    <w:p w14:paraId="4EAC913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时效指标：工作任务完成及时率≥95%</w:t>
      </w:r>
    </w:p>
    <w:p w14:paraId="76EFC9E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成本指标：严格按照预算金额执行</w:t>
      </w:r>
    </w:p>
    <w:p w14:paraId="4D2B0A2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3.道桥处下属单位房租及社保欠费</w:t>
      </w:r>
    </w:p>
    <w:p w14:paraId="78459C5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（1）绩效目标：解决道桥处下属单位工程公司职工工资及社保等，维持单位正常运转。</w:t>
      </w:r>
    </w:p>
    <w:p w14:paraId="57406EF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7B36423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数量指标：单位内部人员工资及社保缴费受益人数=36人</w:t>
      </w:r>
    </w:p>
    <w:p w14:paraId="4D372D1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质量指标：发放工资及缴纳社保精准度=100%</w:t>
      </w:r>
    </w:p>
    <w:p w14:paraId="0CBB53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时效指标：发放及时率=100%</w:t>
      </w:r>
    </w:p>
    <w:p w14:paraId="558126F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成本指标：按照年度工作计划完成支出=100%</w:t>
      </w:r>
    </w:p>
    <w:p w14:paraId="688D22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4.专用材料购置（测温仪）</w:t>
      </w:r>
    </w:p>
    <w:p w14:paraId="2CE790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（1）绩效目标：为满足疫情防控需要，购置测温仪，对职工体温进行监测。</w:t>
      </w:r>
    </w:p>
    <w:p w14:paraId="25EFB93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0BE5C7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数量指标：购买数量为5台</w:t>
      </w:r>
    </w:p>
    <w:p w14:paraId="4242DB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质量指标：满足国家对测温仪的相关质量要求</w:t>
      </w:r>
    </w:p>
    <w:p w14:paraId="3E74F6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时效指标：本年度完成</w:t>
      </w:r>
    </w:p>
    <w:p w14:paraId="22C6A1A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成本指标：5台测温仪购置成本=2.3万元</w:t>
      </w:r>
    </w:p>
    <w:p w14:paraId="29EF63B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5.槐安路大桥结构监测系统（2019年追加项目）</w:t>
      </w:r>
    </w:p>
    <w:p w14:paraId="327B12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（1）绩效目标：完成质量保证金的支付，完成项目的总支出。</w:t>
      </w:r>
    </w:p>
    <w:p w14:paraId="4AA001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2FF803B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数量指标：项目完成数量=1个</w:t>
      </w:r>
    </w:p>
    <w:p w14:paraId="5AE63A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质量指标：项目完成率=100%</w:t>
      </w:r>
    </w:p>
    <w:p w14:paraId="2F7FC73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时效指标：支付质保金时间于2021年6月之前支付</w:t>
      </w:r>
    </w:p>
    <w:p w14:paraId="7795D5A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成本指标：完成工作需要的资金=13.36万元</w:t>
      </w:r>
    </w:p>
    <w:p w14:paraId="4658017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K.石家庄市市政建设服务中心项目数6个。</w:t>
      </w:r>
    </w:p>
    <w:p w14:paraId="3A5D9BED">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本年度专项项目预算安排资金7200.46万元，执行数4340.76万元，执行率60.28%。总体绩效目标实现情况较好。</w:t>
      </w:r>
    </w:p>
    <w:p w14:paraId="0AAE5EF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仓盛路排水改造预算资金：300万元。</w:t>
      </w:r>
    </w:p>
    <w:p w14:paraId="6B4AB2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（1）年度目标：道路南半幅全部完工。</w:t>
      </w:r>
    </w:p>
    <w:p w14:paraId="223993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（2）绩效目标总体情况：完成道路南半幅工程建设，总体完成率100%。</w:t>
      </w:r>
    </w:p>
    <w:p w14:paraId="351CA4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3464CA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和平东路提升改造预算资金：2000万元。</w:t>
      </w:r>
    </w:p>
    <w:p w14:paraId="6FAA03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（1）年度目标：完成排水管道和道路主体全部工程。</w:t>
      </w:r>
    </w:p>
    <w:p w14:paraId="456FF6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（2）绩效目标总体情况：排水、道路快慢车道、照明全部完工，总体完成率100%。</w:t>
      </w:r>
    </w:p>
    <w:p w14:paraId="07B96F6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2187B8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3.红外线测温仪预算资金：0.46万元。</w:t>
      </w:r>
    </w:p>
    <w:p w14:paraId="7F0A42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（1）年度目标：按期完成采购、安装，投入使用。</w:t>
      </w:r>
    </w:p>
    <w:p w14:paraId="4AED472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（2）绩效目标总体情况：已完成并投入使用，总体完成率100%。</w:t>
      </w:r>
    </w:p>
    <w:p w14:paraId="636D3C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09199F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4.红星小区西侧规划路提升改造预算资金：1300万元。</w:t>
      </w:r>
    </w:p>
    <w:p w14:paraId="308463A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（1）年度目标：完成道路主体及附属工程。</w:t>
      </w:r>
    </w:p>
    <w:p w14:paraId="04D39E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（2）绩效目标总体情况：全部完工，已通车，总体完成率100%。</w:t>
      </w:r>
    </w:p>
    <w:p w14:paraId="6BF4B5F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23E47D4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5.红星小区周边路提升改造预算资金：1700万元。</w:t>
      </w:r>
    </w:p>
    <w:p w14:paraId="74F2E4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（1）年度目标：完成道路全部工程（不含电力迁改段）。</w:t>
      </w:r>
    </w:p>
    <w:p w14:paraId="599468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（2）绩效目标总体情况：全部完工，已通车，总体完成率100%。</w:t>
      </w:r>
    </w:p>
    <w:p w14:paraId="0783671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15E8F62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6.泰华街穿石太铁路雨水管道改造预算资金：1900万元。</w:t>
      </w:r>
    </w:p>
    <w:p w14:paraId="5370C0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（1）年度目标：项目前期手续、招投标手续、铁路顶管施工。</w:t>
      </w:r>
    </w:p>
    <w:p w14:paraId="6F5AEF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（2）绩效目标总体情况：项目前期手续及招投标手续已完成，总体完成率70%。</w:t>
      </w:r>
    </w:p>
    <w:p w14:paraId="57B0EF4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3）预算执行率76%，自评得分76分。执行率低主要原因：由于铁路部门机构改革、技术规范调整以及疫情防控的影响，该工程设计方案审查及施工图审查、施工组织设计审查未能按时召开，致使工程未能开工。下一步我中心将加强与铁路部门的沟通协调，争取尽快完成开工前各项准备工作；工程开工后精心组织实施，尽早完工。             </w:t>
      </w:r>
    </w:p>
    <w:p w14:paraId="25737AA8">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L.石家庄市总退水渠管理所项目数1个。</w:t>
      </w:r>
    </w:p>
    <w:p w14:paraId="6776087F">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本年度专项项目预算安排资金162万元，执行数162万元，执行率100%。总体绩效目标实现情况优秀。</w:t>
      </w:r>
    </w:p>
    <w:p w14:paraId="4A51C5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1．总退水渠维护费</w:t>
      </w:r>
    </w:p>
    <w:p w14:paraId="22AE34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（1）年度目标：市容环境整洁，为市民提供一个良好的出行环境，按时完成维修养护计划任务。</w:t>
      </w:r>
    </w:p>
    <w:p w14:paraId="701302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（2）绩效目标总体情况：石家庄市主要的排水出路，担负着上游民心河雨水排放和汛期的排洪防涝，通过对总退水渠的及时维修养护，有效提升市民出行的舒适度、满意度。</w:t>
      </w:r>
    </w:p>
    <w:p w14:paraId="4FA0B83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58A0FCAF">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M.石家庄市排水管护中心项目数9个。</w:t>
      </w:r>
    </w:p>
    <w:p w14:paraId="7E6B7AC2">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本年度专项项目预算安排资金7572.129015万元，执行数7525.179015万元，执行率99.38%。总体绩效目标实现情况优秀。</w:t>
      </w:r>
    </w:p>
    <w:p w14:paraId="6CC11C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1．排水设施维护费</w:t>
      </w:r>
    </w:p>
    <w:p w14:paraId="2D18569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计划对市区所辖排水设施进行养护,减少污水溢冒,保持排水设施完好,发挥排水功能。通过对排水设施维修及预防性养护,增强设施功能,减少大修周期,节约财政资金投入。按计划对地下排水管道进行功能性检测，减少塌方事故，保障人民生命财产安全。</w:t>
      </w:r>
    </w:p>
    <w:p w14:paraId="2BD326A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（2）绩效目标完成情况：疏通管道、掏挖、整修收检井、维护雨水泵站水文站完成度大于预期指标。井盖损坏修补率100%，排水设施完好率95%。项目总体完成率100%</w:t>
      </w:r>
    </w:p>
    <w:p w14:paraId="66B2C11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8235D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2.民心河维护费</w:t>
      </w:r>
    </w:p>
    <w:p w14:paraId="272B60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（1）年度目标：做好2021年民心河水面打捞工作，保持河道及附属设施设备正常运行，确保汛期及时泄洪排涝。</w:t>
      </w:r>
    </w:p>
    <w:p w14:paraId="175EBFA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通过水体加氯项目，提高河道景观效果，大大减少绿藻爆发程度，净化水质。社会化管护水面打捞、清洁、保证了河体完整性，改善居民的生活环境，做到了“水清、河畅、景美”。通过维护橡胶坝与闸门和增加民心河防汛人员，保证了城区安全度汛。</w:t>
      </w:r>
    </w:p>
    <w:p w14:paraId="7DBE06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A13508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3.执法业务费</w:t>
      </w:r>
    </w:p>
    <w:p w14:paraId="728283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（1）年度目标：通过执法培训和军训，提升执法队伍形象和凝聚力；通过开展宣传活动和巡视业务，让市民了解排水政策，减少违法行为，自觉维护我市排水设施。</w:t>
      </w:r>
    </w:p>
    <w:p w14:paraId="7644FEA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组织宣传活动次数，培训、军训次数均已达标；5天管辖区域内市政排水设施巡查全覆盖；执法业务水平显著提高，执法队伍形象和凝聚力提升；排水执法、巡视业务平稳、有序开展；及时发现损坏设施，有效减少了违法行为。因疫情原因军训和执法培训天数未能按照计划开展。</w:t>
      </w:r>
    </w:p>
    <w:p w14:paraId="0F193D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4F9A65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4.摔伤人员及损坏车辆赔偿费</w:t>
      </w:r>
    </w:p>
    <w:p w14:paraId="170DDC2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（1）年度目标：通过对因市政设施损坏，导致伤人、伤车等事故的调查、研判，及时赔偿当事人，减少当事人的损失，提升市民幸福感。</w:t>
      </w:r>
    </w:p>
    <w:p w14:paraId="0D928D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（2）绩效目标完成情况：严格按照法院判决和各项票据据实赔付，办结各项伤人、伤车案件，有效维护市民正当权益。</w:t>
      </w:r>
    </w:p>
    <w:p w14:paraId="1FC36D0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336639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5.执法专用设备购置</w:t>
      </w:r>
    </w:p>
    <w:p w14:paraId="3D59BE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（1）年度目标：通过购置执法专用设备，辅助执法人员对排水违法行为的查处，提高执法人员工作效率及执法工作专业水平。</w:t>
      </w:r>
    </w:p>
    <w:p w14:paraId="4DC899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（2）绩效目标完成情况：查处排水违法行为时取证更加便捷，执法人员工作效率及执法工作专业水平得到有效提高。</w:t>
      </w:r>
    </w:p>
    <w:p w14:paraId="798E0D9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3212B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6.红外线测温仪</w:t>
      </w:r>
    </w:p>
    <w:p w14:paraId="5830054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（1）年度目标：通过购置红外线测温仪，能够更加安全、准确地进行体温检测，为疫情防控提供技术支持。</w:t>
      </w:r>
    </w:p>
    <w:p w14:paraId="1F31EB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绩效目标完成情况：使日常体温检测任务能够更加高效、安全和准确地开展，为常态化疫情防控</w:t>
      </w:r>
      <w:r>
        <w:rPr>
          <w:rFonts w:hint="eastAsia" w:ascii="仿宋_GB2312" w:hAnsi="华文仿宋" w:eastAsia="仿宋_GB2312" w:cs="仿宋_GB2312"/>
          <w:sz w:val="32"/>
          <w:szCs w:val="32"/>
          <w:lang w:eastAsia="zh-CN"/>
        </w:rPr>
        <w:t>作出</w:t>
      </w:r>
      <w:bookmarkStart w:id="3" w:name="_GoBack"/>
      <w:bookmarkEnd w:id="3"/>
      <w:r>
        <w:rPr>
          <w:rFonts w:hint="eastAsia" w:ascii="仿宋_GB2312" w:hAnsi="华文仿宋" w:eastAsia="仿宋_GB2312" w:cs="仿宋_GB2312"/>
          <w:sz w:val="32"/>
          <w:szCs w:val="32"/>
        </w:rPr>
        <w:t>贡献。</w:t>
      </w:r>
    </w:p>
    <w:p w14:paraId="23D41BF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EC118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7.排水执法、监测劳动聘用人员费用</w:t>
      </w:r>
    </w:p>
    <w:p w14:paraId="5FA0C56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（1）年度目标：通过聘用劳务派遣人员，提升化验工作、排水执法业务的效率和水平，保障各项业务的有序高效运转。</w:t>
      </w:r>
    </w:p>
    <w:p w14:paraId="23CB0F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绩效目标完成情况：排水执法业务人员、监测人员得到有效补充，保障了各项业务的有序高效运转。</w:t>
      </w:r>
    </w:p>
    <w:p w14:paraId="2A77647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0456F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8.排水监测站监测运行经费</w:t>
      </w:r>
    </w:p>
    <w:p w14:paraId="4C122D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接受排水管护中心委托，对向城市管网排放污水的排水户进行水质监督监测。重点排水户每季度监测一次，非重点排水户每年监测一次。提供检测报告，对达标排放污水的排水户提供排水许可证年检依据；对超标排放污水的排水户进行复测。</w:t>
      </w:r>
    </w:p>
    <w:p w14:paraId="093A5C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绩效目标完成情况：排水户监测覆盖率100%</w:t>
      </w:r>
    </w:p>
    <w:p w14:paraId="78A54E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0D404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9.污水处理费征收经费</w:t>
      </w:r>
    </w:p>
    <w:p w14:paraId="176F7E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（1）年度目标：完成办公家具及设备的购置，提高工作人员办事效率，保证收费工作顺利进行。</w:t>
      </w:r>
    </w:p>
    <w:p w14:paraId="1FFF18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绩效目标完成情况：按计划更新了办公家具及设备，工作人员办事效率得到提高，圆满完成收费任务。</w:t>
      </w:r>
    </w:p>
    <w:p w14:paraId="780F92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4DA9820">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N.石家庄市城管便民服务中心项目数1个。</w:t>
      </w:r>
    </w:p>
    <w:p w14:paraId="24F3843F">
      <w:pPr>
        <w:spacing w:line="560" w:lineRule="exact"/>
        <w:ind w:firstLine="787" w:firstLineChars="24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本年度专项项目预算安排资金249.935738万元，执行数249.935738万元，执行率100%。总体绩效目标实现情况优秀。</w:t>
      </w:r>
    </w:p>
    <w:p w14:paraId="5D40E2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1.城管便民热线临时工作人员工资及服务费</w:t>
      </w:r>
    </w:p>
    <w:p w14:paraId="7671D4F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（1）年度目标：城管便民热线临时工作人员工资及服务费</w:t>
      </w:r>
    </w:p>
    <w:p w14:paraId="50EFB0B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201C90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6AE1707">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O.石家庄火车站站前地区管理委员会项目数3个。</w:t>
      </w:r>
    </w:p>
    <w:p w14:paraId="5D170EC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本年度专项项目预算安排资金2412.935402万元，执行数2326.1750万元，执行率96.40%。总体绩效目标实现情况优秀。</w:t>
      </w:r>
    </w:p>
    <w:p w14:paraId="261716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1.保安及协勤人员服务</w:t>
      </w:r>
    </w:p>
    <w:p w14:paraId="00733F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72C7FDA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数量指标：保安及协勤工作人员到位率预期指标值为&gt;=80%，实际完成率为100%，自评得分10分。</w:t>
      </w:r>
    </w:p>
    <w:p w14:paraId="23A490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质量指标：执勤人员在位情况检查抽查合格率为100%，实际完成率100%，自评得分为10分。</w:t>
      </w:r>
    </w:p>
    <w:p w14:paraId="0F6BF3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时效指标：保证全天候有执勤人员，实际完成率100%，自评得分10分。</w:t>
      </w:r>
    </w:p>
    <w:p w14:paraId="0E510CF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成本指标：预算控制数&lt;=1115.35万元，实际完成1115.35万元，自评得分10分。</w:t>
      </w:r>
    </w:p>
    <w:p w14:paraId="3D75CAC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（2）预算执行率指标：安排预算财政资金1115.35万元，执行数1115.35万元，预算执行率100%，自评得分为10分。</w:t>
      </w:r>
    </w:p>
    <w:p w14:paraId="41B668A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3D26215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社会效益指标：保障秩序良好，提供优质服务，社会效益预期指标值为100%，实际完成率100%，自评得分为40分。</w:t>
      </w:r>
    </w:p>
    <w:p w14:paraId="0E1393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（4）满意度指标：本单位及服务对象满意度&gt;=90%，实际完成值97%，自评得分10分。</w:t>
      </w:r>
    </w:p>
    <w:p w14:paraId="1E884C7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广场管护费</w:t>
      </w:r>
    </w:p>
    <w:p w14:paraId="483C93D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1FE48F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数量指标：区域内保洁覆盖率=100%，实际完成率100%，自评得分为10分。</w:t>
      </w:r>
    </w:p>
    <w:p w14:paraId="0BD2CED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质量指标：对环境检查验收合格率预期指标&gt;=95%，实际完成率为100%，自评得分为10分。</w:t>
      </w:r>
    </w:p>
    <w:p w14:paraId="2DADBD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成本指标：项目控制预算数&lt;=991.24万元，实际完成991.24万元，自评得分为10分。</w:t>
      </w:r>
    </w:p>
    <w:p w14:paraId="07745F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时效指标：垃圾捡拾时间&lt;=5分钟，完成及时率100%，实际完成率为100%，自评得分为10分。</w:t>
      </w:r>
    </w:p>
    <w:p w14:paraId="23AEB92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（2）预算执行率指标：安排预算财政资金991.24万元，执行数991.24万元，预算执行率100%，自评得分为10分。</w:t>
      </w:r>
    </w:p>
    <w:p w14:paraId="6EAC51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698A8C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社会效益：出行环境舒适度，预期指标值为&gt;=98%，实际完成率100%，自评得分为20分。</w:t>
      </w:r>
    </w:p>
    <w:p w14:paraId="5A071AE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生态效益：促进生态文明建设，促进生态文明建设，推动绿色、文明出行，预期指标值为&gt;=98%，实际完成率100%，自评得分为20分。</w:t>
      </w:r>
    </w:p>
    <w:p w14:paraId="081AEF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（4）满意度指标：本单位及服务对象满意度&gt;=90%，实际完成值95%，自评得分10分。</w:t>
      </w:r>
    </w:p>
    <w:p w14:paraId="66E859E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火车北站站前管护及购置</w:t>
      </w:r>
    </w:p>
    <w:p w14:paraId="0EDEAD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4BF122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数量指标：保安、协勤及保洁人员到位率&gt;=98%，实际完成100%，自评得分为10分。</w:t>
      </w:r>
    </w:p>
    <w:p w14:paraId="372F28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质量指标：保障单位正常办公预期指标值&gt;=98%，实际完成率为100%，自评得分为10分。</w:t>
      </w:r>
    </w:p>
    <w:p w14:paraId="568C4BE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成本指标：项目控制预算数&lt;=219.59万元，实际完成219.59万元，自评得分为10分。</w:t>
      </w:r>
    </w:p>
    <w:p w14:paraId="478F6C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时效指标：保安执勤人员24小时在岗率100%，实际完成率100%，自评得分为10分。</w:t>
      </w:r>
    </w:p>
    <w:p w14:paraId="5C0F01E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（2）预算执行率指标：安排预算财政资金219.59万元，执行数219.59万元，预算执行率100%，自评得分为10分。</w:t>
      </w:r>
    </w:p>
    <w:p w14:paraId="17C1E29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42008F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社会效益：站前区域环境卫生整洁，秩序良好。预期指标值为&gt;=98%，实际完成率100%，自评得分为40分。</w:t>
      </w:r>
    </w:p>
    <w:p w14:paraId="5A344E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（4）满意度指标：本单位及服务对象满意度&gt;=98%，实际完成值97%，自评得分9分。</w:t>
      </w:r>
    </w:p>
    <w:p w14:paraId="3DA961C1">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P.石家庄市燃气中心项目数2个。</w:t>
      </w:r>
    </w:p>
    <w:p w14:paraId="6B518840">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本年度专项项目预算安排资金367.94236万元，执行数320.32万元，执行率87.06%。总体绩效目标实现情况优秀。</w:t>
      </w:r>
    </w:p>
    <w:p w14:paraId="6F6B03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1.燃气行业综合监管平台安排预算财政资金300万元。</w:t>
      </w:r>
    </w:p>
    <w:p w14:paraId="61A027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（1）绩效目标：2021年完成项目整体建设进度的80%,阶段性验收合格。预算执行率100%。</w:t>
      </w:r>
    </w:p>
    <w:p w14:paraId="35D433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（2）绩效指标：2021年项目建设内容按期完成及控制运行成本。</w:t>
      </w:r>
    </w:p>
    <w:p w14:paraId="0C39D4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C24D9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2.劳动聘用人员工资及劳务派遣服务费：安排预算财政资金20.32万元。</w:t>
      </w:r>
    </w:p>
    <w:p w14:paraId="3FAE934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（1）绩效目标：聘用10名劳务派遣人员，保障办公。预算执行率100%。</w:t>
      </w:r>
    </w:p>
    <w:p w14:paraId="777AAE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（2）绩效指标：控制劳务派遣人数及运行成本。</w:t>
      </w:r>
    </w:p>
    <w:p w14:paraId="4A3572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150AC12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Q.石家庄市供热事务中心项目数10个。</w:t>
      </w:r>
    </w:p>
    <w:p w14:paraId="485EF3B3">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本年度专项项目预算安排资金53252.2236万元，执行数53252.2236万元，执行率100%。总体绩效目标实现情况优秀。</w:t>
      </w:r>
    </w:p>
    <w:p w14:paraId="1F6082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1、2020年中央大气污染防治资金（用于北方地区冬季清洁取暖试点城市补助）预算资金：43.6万元。 </w:t>
      </w:r>
    </w:p>
    <w:p w14:paraId="3ACB7FD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（1）绩效目标：按照四部委（局）绩效评价要求，为我市冬季清洁取暖试点实施期间提供咨询服务、技术支撑，通过验收。预算执行率100%。</w:t>
      </w:r>
    </w:p>
    <w:p w14:paraId="50932F7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（2）绩效指标：推动我市冬季清洁取暖，节能减排。</w:t>
      </w:r>
    </w:p>
    <w:p w14:paraId="4F72E3A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CF307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2、纯居民天然气供热运行补贴及取消空置费补贴、石热九期，提前及延迟供热补贴等。（预算金额：26492.9238万元），</w:t>
      </w:r>
    </w:p>
    <w:p w14:paraId="5DA36C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（1）绩效目标：通过纯居民天然气采暖锅炉运行补贴专项资金的支出，确保纯居民天然气锅炉供热项目正常运行。预算执行率100%。</w:t>
      </w:r>
    </w:p>
    <w:p w14:paraId="1C76615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天然气供热锅炉运行补贴的支出，减少供热企业的部分成本，使供热企业做到微利经营，为企业的可持续发展提供必要的条件，并保障供热项目正常供热，居民用热价格不涨，生活成本不增加。</w:t>
      </w:r>
    </w:p>
    <w:p w14:paraId="09A6D8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5EB03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3、纯居民天然气供热运行补贴及取消空置费补贴、石热九期，提前及延迟供热补贴等。预算资金：249.00万元。</w:t>
      </w:r>
    </w:p>
    <w:p w14:paraId="0FA67B1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（1）绩效目标：通过纯居民天然气采暖锅炉运行补贴专项资金的支出，确保纯居民天然气锅炉供热项目正常运行。预算执行率100%。</w:t>
      </w:r>
    </w:p>
    <w:p w14:paraId="2BD3914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天然气供热锅炉运行补贴的支出，减少供热企业的部分成本。实施天然气锅炉供热替代分散燃煤供热，减少因燃煤供热引起的大气污染，提高社会公共效能保障供热项目正常供热，居民用热价格不涨，生活成本不增加。</w:t>
      </w:r>
    </w:p>
    <w:p w14:paraId="789F5B9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2E2B5B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主城区安装居民室温采集系统预算资金：42.25.00万元。（1）绩效目标：主要包括室温采集装置、安装费、通讯费，主城区安装5万个室温采集点。达到数据传输、接收、储存等符合要求，形成统一的数据库，实现市供热智能管理平台的数据处理、数据分析、供热效果评价等功能。预算执行率100%。</w:t>
      </w:r>
    </w:p>
    <w:p w14:paraId="07BD439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（2）绩效指标：通过数据处理、数据分析，及时掌握供热情况，确保供热效果，对供热不达标的热用户督促供热企业及时采取有效措施，提升居民满意度降低投诉。</w:t>
      </w:r>
    </w:p>
    <w:p w14:paraId="2480C4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50DB2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5、第三方机构供热运行监督经费预算资金：110.2736万元。，</w:t>
      </w:r>
    </w:p>
    <w:p w14:paraId="10D5F4F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（1）绩效目标：对主城区供热质量进行监督。预算执行率100%。</w:t>
      </w:r>
    </w:p>
    <w:p w14:paraId="75E1B2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（2）绩效指标：确保主要热源供热运行安全稳定。</w:t>
      </w:r>
    </w:p>
    <w:p w14:paraId="4E49C8D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CCDAC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6、高校隔离点供热补贴预算资金：74万元。（1）绩效目标：通过高校隔离期间供热补贴支出确保居民正常用热。预算执行率100%。</w:t>
      </w:r>
    </w:p>
    <w:p w14:paraId="3790FB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（2）绩效指标：维护正常供热需求，居民正常用热需求</w:t>
      </w:r>
    </w:p>
    <w:p w14:paraId="79BAB4B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FA1C72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7、供热补贴（配套费）预算资金：17820万元。</w:t>
      </w:r>
    </w:p>
    <w:p w14:paraId="69E54E3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（1）绩效目标：通过纯居民天然气采暖锅炉运行补贴专项资金的支出，确保纯居民天然气锅炉供热项目正常运行。预算执行率100%。 </w:t>
      </w:r>
    </w:p>
    <w:p w14:paraId="6F14BE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（2）绩效指标：维护正常供热需求及供热秩序。</w:t>
      </w:r>
    </w:p>
    <w:p w14:paraId="349E361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C4E9F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8、供热智能平台运行维护费预算资金：53.1262万元。（1）绩效目标：及时支付机房托管年服务费，通讯专线年服务费，保证正常工作。预算执行率100%。</w:t>
      </w:r>
    </w:p>
    <w:p w14:paraId="15C407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（2）绩效指标：确保供热智能平台正常运行。</w:t>
      </w:r>
    </w:p>
    <w:p w14:paraId="2968D11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0F58C2A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9、省直裕西小区供热应急保障工作预算资金：3088.7万元。（1）绩效目标：通过应急加装燃气供热锅炉进行调节，在规定时间内投入使用。预算执行率100%。</w:t>
      </w:r>
    </w:p>
    <w:p w14:paraId="3BBB0D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（2）绩效指标：应急保障工程竣工并投入使用，效果良好。</w:t>
      </w:r>
    </w:p>
    <w:p w14:paraId="6DFBE3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85092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10、石热九期燃机2020-2021采暖季居民供热补贴预算资金：5278.35万元。</w:t>
      </w:r>
    </w:p>
    <w:p w14:paraId="2DC0F70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（1）绩效目标：通过纯居民天然气采暖锅炉运行补贴专项资金的支出，确保纯居民天然气锅炉供热项目正常运行。自评得分为10分。</w:t>
      </w:r>
    </w:p>
    <w:p w14:paraId="4E1DDCC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（2）绩效指标：维护正常供热需求及供热秩序，居民正常用热需求。</w:t>
      </w:r>
    </w:p>
    <w:p w14:paraId="72F66C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FDFEA50">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四、评价结论和评价等级</w:t>
      </w:r>
    </w:p>
    <w:p w14:paraId="441C1AA0">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根据部门职责定位和各项工作履职情况进行综合评价得分94.53分，部门整体支出综合绩效评价为优秀。</w:t>
      </w:r>
    </w:p>
    <w:p w14:paraId="29BA4B7F">
      <w:pPr>
        <w:widowControl/>
        <w:shd w:val="clear" w:color="auto" w:fill="FFFFFF"/>
        <w:spacing w:line="585" w:lineRule="atLeast"/>
        <w:ind w:firstLine="555"/>
        <w:textAlignment w:val="center"/>
        <w:rPr>
          <w:rFonts w:ascii="仿宋_GB2312" w:hAnsi="华文仿宋" w:eastAsia="仿宋_GB2312" w:cs="Times New Roman"/>
          <w:color w:val="333333"/>
          <w:kern w:val="0"/>
          <w:sz w:val="32"/>
          <w:szCs w:val="32"/>
        </w:rPr>
      </w:pPr>
      <w:r>
        <w:rPr>
          <w:rFonts w:hint="eastAsia" w:ascii="仿宋_GB2312" w:hAnsi="华文仿宋" w:eastAsia="仿宋_GB2312" w:cs="Times New Roman"/>
          <w:color w:val="333333"/>
          <w:kern w:val="0"/>
          <w:sz w:val="32"/>
          <w:szCs w:val="32"/>
        </w:rPr>
        <w:t>本绩效评价完成后，绩效自评结果将在本部门网站上进行信息公开，接受社会监督。</w:t>
      </w:r>
    </w:p>
    <w:p w14:paraId="19B5F3C1">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五、存在的问题及改进措施</w:t>
      </w:r>
    </w:p>
    <w:p w14:paraId="39B35A2D">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（一）项目存在的问题</w:t>
      </w:r>
    </w:p>
    <w:p w14:paraId="079AA303">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1、部分项目支出绩效评价指标体系不完善，项目台账资料不齐全，档案管理不规范，给考核评价及评分工作带来一定困难。</w:t>
      </w:r>
    </w:p>
    <w:p w14:paraId="4776ABAF">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2、部分单位相关制度不够完善，需要落实项目责任制，牵头科室及责任人要定期对项目进行追踪，对资金拨付及使用情况进行督促落实，确保项目落地见效。</w:t>
      </w:r>
    </w:p>
    <w:p w14:paraId="69ED365B">
      <w:pPr>
        <w:pStyle w:val="4"/>
        <w:spacing w:before="0" w:beforeAutospacing="0" w:after="0" w:afterAutospacing="0" w:line="500" w:lineRule="exact"/>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（二）针对问题提出的具体改进措施和意见</w:t>
      </w:r>
    </w:p>
    <w:p w14:paraId="1C524356">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1、严格审核程序。各单位要按照本单位财务管理相关规定，严格执行审批程序，做到专款专用，按国家财经法规和财务管理制度的规定依法使用资金。</w:t>
      </w:r>
    </w:p>
    <w:p w14:paraId="663C57C0">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2、强化申报工作指导。各下属单位均设立牵头科室和具体负责科室，明确责任到科室到人，有针对性地开展指导工作。</w:t>
      </w:r>
    </w:p>
    <w:p w14:paraId="6EC75EF6">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3、积极开展年初项目预算申报工作，项目资金下达后积极筹备所在项目的政府采购和招投标工作，并保证项目按期完成。</w:t>
      </w:r>
    </w:p>
    <w:p w14:paraId="22F30C9C">
      <w:pPr>
        <w:pStyle w:val="4"/>
        <w:spacing w:before="0" w:beforeAutospacing="0" w:after="0" w:afterAutospacing="0" w:line="500" w:lineRule="exact"/>
        <w:rPr>
          <w:rFonts w:ascii="仿宋_GB2312" w:hAnsi="华文仿宋" w:eastAsia="仿宋_GB2312" w:cs="仿宋_GB2312"/>
          <w:kern w:val="2"/>
          <w:sz w:val="32"/>
          <w:szCs w:val="32"/>
        </w:rPr>
      </w:pPr>
      <w:r>
        <w:rPr>
          <w:rFonts w:hint="eastAsia" w:ascii="仿宋_GB2312" w:hAnsi="华文仿宋" w:eastAsia="仿宋_GB2312" w:cs="仿宋_GB2312"/>
          <w:b/>
          <w:sz w:val="32"/>
          <w:szCs w:val="32"/>
        </w:rPr>
        <w:t>六、评价工作组人员名单及签字（姓名、工作单位、职务、职称）</w:t>
      </w:r>
    </w:p>
    <w:p w14:paraId="2253CE6A">
      <w:pPr>
        <w:spacing w:line="560" w:lineRule="exact"/>
        <w:ind w:firstLine="643" w:firstLineChars="200"/>
        <w:rPr>
          <w:rFonts w:ascii="仿宋_GB2312" w:hAnsi="华文仿宋" w:eastAsia="仿宋_GB2312" w:cs="仿宋_GB2312"/>
          <w:b/>
          <w:sz w:val="32"/>
          <w:szCs w:val="32"/>
        </w:rPr>
      </w:pPr>
    </w:p>
    <w:tbl>
      <w:tblPr>
        <w:tblStyle w:val="5"/>
        <w:tblW w:w="92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21"/>
        <w:gridCol w:w="3074"/>
        <w:gridCol w:w="1963"/>
        <w:gridCol w:w="2882"/>
      </w:tblGrid>
      <w:tr w14:paraId="062BC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9240" w:type="dxa"/>
            <w:gridSpan w:val="4"/>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5FC177A">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olor w:val="000000"/>
                <w:sz w:val="32"/>
                <w:szCs w:val="32"/>
              </w:rPr>
              <w:t>四、评价人员</w:t>
            </w:r>
          </w:p>
        </w:tc>
      </w:tr>
      <w:tr w14:paraId="47388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15978E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姓  名</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F398C14">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职务/职称</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9FA7E2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单  位</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1C7B4F5">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签  字</w:t>
            </w:r>
          </w:p>
        </w:tc>
      </w:tr>
      <w:tr w14:paraId="1A645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E42D2A0">
            <w:pPr>
              <w:autoSpaceDN w:val="0"/>
              <w:spacing w:line="320" w:lineRule="exact"/>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李景再</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C59E7F7">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副局长</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575E93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城管局</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531CCDA">
            <w:pPr>
              <w:autoSpaceDN w:val="0"/>
              <w:spacing w:line="320" w:lineRule="exact"/>
              <w:jc w:val="center"/>
              <w:textAlignment w:val="center"/>
              <w:rPr>
                <w:rFonts w:ascii="仿宋_GB2312" w:hAnsi="华文仿宋" w:eastAsia="仿宋_GB2312" w:cs="仿宋_GB2312"/>
                <w:color w:val="000000"/>
                <w:sz w:val="32"/>
                <w:szCs w:val="32"/>
              </w:rPr>
            </w:pPr>
          </w:p>
        </w:tc>
      </w:tr>
      <w:tr w14:paraId="4FDDCE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C018B46">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王辉</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5CEA3A0">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科长</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A555E4B">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财务科</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932FB95">
            <w:pPr>
              <w:autoSpaceDN w:val="0"/>
              <w:spacing w:line="320" w:lineRule="exact"/>
              <w:jc w:val="center"/>
              <w:textAlignment w:val="center"/>
              <w:rPr>
                <w:rFonts w:ascii="仿宋_GB2312" w:hAnsi="华文仿宋" w:eastAsia="仿宋_GB2312" w:cs="仿宋_GB2312"/>
                <w:color w:val="000000"/>
                <w:sz w:val="32"/>
                <w:szCs w:val="32"/>
              </w:rPr>
            </w:pPr>
          </w:p>
        </w:tc>
      </w:tr>
      <w:tr w14:paraId="500E3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BBC8ED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张会永</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CC84C7C">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科员</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083D5D9">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财务科</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D86D7AB">
            <w:pPr>
              <w:autoSpaceDN w:val="0"/>
              <w:spacing w:line="320" w:lineRule="exact"/>
              <w:jc w:val="center"/>
              <w:textAlignment w:val="center"/>
              <w:rPr>
                <w:rFonts w:ascii="仿宋_GB2312" w:hAnsi="华文仿宋" w:eastAsia="仿宋_GB2312" w:cs="仿宋_GB2312"/>
                <w:color w:val="000000"/>
                <w:sz w:val="32"/>
                <w:szCs w:val="32"/>
              </w:rPr>
            </w:pPr>
          </w:p>
        </w:tc>
      </w:tr>
      <w:tr w14:paraId="31CF85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79A8AC1">
            <w:pPr>
              <w:autoSpaceDN w:val="0"/>
              <w:spacing w:line="320" w:lineRule="exact"/>
              <w:jc w:val="center"/>
              <w:textAlignment w:val="center"/>
              <w:rPr>
                <w:rFonts w:ascii="仿宋_GB2312" w:hAnsi="华文仿宋" w:eastAsia="仿宋_GB2312" w:cs="仿宋_GB2312"/>
                <w:color w:val="000000"/>
                <w:sz w:val="32"/>
                <w:szCs w:val="32"/>
              </w:rPr>
            </w:pP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894FA33">
            <w:pPr>
              <w:autoSpaceDN w:val="0"/>
              <w:spacing w:line="320" w:lineRule="exact"/>
              <w:jc w:val="center"/>
              <w:textAlignment w:val="center"/>
              <w:rPr>
                <w:rFonts w:ascii="仿宋_GB2312" w:hAnsi="华文仿宋" w:eastAsia="仿宋_GB2312" w:cs="仿宋_GB2312"/>
                <w:color w:val="000000"/>
                <w:sz w:val="32"/>
                <w:szCs w:val="32"/>
              </w:rPr>
            </w:pP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0D656C1">
            <w:pPr>
              <w:autoSpaceDN w:val="0"/>
              <w:spacing w:line="320" w:lineRule="exact"/>
              <w:jc w:val="center"/>
              <w:textAlignment w:val="center"/>
              <w:rPr>
                <w:rFonts w:ascii="仿宋_GB2312" w:hAnsi="华文仿宋" w:eastAsia="仿宋_GB2312" w:cs="仿宋_GB2312"/>
                <w:color w:val="000000"/>
                <w:sz w:val="32"/>
                <w:szCs w:val="32"/>
              </w:rPr>
            </w:pP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EDDE496">
            <w:pPr>
              <w:autoSpaceDN w:val="0"/>
              <w:spacing w:line="320" w:lineRule="exact"/>
              <w:jc w:val="center"/>
              <w:textAlignment w:val="center"/>
              <w:rPr>
                <w:rFonts w:ascii="仿宋_GB2312" w:hAnsi="华文仿宋" w:eastAsia="仿宋_GB2312" w:cs="仿宋_GB2312"/>
                <w:color w:val="000000"/>
                <w:sz w:val="32"/>
                <w:szCs w:val="32"/>
              </w:rPr>
            </w:pPr>
          </w:p>
        </w:tc>
      </w:tr>
    </w:tbl>
    <w:p w14:paraId="74585C53">
      <w:pPr>
        <w:spacing w:line="560" w:lineRule="exact"/>
        <w:rPr>
          <w:rFonts w:ascii="仿宋" w:hAnsi="仿宋" w:eastAsia="仿宋"/>
        </w:rPr>
      </w:pPr>
    </w:p>
    <w:p w14:paraId="52F1A68F">
      <w:pPr>
        <w:spacing w:line="560" w:lineRule="exact"/>
        <w:rPr>
          <w:rFonts w:ascii="仿宋" w:hAnsi="仿宋" w:eastAsia="仿宋"/>
        </w:rPr>
      </w:pPr>
    </w:p>
    <w:p w14:paraId="71603AFB">
      <w:pPr>
        <w:widowControl/>
        <w:shd w:val="clear" w:color="auto" w:fill="FFFFFF"/>
        <w:spacing w:line="585" w:lineRule="atLeast"/>
        <w:textAlignment w:val="center"/>
        <w:rPr>
          <w:rFonts w:ascii="仿宋_GB2312" w:hAnsi="Times New Roman" w:eastAsia="仿宋_GB2312" w:cs="Times New Roman"/>
          <w:color w:val="333333"/>
          <w:kern w:val="0"/>
          <w:sz w:val="29"/>
          <w:szCs w:val="29"/>
        </w:rPr>
      </w:pPr>
    </w:p>
    <w:p w14:paraId="01B1BC33">
      <w:pPr>
        <w:widowControl/>
        <w:shd w:val="clear" w:color="auto" w:fill="FFFFFF"/>
        <w:spacing w:line="585" w:lineRule="atLeast"/>
        <w:textAlignment w:val="center"/>
        <w:rPr>
          <w:rFonts w:ascii="仿宋_GB2312" w:hAnsi="Times New Roman" w:eastAsia="仿宋_GB2312" w:cs="Times New Roman"/>
          <w:color w:val="333333"/>
          <w:kern w:val="0"/>
          <w:sz w:val="29"/>
          <w:szCs w:val="29"/>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A918B">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4A674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- 48 -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1252CD"/>
    <w:multiLevelType w:val="multilevel"/>
    <w:tmpl w:val="251252CD"/>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1">
    <w:nsid w:val="42A20B9D"/>
    <w:multiLevelType w:val="multilevel"/>
    <w:tmpl w:val="42A20B9D"/>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2">
    <w:nsid w:val="521D742C"/>
    <w:multiLevelType w:val="multilevel"/>
    <w:tmpl w:val="521D742C"/>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3">
    <w:nsid w:val="5B0D5BF7"/>
    <w:multiLevelType w:val="multilevel"/>
    <w:tmpl w:val="5B0D5BF7"/>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4">
    <w:nsid w:val="67E92461"/>
    <w:multiLevelType w:val="multilevel"/>
    <w:tmpl w:val="67E92461"/>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5">
    <w:nsid w:val="6A4812B0"/>
    <w:multiLevelType w:val="multilevel"/>
    <w:tmpl w:val="6A4812B0"/>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6">
    <w:nsid w:val="7BEF59CE"/>
    <w:multiLevelType w:val="multilevel"/>
    <w:tmpl w:val="7BEF59CE"/>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num w:numId="1">
    <w:abstractNumId w:val="5"/>
  </w:num>
  <w:num w:numId="2">
    <w:abstractNumId w:val="1"/>
  </w:num>
  <w:num w:numId="3">
    <w:abstractNumId w:val="6"/>
  </w:num>
  <w:num w:numId="4">
    <w:abstractNumId w:val="3"/>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EBD2122"/>
    <w:rsid w:val="00050E70"/>
    <w:rsid w:val="00055860"/>
    <w:rsid w:val="000A1A76"/>
    <w:rsid w:val="000B585E"/>
    <w:rsid w:val="000D3236"/>
    <w:rsid w:val="00101EF7"/>
    <w:rsid w:val="00153B05"/>
    <w:rsid w:val="00157DF7"/>
    <w:rsid w:val="002254AA"/>
    <w:rsid w:val="00230695"/>
    <w:rsid w:val="00247D32"/>
    <w:rsid w:val="002A7910"/>
    <w:rsid w:val="00312F88"/>
    <w:rsid w:val="00354289"/>
    <w:rsid w:val="00365690"/>
    <w:rsid w:val="00373312"/>
    <w:rsid w:val="00386783"/>
    <w:rsid w:val="003A5EF6"/>
    <w:rsid w:val="004560F6"/>
    <w:rsid w:val="004611AA"/>
    <w:rsid w:val="004A4D4E"/>
    <w:rsid w:val="00563E4F"/>
    <w:rsid w:val="005D1954"/>
    <w:rsid w:val="0068237E"/>
    <w:rsid w:val="006A7848"/>
    <w:rsid w:val="00764ED0"/>
    <w:rsid w:val="00777647"/>
    <w:rsid w:val="00786CDA"/>
    <w:rsid w:val="007E6C1F"/>
    <w:rsid w:val="00822BA2"/>
    <w:rsid w:val="0085677C"/>
    <w:rsid w:val="00875CB1"/>
    <w:rsid w:val="00894CCC"/>
    <w:rsid w:val="008B590F"/>
    <w:rsid w:val="008F02F2"/>
    <w:rsid w:val="009355B9"/>
    <w:rsid w:val="009421B1"/>
    <w:rsid w:val="00971528"/>
    <w:rsid w:val="0097728C"/>
    <w:rsid w:val="009D16BF"/>
    <w:rsid w:val="009F5A63"/>
    <w:rsid w:val="00A0296B"/>
    <w:rsid w:val="00A27B52"/>
    <w:rsid w:val="00A83708"/>
    <w:rsid w:val="00AE4E80"/>
    <w:rsid w:val="00AF566A"/>
    <w:rsid w:val="00B15822"/>
    <w:rsid w:val="00B40C47"/>
    <w:rsid w:val="00B6553A"/>
    <w:rsid w:val="00BE0CDD"/>
    <w:rsid w:val="00C87FBE"/>
    <w:rsid w:val="00CA05D1"/>
    <w:rsid w:val="00CD604C"/>
    <w:rsid w:val="00D821A8"/>
    <w:rsid w:val="00D902CE"/>
    <w:rsid w:val="00D95573"/>
    <w:rsid w:val="00DA485E"/>
    <w:rsid w:val="00DC1BA2"/>
    <w:rsid w:val="00E12E2E"/>
    <w:rsid w:val="00E30E81"/>
    <w:rsid w:val="00E478C5"/>
    <w:rsid w:val="00E70E18"/>
    <w:rsid w:val="00E75947"/>
    <w:rsid w:val="00EB62F4"/>
    <w:rsid w:val="00EC01A7"/>
    <w:rsid w:val="00EC10FF"/>
    <w:rsid w:val="00EC2E1C"/>
    <w:rsid w:val="00EC3E42"/>
    <w:rsid w:val="00F122E4"/>
    <w:rsid w:val="00F47023"/>
    <w:rsid w:val="00FB07D5"/>
    <w:rsid w:val="00FB0825"/>
    <w:rsid w:val="00FB3C25"/>
    <w:rsid w:val="00FD01C3"/>
    <w:rsid w:val="00FE1608"/>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11D39E8"/>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7">
    <w:name w:val="Table Paragraph"/>
    <w:basedOn w:val="1"/>
    <w:qFormat/>
    <w:uiPriority w:val="1"/>
    <w:pPr>
      <w:autoSpaceDE w:val="0"/>
      <w:autoSpaceDN w:val="0"/>
      <w:jc w:val="left"/>
    </w:pPr>
    <w:rPr>
      <w:rFonts w:ascii="宋体" w:hAnsi="宋体" w:cs="宋体"/>
      <w:kern w:val="0"/>
      <w:sz w:val="22"/>
    </w:rPr>
  </w:style>
  <w:style w:type="paragraph" w:styleId="8">
    <w:name w:val="List Paragraph"/>
    <w:basedOn w:val="1"/>
    <w:qFormat/>
    <w:uiPriority w:val="34"/>
    <w:pPr>
      <w:ind w:firstLine="420" w:firstLineChars="200"/>
    </w:pPr>
    <w:rPr>
      <w:rFonts w:ascii="等线" w:hAnsi="等线" w:eastAsia="等线"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49</Pages>
  <Words>22728</Words>
  <Characters>24783</Characters>
  <Lines>181</Lines>
  <Paragraphs>51</Paragraphs>
  <TotalTime>616</TotalTime>
  <ScaleCrop>false</ScaleCrop>
  <LinksUpToDate>false</LinksUpToDate>
  <CharactersWithSpaces>24859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2022-01-19T07:24:00Z</cp:lastPrinted>
  <dcterms:modified xsi:type="dcterms:W3CDTF">2025-02-27T03:02:46Z</dcterms:modified>
  <dc:title>附件3：</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6874AC3B934A4765B7E7277B24FC00A9_12</vt:lpwstr>
  </property>
</Properties>
</file>