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0"/>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1"/>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2"/>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6dSH190AAAAMAQAADwAAAAAAAAAB&#10;ACAAAAAiAAAAZHJzL2Rvd25yZXYueG1sUEsBAhQAFAAAAAgAh07iQIDMaE2aAwAAMwwAAA4AAAAA&#10;AAAAAQAgAAAALAEAAGRycy9lMm9Eb2MueG1sUEsFBgAAAAAGAAYAWQEAADgHA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JUHC8XbAAAACwEAAA8AAAAAAAAAAQAgAAAA&#10;IgAAAGRycy9kb3ducmV2LnhtbFBLAQIUABQAAAAIAIdO4kBqgGFVJQMAAPYIAAAOAAAAAAAAAAEA&#10;IAAAACoBAABkcnMvZTJvRG9jLnhtbFBLBQYAAAAABgAGAFkBAADB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ZqWWv2AAAAAsBAAAPAAAAAAAA&#10;AAEAIAAAACIAAABkcnMvZG93bnJldi54bWxQSwECFAAUAAAACACHTuJA5W10YaABAAARAwAADgAA&#10;AAAAAAABACAAAAAnAQAAZHJzL2Uyb0RvYy54bWxQSwUGAAAAAAYABgBZAQAAOQUAAAAA&#10;">
                <v:fill on="f" focussize="0,0"/>
                <v:stroke on="f"/>
                <v:imagedata o:title=""/>
                <o:lock v:ext="edit" aspectratio="f"/>
                <v:textbox>
                  <w:txbxContent>
                    <w:p>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rPr>
          <w:rFonts w:hint="eastAsia"/>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625</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：赞皇县人民法院</w:t>
      </w:r>
    </w:p>
    <w:p>
      <w:pPr>
        <w:spacing w:line="600" w:lineRule="auto"/>
        <w:jc w:val="left"/>
        <w:rPr>
          <w:rFonts w:hint="default" w:ascii="楷体_GB2312" w:hAnsi="楷体_GB2312" w:eastAsia="楷体_GB2312" w:cs="楷体_GB2312"/>
          <w:color w:val="000000"/>
          <w:sz w:val="40"/>
          <w:szCs w:val="40"/>
          <w:lang w:val="en-US" w:eastAsia="zh-CN"/>
        </w:rPr>
      </w:pPr>
    </w:p>
    <w:p>
      <w:pPr>
        <w:spacing w:line="600" w:lineRule="auto"/>
        <w:jc w:val="center"/>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二〇二四年八月</w:t>
      </w:r>
    </w:p>
    <w:p>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pPr>
        <w:spacing w:line="600" w:lineRule="auto"/>
        <w:jc w:val="center"/>
        <w:rPr>
          <w:rFonts w:hint="eastAsia" w:ascii="楷体_GB2312" w:hAnsi="楷体_GB2312" w:eastAsia="楷体_GB2312" w:cs="楷体_GB2312"/>
          <w:color w:val="000000"/>
          <w:sz w:val="40"/>
          <w:szCs w:val="40"/>
        </w:rPr>
      </w:pPr>
    </w:p>
    <w:p>
      <w:pPr>
        <w:rPr>
          <w:rFonts w:ascii="黑体" w:hAnsi="黑体" w:eastAsia="黑体" w:cs="黑体"/>
          <w:b/>
          <w:bCs/>
          <w:sz w:val="72"/>
          <w:szCs w:val="96"/>
        </w:rPr>
      </w:pPr>
    </w:p>
    <w:p>
      <w:pPr>
        <w:rPr>
          <w:rFonts w:ascii="黑体" w:hAnsi="黑体" w:eastAsia="黑体" w:cs="黑体"/>
          <w:b/>
          <w:bCs/>
          <w:sz w:val="72"/>
          <w:szCs w:val="96"/>
        </w:rPr>
      </w:pPr>
    </w:p>
    <w:p>
      <w:pPr>
        <w:keepNext w:val="0"/>
        <w:keepLines w:val="0"/>
        <w:pageBreakBefore w:val="0"/>
        <w:widowControl w:val="0"/>
        <w:kinsoku/>
        <w:wordWrap/>
        <w:overflowPunct/>
        <w:topLinePunct w:val="0"/>
        <w:autoSpaceDE/>
        <w:autoSpaceDN/>
        <w:bidi w:val="0"/>
        <w:adjustRightInd/>
        <w:snapToGrid/>
        <w:jc w:val="both"/>
        <w:textAlignment w:val="auto"/>
        <w:rPr>
          <w:rFonts w:ascii="黑体" w:hAnsi="黑体" w:eastAsia="黑体" w:cs="黑体"/>
          <w:b/>
          <w:bCs/>
          <w:spacing w:val="-20"/>
          <w:sz w:val="72"/>
          <w:szCs w:val="96"/>
        </w:rPr>
      </w:pPr>
      <w:r>
        <w:rPr>
          <w:rFonts w:hint="eastAsia" w:ascii="黑体" w:hAnsi="黑体" w:eastAsia="黑体" w:cs="黑体"/>
          <w:b/>
          <w:bCs/>
          <w:spacing w:val="-20"/>
          <w:sz w:val="72"/>
          <w:szCs w:val="96"/>
        </w:rPr>
        <w:t>2023年度</w:t>
      </w:r>
      <w:r>
        <w:rPr>
          <w:rFonts w:hint="eastAsia" w:ascii="黑体" w:hAnsi="宋体" w:eastAsia="黑体" w:cs="黑体"/>
          <w:i w:val="0"/>
          <w:iCs w:val="0"/>
          <w:caps w:val="0"/>
          <w:color w:val="000000"/>
          <w:spacing w:val="-20"/>
          <w:sz w:val="72"/>
          <w:szCs w:val="72"/>
          <w:highlight w:val="none"/>
          <w:shd w:val="clear" w:fill="FFFFFF"/>
          <w:lang w:eastAsia="zh-CN"/>
        </w:rPr>
        <w:t>部门</w:t>
      </w:r>
      <w:r>
        <w:rPr>
          <w:rFonts w:hint="eastAsia" w:ascii="黑体" w:hAnsi="黑体" w:eastAsia="黑体" w:cs="黑体"/>
          <w:b/>
          <w:bCs/>
          <w:spacing w:val="-20"/>
          <w:sz w:val="72"/>
          <w:szCs w:val="96"/>
        </w:rPr>
        <w:t>决算公开文本</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黑体" w:hAnsi="黑体" w:eastAsia="黑体" w:cs="黑体"/>
          <w:spacing w:val="-20"/>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both"/>
        <w:rPr>
          <w:rFonts w:ascii="黑体" w:hAnsi="黑体" w:eastAsia="黑体" w:cs="黑体"/>
          <w:sz w:val="56"/>
          <w:szCs w:val="72"/>
        </w:rPr>
      </w:pPr>
    </w:p>
    <w:p>
      <w:pPr>
        <w:snapToGrid w:val="0"/>
        <w:jc w:val="center"/>
        <w:rPr>
          <w:rFonts w:hint="eastAsia" w:ascii="楷体_GB2312" w:hAnsi="楷体_GB2312" w:eastAsia="楷体_GB2312" w:cs="楷体_GB2312"/>
          <w:color w:val="000000" w:themeColor="text1"/>
          <w:kern w:val="0"/>
          <w:sz w:val="44"/>
          <w:szCs w:val="44"/>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赞皇县人民法院</w:t>
      </w:r>
    </w:p>
    <w:p>
      <w:pP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3" w:type="default"/>
          <w:pgSz w:w="11906" w:h="16838"/>
          <w:pgMar w:top="1531" w:right="1984" w:bottom="1531" w:left="2098" w:header="851" w:footer="992" w:gutter="0"/>
          <w:cols w:space="720" w:num="1"/>
          <w:docGrid w:type="lines" w:linePitch="312" w:charSpace="0"/>
        </w:sect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二〇二四年八月</w:t>
      </w:r>
    </w:p>
    <w:p>
      <w:pPr>
        <w:widowControl/>
        <w:spacing w:line="600" w:lineRule="exact"/>
        <w:jc w:val="left"/>
        <w:rPr>
          <w:rFonts w:ascii="黑体" w:hAnsi="黑体" w:eastAsia="黑体" w:cs="黑体"/>
          <w:bCs/>
          <w:sz w:val="32"/>
          <w:szCs w:val="32"/>
        </w:rPr>
      </w:pPr>
    </w:p>
    <w:p>
      <w:pPr>
        <w:tabs>
          <w:tab w:val="left" w:pos="2728"/>
        </w:tabs>
        <w:jc w:val="center"/>
        <w:rPr>
          <w:rFonts w:ascii="黑体" w:hAnsi="Times New Roman" w:eastAsia="黑体" w:cs="Times New Roman"/>
          <w:sz w:val="48"/>
          <w:szCs w:val="48"/>
        </w:rPr>
      </w:pP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1273" w:firstLineChars="398"/>
        <w:rPr>
          <w:rFonts w:hint="eastAsia" w:ascii="Times New Roman" w:hAnsi="Times New Roman" w:eastAsia="仿宋_GB2312" w:cs="Times New Roman"/>
          <w:sz w:val="32"/>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lang w:eastAsia="zh-CN"/>
        </w:rPr>
        <w:t>部门</w:t>
      </w:r>
      <w:r>
        <w:rPr>
          <w:rFonts w:hint="eastAsia" w:ascii="Times New Roman" w:hAnsi="Times New Roman" w:eastAsia="黑体" w:cs="Times New Roman"/>
          <w:sz w:val="32"/>
          <w:szCs w:val="32"/>
        </w:rPr>
        <w:t>概况</w:t>
      </w:r>
    </w:p>
    <w:p>
      <w:pPr>
        <w:widowControl/>
        <w:spacing w:after="160" w:line="580" w:lineRule="exact"/>
        <w:ind w:firstLine="1273" w:firstLineChars="398"/>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hint="eastAsia" w:ascii="Times New Roman" w:hAnsi="Times New Roman" w:eastAsia="仿宋_GB2312" w:cs="Times New Roman"/>
          <w:sz w:val="32"/>
          <w:szCs w:val="32"/>
          <w:lang w:eastAsia="zh-CN"/>
        </w:rPr>
        <w:t>部门</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headerReference r:id="rId5" w:type="first"/>
          <w:footerReference r:id="rId7" w:type="first"/>
          <w:headerReference r:id="rId4" w:type="default"/>
          <w:footerReference r:id="rId6"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部门</w:t>
      </w:r>
      <w:r>
        <w:rPr>
          <w:rFonts w:hint="eastAsia" w:ascii="黑体" w:hAnsi="宋体" w:eastAsia="黑体" w:cs="黑体"/>
          <w:i w:val="0"/>
          <w:iCs w:val="0"/>
          <w:caps w:val="0"/>
          <w:color w:val="000000"/>
          <w:spacing w:val="0"/>
          <w:sz w:val="72"/>
          <w:szCs w:val="72"/>
          <w:highlight w:val="none"/>
          <w:shd w:val="clear" w:fill="FFFFFF"/>
        </w:rPr>
        <w:t>概况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部门</w:t>
      </w:r>
      <w:r>
        <w:rPr>
          <w:rFonts w:hint="eastAsia" w:ascii="黑体" w:hAnsi="宋体" w:eastAsia="黑体" w:cs="黑体"/>
          <w:i w:val="0"/>
          <w:iCs w:val="0"/>
          <w:caps w:val="0"/>
          <w:color w:val="000000"/>
          <w:spacing w:val="0"/>
          <w:sz w:val="32"/>
          <w:szCs w:val="32"/>
          <w:highlight w:val="none"/>
          <w:shd w:val="clear" w:fill="FFFFFF"/>
        </w:rPr>
        <w:t>职责</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widowControl/>
        <w:spacing w:line="360" w:lineRule="auto"/>
        <w:jc w:val="left"/>
        <w:outlineLvl w:val="1"/>
        <w:rPr>
          <w:rFonts w:ascii="Times New Roman" w:eastAsia="黑体"/>
          <w:sz w:val="32"/>
          <w:szCs w:val="32"/>
        </w:rPr>
      </w:pPr>
      <w:r>
        <w:rPr>
          <w:rFonts w:ascii="Times New Roman" w:eastAsia="黑体"/>
          <w:sz w:val="32"/>
          <w:szCs w:val="32"/>
        </w:rPr>
        <w:t>一、单位职责</w:t>
      </w:r>
    </w:p>
    <w:p>
      <w:pPr>
        <w:widowControl/>
        <w:spacing w:line="360" w:lineRule="auto"/>
        <w:ind w:firstLine="640" w:firstLineChars="200"/>
        <w:jc w:val="left"/>
        <w:rPr>
          <w:rFonts w:hint="eastAsia" w:ascii="Times New Roman" w:eastAsia="仿宋_GB2312"/>
          <w:sz w:val="32"/>
          <w:szCs w:val="32"/>
        </w:rPr>
      </w:pPr>
      <w:r>
        <w:rPr>
          <w:rFonts w:hint="eastAsia" w:ascii="Times New Roman" w:eastAsia="仿宋_GB2312"/>
          <w:sz w:val="32"/>
          <w:szCs w:val="32"/>
        </w:rPr>
        <w:t>(一)深入贯彻习近平新时代中国特色社会主义思想，深入贯彻党的路线方针政策和决策部署，坚持党对法院工作的绝对领导，坚决维护习近平总书记的核心地位，坚决维护党中央权威和集中统一领导。​</w:t>
      </w:r>
    </w:p>
    <w:p>
      <w:pPr>
        <w:widowControl/>
        <w:spacing w:line="360" w:lineRule="auto"/>
        <w:ind w:firstLine="640" w:firstLineChars="200"/>
        <w:jc w:val="left"/>
        <w:rPr>
          <w:rFonts w:hint="eastAsia" w:ascii="Times New Roman" w:eastAsia="仿宋_GB2312"/>
          <w:sz w:val="32"/>
          <w:szCs w:val="32"/>
        </w:rPr>
      </w:pPr>
      <w:r>
        <w:rPr>
          <w:rFonts w:hint="eastAsia" w:ascii="Times New Roman" w:eastAsia="仿宋_GB2312"/>
          <w:sz w:val="32"/>
          <w:szCs w:val="32"/>
        </w:rPr>
        <w:t>(二)依法审判法律规定由</w:t>
      </w:r>
      <w:r>
        <w:rPr>
          <w:rFonts w:hint="eastAsia" w:ascii="Times New Roman" w:eastAsia="仿宋_GB2312"/>
          <w:sz w:val="32"/>
          <w:szCs w:val="32"/>
          <w:lang w:eastAsia="zh-CN"/>
        </w:rPr>
        <w:t>赞皇</w:t>
      </w:r>
      <w:r>
        <w:rPr>
          <w:rFonts w:hint="eastAsia" w:ascii="Times New Roman" w:eastAsia="仿宋_GB2312"/>
          <w:sz w:val="32"/>
          <w:szCs w:val="32"/>
        </w:rPr>
        <w:t>县人民法院管辖的刑</w:t>
      </w:r>
    </w:p>
    <w:p>
      <w:pPr>
        <w:widowControl/>
        <w:spacing w:line="360" w:lineRule="auto"/>
        <w:jc w:val="left"/>
        <w:rPr>
          <w:rFonts w:hint="eastAsia" w:ascii="Times New Roman" w:eastAsia="仿宋_GB2312"/>
          <w:sz w:val="32"/>
          <w:szCs w:val="32"/>
        </w:rPr>
      </w:pPr>
      <w:r>
        <w:rPr>
          <w:rFonts w:hint="eastAsia" w:ascii="Times New Roman" w:eastAsia="仿宋_GB2312"/>
          <w:sz w:val="32"/>
          <w:szCs w:val="32"/>
        </w:rPr>
        <w:t>事、民事、行政等第一审案件。​</w:t>
      </w:r>
    </w:p>
    <w:p>
      <w:pPr>
        <w:widowControl/>
        <w:spacing w:line="360" w:lineRule="auto"/>
        <w:ind w:firstLine="640" w:firstLineChars="200"/>
        <w:jc w:val="left"/>
        <w:rPr>
          <w:rFonts w:hint="eastAsia" w:ascii="Times New Roman" w:eastAsia="仿宋_GB2312"/>
          <w:sz w:val="32"/>
          <w:szCs w:val="32"/>
        </w:rPr>
      </w:pPr>
      <w:r>
        <w:rPr>
          <w:rFonts w:hint="eastAsia" w:ascii="Times New Roman" w:eastAsia="仿宋_GB2312"/>
          <w:sz w:val="32"/>
          <w:szCs w:val="32"/>
        </w:rPr>
        <w:t>(三)依法审判上级人民法院指定、同级人民法院移</w:t>
      </w:r>
    </w:p>
    <w:p>
      <w:pPr>
        <w:widowControl/>
        <w:spacing w:line="360" w:lineRule="auto"/>
        <w:jc w:val="left"/>
        <w:rPr>
          <w:rFonts w:hint="eastAsia" w:ascii="Times New Roman" w:eastAsia="仿宋_GB2312"/>
          <w:sz w:val="32"/>
          <w:szCs w:val="32"/>
        </w:rPr>
      </w:pPr>
      <w:r>
        <w:rPr>
          <w:rFonts w:hint="eastAsia" w:ascii="Times New Roman" w:eastAsia="仿宋_GB2312"/>
          <w:sz w:val="32"/>
          <w:szCs w:val="32"/>
        </w:rPr>
        <w:t>送的刑事、民事、行政等第一审案件。​</w:t>
      </w:r>
    </w:p>
    <w:p>
      <w:pPr>
        <w:widowControl/>
        <w:spacing w:line="360" w:lineRule="auto"/>
        <w:ind w:firstLine="640" w:firstLineChars="200"/>
        <w:jc w:val="left"/>
        <w:rPr>
          <w:rFonts w:hint="eastAsia" w:ascii="Times New Roman" w:eastAsia="仿宋_GB2312"/>
          <w:sz w:val="32"/>
          <w:szCs w:val="32"/>
        </w:rPr>
      </w:pPr>
      <w:r>
        <w:rPr>
          <w:rFonts w:hint="eastAsia" w:ascii="Times New Roman" w:eastAsia="仿宋_GB2312"/>
          <w:sz w:val="32"/>
          <w:szCs w:val="32"/>
        </w:rPr>
        <w:t>(四)审查和受理各类申诉案件，审判各类再审案件，</w:t>
      </w:r>
    </w:p>
    <w:p>
      <w:pPr>
        <w:widowControl/>
        <w:spacing w:line="360" w:lineRule="auto"/>
        <w:jc w:val="left"/>
        <w:rPr>
          <w:rFonts w:hint="eastAsia" w:ascii="Times New Roman" w:eastAsia="仿宋_GB2312"/>
          <w:sz w:val="32"/>
          <w:szCs w:val="32"/>
        </w:rPr>
      </w:pPr>
      <w:r>
        <w:rPr>
          <w:rFonts w:hint="eastAsia" w:ascii="Times New Roman" w:eastAsia="仿宋_GB2312"/>
          <w:sz w:val="32"/>
          <w:szCs w:val="32"/>
        </w:rPr>
        <w:t>处理来信来访。 ​</w:t>
      </w:r>
    </w:p>
    <w:p>
      <w:pPr>
        <w:widowControl/>
        <w:spacing w:line="360" w:lineRule="auto"/>
        <w:ind w:firstLine="640" w:firstLineChars="200"/>
        <w:jc w:val="left"/>
        <w:rPr>
          <w:rFonts w:hint="eastAsia" w:ascii="Times New Roman" w:eastAsia="仿宋_GB2312"/>
          <w:sz w:val="32"/>
          <w:szCs w:val="32"/>
        </w:rPr>
      </w:pPr>
      <w:r>
        <w:rPr>
          <w:rFonts w:hint="eastAsia" w:ascii="Times New Roman" w:eastAsia="仿宋_GB2312"/>
          <w:sz w:val="32"/>
          <w:szCs w:val="32"/>
        </w:rPr>
        <w:t>(五)依法办理发生法律效力的民事、行政案件判决</w:t>
      </w:r>
    </w:p>
    <w:p>
      <w:pPr>
        <w:widowControl/>
        <w:spacing w:line="360" w:lineRule="auto"/>
        <w:jc w:val="left"/>
        <w:rPr>
          <w:rFonts w:hint="eastAsia" w:ascii="Times New Roman" w:eastAsia="仿宋_GB2312"/>
          <w:sz w:val="32"/>
          <w:szCs w:val="32"/>
        </w:rPr>
      </w:pPr>
      <w:r>
        <w:rPr>
          <w:rFonts w:hint="eastAsia" w:ascii="Times New Roman" w:eastAsia="仿宋_GB2312"/>
          <w:sz w:val="32"/>
          <w:szCs w:val="32"/>
        </w:rPr>
        <w:t>和裁定执行事项及刑事案件判决和裁定中关于财产部分</w:t>
      </w:r>
    </w:p>
    <w:p>
      <w:pPr>
        <w:widowControl/>
        <w:spacing w:line="360" w:lineRule="auto"/>
        <w:jc w:val="left"/>
        <w:rPr>
          <w:rFonts w:hint="eastAsia" w:ascii="Times New Roman" w:eastAsia="仿宋_GB2312"/>
          <w:sz w:val="32"/>
          <w:szCs w:val="32"/>
        </w:rPr>
      </w:pPr>
      <w:r>
        <w:rPr>
          <w:rFonts w:hint="eastAsia" w:ascii="Times New Roman" w:eastAsia="仿宋_GB2312"/>
          <w:sz w:val="32"/>
          <w:szCs w:val="32"/>
        </w:rPr>
        <w:t>的执行事项；办理法律规定由基层人民法院执行的其他</w:t>
      </w:r>
    </w:p>
    <w:p>
      <w:pPr>
        <w:widowControl/>
        <w:spacing w:line="360" w:lineRule="auto"/>
        <w:jc w:val="left"/>
        <w:rPr>
          <w:rFonts w:hint="eastAsia" w:ascii="Times New Roman" w:eastAsia="仿宋_GB2312"/>
          <w:sz w:val="32"/>
          <w:szCs w:val="32"/>
        </w:rPr>
      </w:pPr>
      <w:r>
        <w:rPr>
          <w:rFonts w:hint="eastAsia" w:ascii="Times New Roman" w:eastAsia="仿宋_GB2312"/>
          <w:sz w:val="32"/>
          <w:szCs w:val="32"/>
        </w:rPr>
        <w:t>法律文书的执行事项。​</w:t>
      </w:r>
    </w:p>
    <w:p>
      <w:pPr>
        <w:widowControl/>
        <w:spacing w:line="360" w:lineRule="auto"/>
        <w:ind w:firstLine="640" w:firstLineChars="200"/>
        <w:jc w:val="left"/>
        <w:rPr>
          <w:rFonts w:hint="eastAsia" w:ascii="Times New Roman" w:eastAsia="仿宋_GB2312"/>
          <w:sz w:val="32"/>
          <w:szCs w:val="32"/>
        </w:rPr>
      </w:pPr>
      <w:r>
        <w:rPr>
          <w:rFonts w:hint="eastAsia" w:ascii="Times New Roman" w:eastAsia="仿宋_GB2312"/>
          <w:sz w:val="32"/>
          <w:szCs w:val="32"/>
        </w:rPr>
        <w:t>(六)负责审判工作的调查研究，总结审判工作经验。</w:t>
      </w:r>
    </w:p>
    <w:p>
      <w:pPr>
        <w:widowControl/>
        <w:spacing w:line="360" w:lineRule="auto"/>
        <w:ind w:firstLine="640" w:firstLineChars="200"/>
        <w:jc w:val="left"/>
        <w:rPr>
          <w:rFonts w:hint="eastAsia" w:ascii="Times New Roman" w:eastAsia="仿宋_GB2312"/>
          <w:sz w:val="32"/>
          <w:szCs w:val="32"/>
        </w:rPr>
      </w:pPr>
      <w:r>
        <w:rPr>
          <w:rFonts w:hint="eastAsia" w:ascii="Times New Roman" w:eastAsia="仿宋_GB2312"/>
          <w:sz w:val="32"/>
          <w:szCs w:val="32"/>
        </w:rPr>
        <w:t>(七)负责干警思想政治教育和业务培训工作；按照</w:t>
      </w:r>
    </w:p>
    <w:p>
      <w:pPr>
        <w:widowControl/>
        <w:spacing w:line="360" w:lineRule="auto"/>
        <w:jc w:val="left"/>
        <w:rPr>
          <w:rFonts w:hint="eastAsia" w:ascii="Times New Roman" w:eastAsia="仿宋_GB2312"/>
          <w:sz w:val="32"/>
          <w:szCs w:val="32"/>
        </w:rPr>
      </w:pPr>
      <w:r>
        <w:rPr>
          <w:rFonts w:hint="eastAsia" w:ascii="Times New Roman" w:eastAsia="仿宋_GB2312"/>
          <w:sz w:val="32"/>
          <w:szCs w:val="32"/>
        </w:rPr>
        <w:t>权限管理法官和其他工作人员。​</w:t>
      </w:r>
    </w:p>
    <w:p>
      <w:pPr>
        <w:widowControl/>
        <w:spacing w:line="360" w:lineRule="auto"/>
        <w:ind w:firstLine="640" w:firstLineChars="200"/>
        <w:jc w:val="left"/>
        <w:rPr>
          <w:rFonts w:hint="eastAsia" w:ascii="Times New Roman" w:eastAsia="仿宋_GB2312"/>
          <w:sz w:val="32"/>
          <w:szCs w:val="32"/>
        </w:rPr>
      </w:pPr>
      <w:r>
        <w:rPr>
          <w:rFonts w:hint="eastAsia" w:ascii="Times New Roman" w:eastAsia="仿宋_GB2312"/>
          <w:sz w:val="32"/>
          <w:szCs w:val="32"/>
        </w:rPr>
        <w:t>(八)管理有关经费和物资装备。​</w:t>
      </w:r>
    </w:p>
    <w:p>
      <w:pPr>
        <w:widowControl/>
        <w:spacing w:line="360" w:lineRule="auto"/>
        <w:ind w:firstLine="640" w:firstLineChars="200"/>
        <w:jc w:val="left"/>
        <w:rPr>
          <w:rFonts w:hint="eastAsia" w:ascii="Times New Roman" w:eastAsia="仿宋_GB2312"/>
          <w:sz w:val="32"/>
          <w:szCs w:val="32"/>
        </w:rPr>
      </w:pPr>
      <w:r>
        <w:rPr>
          <w:rFonts w:hint="eastAsia" w:ascii="Times New Roman" w:eastAsia="仿宋_GB2312"/>
          <w:sz w:val="32"/>
          <w:szCs w:val="32"/>
        </w:rPr>
        <w:t>(九)负责司法技术鉴定、通讯、计算机等技术管理</w:t>
      </w:r>
    </w:p>
    <w:p>
      <w:pPr>
        <w:widowControl/>
        <w:spacing w:line="360" w:lineRule="auto"/>
        <w:jc w:val="left"/>
        <w:rPr>
          <w:rFonts w:hint="eastAsia" w:ascii="Times New Roman" w:eastAsia="仿宋_GB2312"/>
          <w:sz w:val="32"/>
          <w:szCs w:val="32"/>
        </w:rPr>
      </w:pPr>
      <w:r>
        <w:rPr>
          <w:rFonts w:hint="eastAsia" w:ascii="Times New Roman" w:eastAsia="仿宋_GB2312"/>
          <w:sz w:val="32"/>
          <w:szCs w:val="32"/>
        </w:rPr>
        <w:t>工作。 ​</w:t>
      </w:r>
    </w:p>
    <w:p>
      <w:pPr>
        <w:widowControl/>
        <w:spacing w:line="360" w:lineRule="auto"/>
        <w:ind w:firstLine="640" w:firstLineChars="200"/>
        <w:jc w:val="left"/>
        <w:rPr>
          <w:rFonts w:hint="eastAsia" w:ascii="Times New Roman" w:eastAsia="仿宋_GB2312"/>
          <w:sz w:val="32"/>
          <w:szCs w:val="32"/>
        </w:rPr>
      </w:pPr>
      <w:r>
        <w:rPr>
          <w:rFonts w:hint="eastAsia" w:ascii="Times New Roman" w:eastAsia="仿宋_GB2312"/>
          <w:sz w:val="32"/>
          <w:szCs w:val="32"/>
        </w:rPr>
        <w:t>(十)负责审判工作中的法制宣传，教育公民忠于祖</w:t>
      </w:r>
    </w:p>
    <w:p>
      <w:pPr>
        <w:widowControl/>
        <w:spacing w:line="360" w:lineRule="auto"/>
        <w:jc w:val="left"/>
        <w:rPr>
          <w:rFonts w:hint="eastAsia" w:ascii="Times New Roman" w:eastAsia="仿宋_GB2312"/>
          <w:sz w:val="32"/>
          <w:szCs w:val="32"/>
        </w:rPr>
      </w:pPr>
      <w:r>
        <w:rPr>
          <w:rFonts w:hint="eastAsia" w:ascii="Times New Roman" w:eastAsia="仿宋_GB2312"/>
          <w:sz w:val="32"/>
          <w:szCs w:val="32"/>
        </w:rPr>
        <w:t>国，自觉遵守宪法、法律和社会公德。 ​</w:t>
      </w:r>
    </w:p>
    <w:p>
      <w:pPr>
        <w:widowControl/>
        <w:spacing w:line="360" w:lineRule="auto"/>
        <w:ind w:firstLine="640" w:firstLineChars="200"/>
        <w:jc w:val="left"/>
        <w:rPr>
          <w:rFonts w:ascii="Times New Roman" w:eastAsia="仿宋_GB2312"/>
          <w:sz w:val="32"/>
          <w:szCs w:val="32"/>
        </w:rPr>
      </w:pPr>
      <w:r>
        <w:rPr>
          <w:rFonts w:hint="eastAsia" w:ascii="Times New Roman" w:eastAsia="仿宋_GB2312"/>
          <w:sz w:val="32"/>
          <w:szCs w:val="32"/>
        </w:rPr>
        <w:t>(十一)完成其他应由</w:t>
      </w:r>
      <w:r>
        <w:rPr>
          <w:rFonts w:hint="eastAsia" w:ascii="Times New Roman" w:eastAsia="仿宋_GB2312"/>
          <w:sz w:val="32"/>
          <w:szCs w:val="32"/>
          <w:lang w:eastAsia="zh-CN"/>
        </w:rPr>
        <w:t>赞皇</w:t>
      </w:r>
      <w:r>
        <w:rPr>
          <w:rFonts w:hint="eastAsia" w:ascii="Times New Roman" w:eastAsia="仿宋_GB2312"/>
          <w:sz w:val="32"/>
          <w:szCs w:val="32"/>
        </w:rPr>
        <w:t>县人民法院负责的工作。</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”）共</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1"/>
        <w:tblpPr w:leftFromText="180" w:rightFromText="180" w:vertAnchor="text" w:horzAnchor="page" w:tblpXSpec="center" w:tblpY="10"/>
        <w:tblOverlap w:val="never"/>
        <w:tblW w:w="9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tcPr>
          <w:p>
            <w:pPr>
              <w:spacing w:line="560" w:lineRule="exact"/>
              <w:jc w:val="center"/>
              <w:rPr>
                <w:rFonts w:hint="eastAsia" w:ascii="仿宋_GB2312" w:hAnsi="Calibri" w:eastAsia="仿宋_GB2312" w:cs="ArialUnicodeMS"/>
                <w:kern w:val="0"/>
                <w:sz w:val="28"/>
                <w:szCs w:val="28"/>
              </w:rPr>
            </w:pPr>
            <w:r>
              <w:rPr>
                <w:rFonts w:hint="eastAsia" w:ascii="仿宋_GB2312" w:hAnsi="Calibri" w:eastAsia="仿宋_GB2312" w:cs="ArialUnicodeMS"/>
                <w:kern w:val="0"/>
                <w:sz w:val="28"/>
                <w:szCs w:val="28"/>
                <w:lang w:eastAsia="zh-CN"/>
              </w:rPr>
              <w:t>赞皇</w:t>
            </w:r>
            <w:r>
              <w:rPr>
                <w:rFonts w:hint="eastAsia" w:ascii="仿宋_GB2312" w:hAnsi="Calibri" w:eastAsia="仿宋_GB2312" w:cs="ArialUnicodeMS"/>
                <w:kern w:val="0"/>
                <w:sz w:val="28"/>
                <w:szCs w:val="28"/>
              </w:rPr>
              <w:t>县人民法院</w:t>
            </w:r>
          </w:p>
          <w:p>
            <w:pPr>
              <w:spacing w:line="560" w:lineRule="exact"/>
              <w:jc w:val="center"/>
              <w:rPr>
                <w:rFonts w:ascii="仿宋_GB2312" w:hAnsi="Calibri" w:eastAsia="仿宋_GB2312" w:cs="ArialUnicodeMS"/>
                <w:kern w:val="0"/>
                <w:sz w:val="28"/>
                <w:szCs w:val="28"/>
              </w:rPr>
            </w:pPr>
          </w:p>
        </w:tc>
        <w:tc>
          <w:tcPr>
            <w:tcW w:w="2445" w:type="dxa"/>
          </w:tcPr>
          <w:p>
            <w:pPr>
              <w:spacing w:line="560" w:lineRule="exact"/>
              <w:jc w:val="center"/>
              <w:rPr>
                <w:rFonts w:hint="eastAsia" w:ascii="仿宋_GB2312" w:hAnsi="Calibri" w:eastAsia="仿宋_GB2312" w:cs="ArialUnicodeMS"/>
                <w:kern w:val="0"/>
                <w:sz w:val="28"/>
                <w:szCs w:val="28"/>
              </w:rPr>
            </w:pPr>
            <w:r>
              <w:rPr>
                <w:rFonts w:hint="eastAsia" w:ascii="仿宋_GB2312" w:hAnsi="Calibri" w:eastAsia="仿宋_GB2312" w:cs="ArialUnicodeMS"/>
                <w:kern w:val="0"/>
                <w:sz w:val="28"/>
                <w:szCs w:val="28"/>
              </w:rPr>
              <w:t>行政单位</w:t>
            </w:r>
          </w:p>
          <w:p>
            <w:pPr>
              <w:spacing w:line="560" w:lineRule="exact"/>
              <w:jc w:val="center"/>
              <w:rPr>
                <w:rFonts w:ascii="仿宋_GB2312" w:hAnsi="Calibri" w:eastAsia="仿宋_GB2312" w:cs="ArialUnicodeMS"/>
                <w:kern w:val="0"/>
                <w:sz w:val="28"/>
                <w:szCs w:val="28"/>
              </w:rPr>
            </w:pPr>
          </w:p>
        </w:tc>
        <w:tc>
          <w:tcPr>
            <w:tcW w:w="266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Times New Roman" w:hAnsi="Times New Roman" w:eastAsia="黑体" w:cs="Times New Roman"/>
          <w:sz w:val="32"/>
          <w:szCs w:val="32"/>
          <w:highlight w:val="none"/>
        </w:rPr>
      </w:pPr>
      <w:r>
        <w:rPr>
          <w:rFonts w:hint="eastAsia" w:ascii="Times New Roman" w:hAnsi="Times New Roman" w:eastAsia="黑体" w:cs="Times New Roman"/>
          <w:sz w:val="32"/>
          <w:szCs w:val="32"/>
          <w:highlight w:val="none"/>
        </w:rPr>
        <w:t>我部门无二级预算单位，因此，</w:t>
      </w:r>
      <w:r>
        <w:rPr>
          <w:rFonts w:hint="eastAsia" w:ascii="Times New Roman" w:hAnsi="Times New Roman" w:eastAsia="黑体" w:cs="Times New Roman"/>
          <w:sz w:val="32"/>
          <w:szCs w:val="32"/>
          <w:highlight w:val="none"/>
          <w:lang w:eastAsia="zh-CN"/>
        </w:rPr>
        <w:t>赞皇</w:t>
      </w:r>
      <w:r>
        <w:rPr>
          <w:rFonts w:hint="eastAsia" w:ascii="Times New Roman" w:hAnsi="Times New Roman" w:eastAsia="黑体" w:cs="Times New Roman"/>
          <w:sz w:val="32"/>
          <w:szCs w:val="32"/>
          <w:highlight w:val="none"/>
        </w:rPr>
        <w:t>县人民法院 2023</w:t>
      </w:r>
    </w:p>
    <w:p>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none"/>
        </w:rPr>
        <w:t>年度部门决算即</w:t>
      </w:r>
      <w:r>
        <w:rPr>
          <w:rFonts w:hint="eastAsia" w:ascii="Times New Roman" w:hAnsi="Times New Roman" w:eastAsia="黑体" w:cs="Times New Roman"/>
          <w:sz w:val="32"/>
          <w:szCs w:val="32"/>
          <w:highlight w:val="none"/>
          <w:lang w:eastAsia="zh-CN"/>
        </w:rPr>
        <w:t>赞皇</w:t>
      </w:r>
      <w:r>
        <w:rPr>
          <w:rFonts w:hint="eastAsia" w:ascii="Times New Roman" w:hAnsi="Times New Roman" w:eastAsia="黑体" w:cs="Times New Roman"/>
          <w:sz w:val="32"/>
          <w:szCs w:val="32"/>
          <w:highlight w:val="none"/>
        </w:rPr>
        <w:t>县人民法院本级 2023 年度决算。</w:t>
      </w:r>
      <w:r>
        <w:rPr>
          <w:rFonts w:hint="eastAsia" w:ascii="Times New Roman" w:hAnsi="Times New Roman" w:eastAsia="黑体" w:cs="Times New Roman"/>
          <w:sz w:val="32"/>
          <w:szCs w:val="32"/>
          <w:highlight w:val="yellow"/>
        </w:rPr>
        <w:br w:type="page"/>
      </w:r>
    </w:p>
    <w:p>
      <w:pPr>
        <w:widowControl/>
        <w:spacing w:after="160" w:line="580" w:lineRule="exact"/>
        <w:ind w:firstLine="640" w:firstLineChars="200"/>
        <w:rPr>
          <w:rFonts w:hint="eastAsia" w:ascii="Times New Roman" w:hAnsi="Times New Roman" w:eastAsia="黑体" w:cs="Times New Roman"/>
          <w:sz w:val="32"/>
          <w:szCs w:val="32"/>
          <w:highlight w:val="yellow"/>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8" w:type="default"/>
          <w:pgSz w:w="11906" w:h="16838"/>
          <w:pgMar w:top="1531" w:right="1984" w:bottom="1531" w:left="2098" w:header="851" w:footer="992" w:gutter="0"/>
          <w:cols w:space="720" w:num="1"/>
          <w:docGrid w:type="lines" w:linePitch="312" w:charSpace="0"/>
        </w:sectPr>
      </w:pPr>
    </w:p>
    <w:tbl>
      <w:tblPr>
        <w:tblStyle w:val="11"/>
        <w:tblW w:w="11659" w:type="dxa"/>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61" w:hRule="atLeast"/>
        </w:trPr>
        <w:tc>
          <w:tcPr>
            <w:tcW w:w="11625" w:type="dxa"/>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57" w:hRule="atLeast"/>
        </w:trPr>
        <w:tc>
          <w:tcPr>
            <w:tcW w:w="11625" w:type="dxa"/>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51" w:hRule="atLeast"/>
        </w:trPr>
        <w:tc>
          <w:tcPr>
            <w:tcW w:w="4581" w:type="dxa"/>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编制部门（单位）：赞皇县人民法院</w:t>
            </w:r>
          </w:p>
        </w:tc>
        <w:tc>
          <w:tcPr>
            <w:tcW w:w="2945" w:type="dxa"/>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099" w:type="dxa"/>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544" w:hRule="atLeast"/>
        </w:trPr>
        <w:tc>
          <w:tcPr>
            <w:tcW w:w="5898" w:type="dxa"/>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5727" w:type="dxa"/>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92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92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1,724.16</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1,472.88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121.91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62.70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928"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928"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62.14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928"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928"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1,724.16</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1,724.16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1,724.16</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1,724.16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1659"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1"/>
        <w:tblW w:w="923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编制部门（单位）：赞皇县人民法院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1,724.16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1,724.16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党委办公厅（室）及相关机构事务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2013105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专项业务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公共安全支出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1,472.88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1,472.88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法院</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1,472.88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1,472.88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2040501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760.34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760.34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2040502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375.08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375.08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2040599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其他法院支出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337.46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337.46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121.91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121.91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121.91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121.91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69.60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69.60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52.31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52.31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62.70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62.70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62.70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62.70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62.70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62.70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62.14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62.14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62.14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62.14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62.14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62.14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934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jc w:val="center"/>
        </w:trPr>
        <w:tc>
          <w:tcPr>
            <w:tcW w:w="9346" w:type="dxa"/>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9346"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3481" w:type="dxa"/>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编制部门（单位）：赞皇县人民法院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2623"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242"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227"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128"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2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112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148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28"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126"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126"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126"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126"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8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1,724.16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1,007.09</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717.07</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党委办公厅（室）及相关机构事务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2013105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专项业务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公共安全支出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1,472.88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760.34</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712.54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法院</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1,472.88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760.34</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712.54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2040501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760.34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760.34</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2040502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375.08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375.08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2040599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其他法院支出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337.46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337.46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121.91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121.91</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121.91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121.91</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69.60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69.60</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52.31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52.31</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62.70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62.70</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62.70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62.70</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62.70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62.70</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62.14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62.14</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62.14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62.14</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62.14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62.14</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9346"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709" w:type="dxa"/>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1709"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1709"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5694" w:type="dxa"/>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编制部门（单位）：赞皇县人民法院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521" w:type="dxa"/>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494" w:type="dxa"/>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35" w:type="dxa"/>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7674" w:type="dxa"/>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984"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42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2098"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295" w:type="dxa"/>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984"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2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98"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95" w:type="dxa"/>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4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29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219" w:type="dxa"/>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1,724.16</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4.53</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4.53</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1,472.88</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1,472.88</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121.91</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121.91</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62.70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62.70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427"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295"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62.14</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62.14</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427"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295"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1,724.16</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1,724.16</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1,724.16</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427"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1,724.16</w:t>
            </w:r>
          </w:p>
        </w:tc>
        <w:tc>
          <w:tcPr>
            <w:tcW w:w="2098" w:type="dxa"/>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1295" w:type="dxa"/>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1,724.16</w:t>
            </w:r>
          </w:p>
        </w:tc>
        <w:tc>
          <w:tcPr>
            <w:tcW w:w="1219" w:type="dxa"/>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1,724.16</w:t>
            </w:r>
          </w:p>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1709" w:type="dxa"/>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1"/>
        <w:tblW w:w="11338" w:type="dxa"/>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0"/>
        <w:gridCol w:w="4"/>
        <w:gridCol w:w="885"/>
        <w:gridCol w:w="929"/>
        <w:gridCol w:w="506"/>
        <w:gridCol w:w="514"/>
        <w:gridCol w:w="275"/>
        <w:gridCol w:w="689"/>
        <w:gridCol w:w="438"/>
        <w:gridCol w:w="340"/>
        <w:gridCol w:w="1036"/>
        <w:gridCol w:w="491"/>
        <w:gridCol w:w="96"/>
        <w:gridCol w:w="377"/>
        <w:gridCol w:w="256"/>
        <w:gridCol w:w="708"/>
        <w:gridCol w:w="1548"/>
        <w:gridCol w:w="266"/>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550" w:hRule="atLeast"/>
        </w:trPr>
        <w:tc>
          <w:tcPr>
            <w:tcW w:w="9092" w:type="dxa"/>
            <w:gridSpan w:val="16"/>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0" w:hRule="atLeast"/>
        </w:trPr>
        <w:tc>
          <w:tcPr>
            <w:tcW w:w="9092" w:type="dxa"/>
            <w:gridSpan w:val="16"/>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0" w:hRule="atLeast"/>
        </w:trPr>
        <w:tc>
          <w:tcPr>
            <w:tcW w:w="3113" w:type="dxa"/>
            <w:gridSpan w:val="6"/>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编制部门（单位）：赞皇县人民法院</w:t>
            </w:r>
          </w:p>
        </w:tc>
        <w:tc>
          <w:tcPr>
            <w:tcW w:w="2994" w:type="dxa"/>
            <w:gridSpan w:val="5"/>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985" w:type="dxa"/>
            <w:gridSpan w:val="5"/>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445" w:hRule="atLeast"/>
        </w:trPr>
        <w:tc>
          <w:tcPr>
            <w:tcW w:w="2324"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768" w:type="dxa"/>
            <w:gridSpan w:val="1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12" w:hRule="atLeast"/>
        </w:trPr>
        <w:tc>
          <w:tcPr>
            <w:tcW w:w="889"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1435"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2256" w:type="dxa"/>
            <w:gridSpan w:val="5"/>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2256" w:type="dxa"/>
            <w:gridSpan w:val="5"/>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2256"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277" w:hRule="atLeast"/>
        </w:trPr>
        <w:tc>
          <w:tcPr>
            <w:tcW w:w="88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35"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256" w:type="dxa"/>
            <w:gridSpan w:val="5"/>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256" w:type="dxa"/>
            <w:gridSpan w:val="5"/>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12" w:hRule="atLeast"/>
        </w:trPr>
        <w:tc>
          <w:tcPr>
            <w:tcW w:w="88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35"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256" w:type="dxa"/>
            <w:gridSpan w:val="5"/>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256" w:type="dxa"/>
            <w:gridSpan w:val="5"/>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8" w:hRule="atLeast"/>
        </w:trPr>
        <w:tc>
          <w:tcPr>
            <w:tcW w:w="2324"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8" w:hRule="atLeast"/>
        </w:trPr>
        <w:tc>
          <w:tcPr>
            <w:tcW w:w="2324"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1,724.16</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1,007.09</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717.07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8" w:hRule="atLeast"/>
        </w:trPr>
        <w:tc>
          <w:tcPr>
            <w:tcW w:w="889"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1435"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4.53</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8" w:hRule="atLeast"/>
        </w:trPr>
        <w:tc>
          <w:tcPr>
            <w:tcW w:w="889"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20131</w:t>
            </w:r>
          </w:p>
        </w:tc>
        <w:tc>
          <w:tcPr>
            <w:tcW w:w="1435"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党委办公厅（室）及相关机构事务</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4.53</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8" w:hRule="atLeast"/>
        </w:trPr>
        <w:tc>
          <w:tcPr>
            <w:tcW w:w="889"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2013105</w:t>
            </w:r>
          </w:p>
        </w:tc>
        <w:tc>
          <w:tcPr>
            <w:tcW w:w="1435"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专项业务</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4.53</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8" w:hRule="atLeast"/>
        </w:trPr>
        <w:tc>
          <w:tcPr>
            <w:tcW w:w="889"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w:t>
            </w:r>
          </w:p>
        </w:tc>
        <w:tc>
          <w:tcPr>
            <w:tcW w:w="1435"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公共安全支出</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1,472.88</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760.34</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712.54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8" w:hRule="atLeast"/>
        </w:trPr>
        <w:tc>
          <w:tcPr>
            <w:tcW w:w="889"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20405</w:t>
            </w:r>
          </w:p>
        </w:tc>
        <w:tc>
          <w:tcPr>
            <w:tcW w:w="1435"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法院</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1,472.88</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760.34</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712.54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8" w:hRule="atLeast"/>
        </w:trPr>
        <w:tc>
          <w:tcPr>
            <w:tcW w:w="889"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2040501</w:t>
            </w:r>
          </w:p>
        </w:tc>
        <w:tc>
          <w:tcPr>
            <w:tcW w:w="1435"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760.34</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760.34</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8" w:hRule="atLeast"/>
        </w:trPr>
        <w:tc>
          <w:tcPr>
            <w:tcW w:w="889"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2040502</w:t>
            </w:r>
          </w:p>
        </w:tc>
        <w:tc>
          <w:tcPr>
            <w:tcW w:w="1435"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375.08</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375.08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8" w:hRule="atLeast"/>
        </w:trPr>
        <w:tc>
          <w:tcPr>
            <w:tcW w:w="889"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2040599</w:t>
            </w:r>
          </w:p>
        </w:tc>
        <w:tc>
          <w:tcPr>
            <w:tcW w:w="1435"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其他法院支出</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337.46</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337.46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8" w:hRule="atLeast"/>
        </w:trPr>
        <w:tc>
          <w:tcPr>
            <w:tcW w:w="889"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435"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121.91</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121.91</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8" w:hRule="atLeast"/>
        </w:trPr>
        <w:tc>
          <w:tcPr>
            <w:tcW w:w="889"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435"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121.91</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121.91</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8" w:hRule="atLeast"/>
        </w:trPr>
        <w:tc>
          <w:tcPr>
            <w:tcW w:w="889"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1435"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69.60</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69.60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8" w:hRule="atLeast"/>
        </w:trPr>
        <w:tc>
          <w:tcPr>
            <w:tcW w:w="889"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435"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52.31</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52.31</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8" w:hRule="atLeast"/>
        </w:trPr>
        <w:tc>
          <w:tcPr>
            <w:tcW w:w="889"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435"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62.70</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62.70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8" w:hRule="atLeast"/>
        </w:trPr>
        <w:tc>
          <w:tcPr>
            <w:tcW w:w="889"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435"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62.70</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62.70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8" w:hRule="atLeast"/>
        </w:trPr>
        <w:tc>
          <w:tcPr>
            <w:tcW w:w="889"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1435"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62.70</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62.70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8" w:hRule="atLeast"/>
        </w:trPr>
        <w:tc>
          <w:tcPr>
            <w:tcW w:w="889"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435"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62.14</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62.14</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8" w:hRule="atLeast"/>
        </w:trPr>
        <w:tc>
          <w:tcPr>
            <w:tcW w:w="889"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435"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62.14</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62.14</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8" w:hRule="atLeast"/>
        </w:trPr>
        <w:tc>
          <w:tcPr>
            <w:tcW w:w="889"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435"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62.14</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62.14</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8" w:hRule="atLeast"/>
        </w:trPr>
        <w:tc>
          <w:tcPr>
            <w:tcW w:w="9092" w:type="dxa"/>
            <w:gridSpan w:val="16"/>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4" w:hRule="atLeast"/>
        </w:trPr>
        <w:tc>
          <w:tcPr>
            <w:tcW w:w="11338" w:type="dxa"/>
            <w:gridSpan w:val="19"/>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1338" w:type="dxa"/>
            <w:gridSpan w:val="19"/>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5200" w:type="dxa"/>
            <w:gridSpan w:val="9"/>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编制部门（单位）：赞皇县人民法院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1963" w:type="dxa"/>
            <w:gridSpan w:val="4"/>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175" w:type="dxa"/>
            <w:gridSpan w:val="6"/>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3798" w:type="dxa"/>
            <w:gridSpan w:val="6"/>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7540" w:type="dxa"/>
            <w:gridSpan w:val="1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731.35</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198.90</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234.00</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47.54</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109.87</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104.33</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106.00</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0.38</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52.31</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19.23</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29.19</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62.70</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8.70</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5.85</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62.14</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10.40</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76.85</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1.96</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69.60</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7.25</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12.65</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9.95</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18.09</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0.05</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33.20</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1.73</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778" w:type="dxa"/>
            <w:gridSpan w:val="4"/>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808.19</w:t>
            </w:r>
          </w:p>
        </w:tc>
        <w:tc>
          <w:tcPr>
            <w:tcW w:w="6520" w:type="dxa"/>
            <w:gridSpan w:val="12"/>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198.90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1338" w:type="dxa"/>
            <w:gridSpan w:val="19"/>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1"/>
        <w:tblW w:w="10480" w:type="dxa"/>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0480"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10480"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4040"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编制部门（单位）：赞皇县人民法院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2552"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888"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30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3373" w:type="dxa"/>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2040"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47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20"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46"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2040"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306"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110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112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11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20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69"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306" w:type="dxa"/>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0480" w:type="dxa"/>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80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8041"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8041"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2748" w:type="dxa"/>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编制部门（单位）：赞皇县人民法院</w:t>
            </w:r>
          </w:p>
        </w:tc>
        <w:tc>
          <w:tcPr>
            <w:tcW w:w="2680" w:type="dxa"/>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613"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4044"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3997" w:type="dxa"/>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4044"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3997" w:type="dxa"/>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017"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2027"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1337" w:type="dxa"/>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1338" w:type="dxa"/>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1322" w:type="dxa"/>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017" w:type="dxa"/>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27" w:type="dxa"/>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7" w:type="dxa"/>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8" w:type="dxa"/>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22"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44" w:type="dxa"/>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1332"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133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1332"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44"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1332"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33" w:type="dxa"/>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32" w:type="dxa"/>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041"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115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1596" w:type="dxa"/>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 w:hRule="atLeast"/>
        </w:trPr>
        <w:tc>
          <w:tcPr>
            <w:tcW w:w="11596" w:type="dxa"/>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 w:hRule="atLeast"/>
        </w:trPr>
        <w:tc>
          <w:tcPr>
            <w:tcW w:w="4492" w:type="dxa"/>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编制部门（单位）：赞皇县人民法院</w:t>
            </w:r>
          </w:p>
        </w:tc>
        <w:tc>
          <w:tcPr>
            <w:tcW w:w="2166"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938" w:type="dxa"/>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5813" w:type="dxa"/>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5783" w:type="dxa"/>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226"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823" w:type="dxa"/>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77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850" w:type="dxa"/>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133"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61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226"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777"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50" w:type="dxa"/>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133"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122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77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85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113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11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79.60</w:t>
            </w:r>
          </w:p>
        </w:tc>
        <w:tc>
          <w:tcPr>
            <w:tcW w:w="12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78.00</w:t>
            </w: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1063"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78.00</w:t>
            </w:r>
          </w:p>
        </w:tc>
        <w:tc>
          <w:tcPr>
            <w:tcW w:w="77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1.60</w:t>
            </w:r>
          </w:p>
        </w:tc>
        <w:tc>
          <w:tcPr>
            <w:tcW w:w="85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30.68</w:t>
            </w:r>
          </w:p>
        </w:tc>
        <w:tc>
          <w:tcPr>
            <w:tcW w:w="113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30.68</w:t>
            </w: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30.68</w:t>
            </w:r>
          </w:p>
        </w:tc>
        <w:tc>
          <w:tcPr>
            <w:tcW w:w="11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11596" w:type="dxa"/>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rPr>
          <w:rFonts w:hint="eastAsia" w:ascii="仿宋_GB2312" w:hAnsi="宋体" w:eastAsia="仿宋_GB2312"/>
          <w:b/>
          <w:color w:val="auto"/>
          <w:kern w:val="0"/>
          <w:sz w:val="32"/>
          <w:szCs w:val="32"/>
          <w:highlight w:val="none"/>
        </w:rPr>
        <w:sectPr>
          <w:pgSz w:w="11906" w:h="16838"/>
          <w:pgMar w:top="1531" w:right="1984" w:bottom="1531" w:left="2098" w:header="851" w:footer="992" w:gutter="0"/>
          <w:cols w:space="720" w:num="1"/>
          <w:docGrid w:type="lines" w:linePitch="312" w:charSpace="0"/>
        </w:sectPr>
      </w:pPr>
      <w:r>
        <w:rPr>
          <w:rFonts w:hint="eastAsia" w:ascii="仿宋_GB2312" w:hAnsi="宋体" w:eastAsia="仿宋_GB2312"/>
          <w:b/>
          <w:color w:val="auto"/>
          <w:kern w:val="0"/>
          <w:sz w:val="32"/>
          <w:szCs w:val="32"/>
          <w:highlight w:val="none"/>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eastAsia="zh-CN"/>
        </w:rPr>
        <w:t>本部门</w:t>
      </w:r>
      <w:r>
        <w:rPr>
          <w:rFonts w:hint="default" w:ascii="Times New Roman" w:hAnsi="Times New Roman" w:eastAsia="仿宋_GB2312" w:cs="Times New Roman"/>
          <w:kern w:val="2"/>
          <w:sz w:val="32"/>
          <w:szCs w:val="32"/>
          <w:lang w:val="zh-CN"/>
        </w:rPr>
        <w:t>2023年度收</w:t>
      </w:r>
      <w:r>
        <w:rPr>
          <w:rFonts w:hint="eastAsia"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en-US" w:eastAsia="zh-CN"/>
        </w:rPr>
        <w:t>支</w:t>
      </w:r>
      <w:r>
        <w:rPr>
          <w:rFonts w:hint="default" w:ascii="Times New Roman" w:hAnsi="Times New Roman" w:eastAsia="仿宋_GB2312" w:cs="Times New Roman"/>
          <w:kern w:val="2"/>
          <w:sz w:val="32"/>
          <w:szCs w:val="32"/>
          <w:lang w:val="zh-CN"/>
        </w:rPr>
        <w:t>总计</w:t>
      </w:r>
      <w:r>
        <w:rPr>
          <w:rFonts w:hint="eastAsia" w:ascii="Times New Roman" w:hAnsi="Times New Roman" w:eastAsia="仿宋_GB2312" w:cs="Times New Roman"/>
          <w:kern w:val="2"/>
          <w:sz w:val="32"/>
          <w:szCs w:val="32"/>
          <w:lang w:val="zh-CN"/>
        </w:rPr>
        <w:t>(含结转和结余)</w:t>
      </w:r>
      <w:r>
        <w:rPr>
          <w:rFonts w:hint="default" w:ascii="Times New Roman" w:hAnsi="Times New Roman" w:eastAsia="仿宋_GB2312" w:cs="Times New Roman"/>
          <w:kern w:val="2"/>
          <w:sz w:val="32"/>
          <w:szCs w:val="32"/>
          <w:lang w:val="zh-CN" w:eastAsia="zh-CN"/>
        </w:rPr>
        <w:t>1,724.16</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rPr>
        <w:t>元，与2022年度决算相比</w:t>
      </w:r>
      <w:r>
        <w:rPr>
          <w:rFonts w:hint="eastAsia"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rPr>
        <w:t>收支各</w:t>
      </w:r>
      <w:r>
        <w:rPr>
          <w:rFonts w:hint="eastAsia" w:ascii="Times New Roman" w:hAnsi="Times New Roman" w:eastAsia="仿宋_GB2312" w:cs="Times New Roman"/>
          <w:sz w:val="30"/>
          <w:szCs w:val="30"/>
          <w:highlight w:val="none"/>
          <w:lang w:val="zh-CN"/>
        </w:rPr>
        <w:t>增加</w:t>
      </w:r>
      <w:bookmarkStart w:id="0" w:name="OLE_LINK1"/>
      <w:r>
        <w:rPr>
          <w:rFonts w:hint="eastAsia" w:ascii="Times New Roman" w:hAnsi="Times New Roman" w:eastAsia="仿宋_GB2312" w:cs="Times New Roman"/>
          <w:sz w:val="30"/>
          <w:szCs w:val="30"/>
          <w:highlight w:val="none"/>
          <w:lang w:val="en-US" w:eastAsia="zh-CN"/>
        </w:rPr>
        <w:t>355.74</w:t>
      </w:r>
      <w:bookmarkEnd w:id="0"/>
      <w:r>
        <w:rPr>
          <w:rFonts w:hint="eastAsia" w:ascii="Times New Roman" w:hAnsi="Times New Roman" w:eastAsia="仿宋_GB2312" w:cs="Times New Roman"/>
          <w:sz w:val="30"/>
          <w:szCs w:val="30"/>
          <w:highlight w:val="none"/>
          <w:lang w:val="zh-CN"/>
        </w:rPr>
        <w:t>万元</w:t>
      </w:r>
      <w:r>
        <w:rPr>
          <w:rFonts w:hint="eastAsia" w:ascii="Times New Roman" w:hAnsi="Times New Roman" w:eastAsia="仿宋_GB2312" w:cs="Times New Roman"/>
          <w:sz w:val="30"/>
          <w:szCs w:val="30"/>
          <w:highlight w:val="none"/>
          <w:lang w:val="en-US" w:eastAsia="zh-CN"/>
        </w:rPr>
        <w:t>,</w:t>
      </w:r>
      <w:r>
        <w:rPr>
          <w:rFonts w:hint="eastAsia" w:ascii="Times New Roman" w:hAnsi="Times New Roman" w:eastAsia="仿宋_GB2312" w:cs="Times New Roman"/>
          <w:sz w:val="30"/>
          <w:szCs w:val="30"/>
          <w:highlight w:val="none"/>
          <w:lang w:val="zh-CN"/>
        </w:rPr>
        <w:t>增长</w:t>
      </w:r>
      <w:r>
        <w:rPr>
          <w:rFonts w:hint="eastAsia" w:ascii="Times New Roman" w:hAnsi="Times New Roman" w:eastAsia="仿宋_GB2312" w:cs="Times New Roman"/>
          <w:sz w:val="30"/>
          <w:szCs w:val="30"/>
          <w:highlight w:val="none"/>
          <w:lang w:val="en-US" w:eastAsia="zh-CN"/>
        </w:rPr>
        <w:t>20.64</w:t>
      </w:r>
      <w:r>
        <w:rPr>
          <w:rFonts w:hint="eastAsia" w:ascii="Times New Roman" w:hAnsi="Times New Roman" w:eastAsia="仿宋_GB2312" w:cs="Times New Roman"/>
          <w:sz w:val="30"/>
          <w:szCs w:val="30"/>
          <w:highlight w:val="none"/>
          <w:lang w:val="zh-CN"/>
        </w:rPr>
        <w:t>%，</w:t>
      </w:r>
      <w:r>
        <w:rPr>
          <w:rFonts w:hint="default" w:ascii="Times New Roman" w:hAnsi="Times New Roman" w:eastAsia="仿宋_GB2312" w:cs="Times New Roman"/>
          <w:kern w:val="2"/>
          <w:sz w:val="32"/>
          <w:szCs w:val="32"/>
        </w:rPr>
        <w:t>主要是</w:t>
      </w:r>
      <w:bookmarkStart w:id="1" w:name="OLE_LINK2"/>
      <w:r>
        <w:rPr>
          <w:rFonts w:ascii="宋体" w:hAnsi="宋体" w:eastAsia="宋体"/>
          <w:sz w:val="32"/>
          <w:szCs w:val="32"/>
        </w:rPr>
        <w:t>人员经费及项目经费收支增加</w:t>
      </w:r>
      <w:bookmarkEnd w:id="1"/>
      <w:r>
        <w:rPr>
          <w:rFonts w:hint="default" w:ascii="Times New Roman" w:hAnsi="Times New Roman" w:eastAsia="仿宋_GB2312" w:cs="Times New Roman"/>
          <w:kern w:val="2"/>
          <w:sz w:val="32"/>
          <w:szCs w:val="32"/>
          <w:lang w:val="en-US" w:eastAsia="zh-CN" w:bidi="ar-SA"/>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1524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rPr>
      </w:pPr>
      <w:r>
        <w:rPr>
          <w:rFonts w:hint="default" w:ascii="Times New Roman" w:hAnsi="Times New Roman" w:eastAsia="仿宋_GB2312" w:cs="Times New Roman"/>
          <w:kern w:val="2"/>
          <w:sz w:val="32"/>
          <w:szCs w:val="32"/>
          <w:lang w:val="zh-CN" w:eastAsia="zh-CN"/>
        </w:rPr>
        <w:t>本部门2023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1,724.16</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w:t>
      </w:r>
      <w:r>
        <w:rPr>
          <w:rFonts w:hint="default" w:ascii="Times New Roman" w:hAnsi="Times New Roman" w:eastAsia="仿宋_GB2312" w:cs="Times New Roman"/>
          <w:kern w:val="2"/>
          <w:sz w:val="32"/>
          <w:szCs w:val="32"/>
          <w:lang w:val="zh-CN" w:eastAsia="zh-CN"/>
        </w:rPr>
        <w:t>1,724.16</w:t>
      </w:r>
      <w:r>
        <w:rPr>
          <w:rFonts w:hint="default" w:ascii="Times New Roman" w:hAnsi="Times New Roman" w:eastAsia="仿宋_GB2312" w:cs="Times New Roman"/>
          <w:kern w:val="2"/>
          <w:sz w:val="32"/>
          <w:szCs w:val="32"/>
          <w:lang w:val="zh-CN"/>
        </w:rPr>
        <w:t>万元，占</w:t>
      </w:r>
      <w:r>
        <w:rPr>
          <w:rFonts w:hint="default" w:ascii="Times New Roman" w:hAnsi="Times New Roman" w:eastAsia="仿宋_GB2312" w:cs="Times New Roman"/>
          <w:kern w:val="2"/>
          <w:sz w:val="32"/>
          <w:szCs w:val="32"/>
          <w:lang w:val="zh-CN" w:eastAsia="zh-CN"/>
        </w:rPr>
        <w:t>100%；</w:t>
      </w:r>
      <w:r>
        <w:rPr>
          <w:rFonts w:hint="default" w:ascii="Times New Roman" w:hAnsi="Times New Roman" w:eastAsia="仿宋_GB2312" w:cs="Times New Roman"/>
          <w:kern w:val="2"/>
          <w:sz w:val="32"/>
          <w:szCs w:val="32"/>
          <w:lang w:val="zh-CN"/>
        </w:rPr>
        <w:t>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en-US"/>
        </w:rPr>
      </w:pPr>
      <w:r>
        <w:rPr>
          <w:rFonts w:hint="default" w:ascii="Times New Roman" w:hAnsi="Times New Roman" w:eastAsia="仿宋_GB2312" w:cs="Times New Roman"/>
          <w:kern w:val="2"/>
          <w:sz w:val="32"/>
          <w:szCs w:val="32"/>
          <w:lang w:val="zh-CN" w:eastAsia="zh-CN"/>
        </w:rPr>
        <w:t>本部门2023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1,724.16万元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1,007.09万元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占58.41%；</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717.07万元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占41.59%；</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pPr>
        <w:autoSpaceDE w:val="0"/>
        <w:autoSpaceDN w:val="0"/>
        <w:adjustRightInd w:val="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cs="Times New Roman"/>
          <w:sz w:val="32"/>
          <w:szCs w:val="32"/>
          <w:highlight w:val="yellow"/>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年度财政拨款本年收入1,724.16</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sz w:val="30"/>
          <w:szCs w:val="30"/>
          <w:highlight w:val="none"/>
          <w:lang w:val="zh-CN"/>
        </w:rPr>
        <w:t>增加</w:t>
      </w:r>
      <w:bookmarkStart w:id="2" w:name="OLE_LINK3"/>
      <w:r>
        <w:rPr>
          <w:rFonts w:hint="eastAsia" w:ascii="Times New Roman" w:hAnsi="Times New Roman" w:eastAsia="仿宋_GB2312" w:cs="Times New Roman"/>
          <w:sz w:val="30"/>
          <w:szCs w:val="30"/>
          <w:highlight w:val="none"/>
          <w:lang w:val="en-US" w:eastAsia="zh-CN"/>
        </w:rPr>
        <w:t>355.74</w:t>
      </w:r>
      <w:r>
        <w:rPr>
          <w:rFonts w:hint="eastAsia" w:ascii="Times New Roman" w:hAnsi="Times New Roman" w:eastAsia="仿宋_GB2312" w:cs="Times New Roman"/>
          <w:sz w:val="30"/>
          <w:szCs w:val="30"/>
          <w:highlight w:val="none"/>
          <w:lang w:val="zh-CN"/>
        </w:rPr>
        <w:t>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zh-CN"/>
        </w:rPr>
        <w:t>增长</w:t>
      </w:r>
      <w:r>
        <w:rPr>
          <w:rFonts w:hint="eastAsia" w:ascii="Times New Roman" w:hAnsi="Times New Roman" w:eastAsia="仿宋_GB2312" w:cs="Times New Roman"/>
          <w:sz w:val="30"/>
          <w:szCs w:val="30"/>
          <w:highlight w:val="none"/>
          <w:lang w:val="en-US" w:eastAsia="zh-CN"/>
        </w:rPr>
        <w:t>20.64</w:t>
      </w:r>
      <w:r>
        <w:rPr>
          <w:rFonts w:hint="eastAsia" w:ascii="Times New Roman" w:hAnsi="Times New Roman" w:eastAsia="仿宋_GB2312" w:cs="Times New Roman"/>
          <w:sz w:val="30"/>
          <w:szCs w:val="30"/>
          <w:highlight w:val="none"/>
          <w:lang w:val="zh-CN"/>
        </w:rPr>
        <w:t>%，</w:t>
      </w:r>
      <w:r>
        <w:rPr>
          <w:rFonts w:hint="default" w:ascii="Times New Roman" w:hAnsi="Times New Roman" w:eastAsia="仿宋_GB2312" w:cs="Times New Roman"/>
          <w:color w:val="auto"/>
          <w:kern w:val="2"/>
          <w:sz w:val="32"/>
          <w:szCs w:val="32"/>
          <w:lang w:val="zh-CN" w:eastAsia="zh-CN" w:bidi="ar-SA"/>
        </w:rPr>
        <w:t>主要是</w:t>
      </w:r>
      <w:r>
        <w:rPr>
          <w:rFonts w:ascii="宋体" w:hAnsi="宋体" w:eastAsia="宋体"/>
          <w:sz w:val="32"/>
          <w:szCs w:val="32"/>
        </w:rPr>
        <w:t>人员经费及项目经费收支增加</w:t>
      </w:r>
      <w:bookmarkEnd w:id="2"/>
      <w:r>
        <w:rPr>
          <w:rFonts w:hint="default" w:ascii="Times New Roman" w:hAnsi="Times New Roman" w:eastAsia="仿宋_GB2312" w:cs="Times New Roman"/>
          <w:color w:val="auto"/>
          <w:kern w:val="2"/>
          <w:sz w:val="32"/>
          <w:szCs w:val="32"/>
          <w:lang w:val="zh-CN" w:eastAsia="zh-CN" w:bidi="ar-SA"/>
        </w:rPr>
        <w:t>；本年支出 1,724.16</w:t>
      </w:r>
      <w:r>
        <w:rPr>
          <w:rFonts w:hint="eastAsia"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sz w:val="30"/>
          <w:szCs w:val="30"/>
          <w:highlight w:val="none"/>
          <w:lang w:val="zh-CN"/>
        </w:rPr>
        <w:t>增加</w:t>
      </w:r>
      <w:r>
        <w:rPr>
          <w:rFonts w:hint="eastAsia" w:ascii="Times New Roman" w:hAnsi="Times New Roman" w:eastAsia="仿宋_GB2312" w:cs="Times New Roman"/>
          <w:sz w:val="30"/>
          <w:szCs w:val="30"/>
          <w:highlight w:val="none"/>
          <w:lang w:val="en-US" w:eastAsia="zh-CN"/>
        </w:rPr>
        <w:t>355.74</w:t>
      </w:r>
      <w:r>
        <w:rPr>
          <w:rFonts w:hint="eastAsia" w:ascii="Times New Roman" w:hAnsi="Times New Roman" w:eastAsia="仿宋_GB2312" w:cs="Times New Roman"/>
          <w:sz w:val="30"/>
          <w:szCs w:val="30"/>
          <w:highlight w:val="none"/>
          <w:lang w:val="zh-CN"/>
        </w:rPr>
        <w:t>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zh-CN"/>
        </w:rPr>
        <w:t>增长</w:t>
      </w:r>
      <w:r>
        <w:rPr>
          <w:rFonts w:hint="eastAsia" w:ascii="Times New Roman" w:hAnsi="Times New Roman" w:eastAsia="仿宋_GB2312" w:cs="Times New Roman"/>
          <w:sz w:val="30"/>
          <w:szCs w:val="30"/>
          <w:highlight w:val="none"/>
          <w:lang w:val="en-US" w:eastAsia="zh-CN"/>
        </w:rPr>
        <w:t>20.64</w:t>
      </w:r>
      <w:r>
        <w:rPr>
          <w:rFonts w:hint="eastAsia" w:ascii="Times New Roman" w:hAnsi="Times New Roman" w:eastAsia="仿宋_GB2312" w:cs="Times New Roman"/>
          <w:sz w:val="30"/>
          <w:szCs w:val="30"/>
          <w:highlight w:val="none"/>
          <w:lang w:val="zh-CN"/>
        </w:rPr>
        <w:t>%，</w:t>
      </w:r>
      <w:r>
        <w:rPr>
          <w:rFonts w:hint="default" w:ascii="Times New Roman" w:hAnsi="Times New Roman" w:eastAsia="仿宋_GB2312" w:cs="Times New Roman"/>
          <w:color w:val="auto"/>
          <w:kern w:val="2"/>
          <w:sz w:val="32"/>
          <w:szCs w:val="32"/>
          <w:lang w:val="zh-CN" w:eastAsia="zh-CN" w:bidi="ar-SA"/>
        </w:rPr>
        <w:t>主要是</w:t>
      </w:r>
      <w:r>
        <w:rPr>
          <w:rFonts w:ascii="宋体" w:hAnsi="宋体" w:eastAsia="宋体"/>
          <w:sz w:val="32"/>
          <w:szCs w:val="32"/>
        </w:rPr>
        <w:t>人员经费及项目经费收支增加</w:t>
      </w:r>
      <w:r>
        <w:rPr>
          <w:rFonts w:hint="eastAsia" w:ascii="宋体" w:hAnsi="宋体" w:eastAsia="宋体"/>
          <w:sz w:val="32"/>
          <w:szCs w:val="32"/>
          <w:lang w:eastAsia="zh-CN"/>
        </w:rPr>
        <w:t>。</w:t>
      </w:r>
      <w:r>
        <w:rPr>
          <w:rFonts w:hint="default" w:ascii="Times New Roman" w:hAnsi="Times New Roman" w:eastAsia="仿宋_GB2312" w:cs="Times New Roman"/>
          <w:color w:val="auto"/>
          <w:kern w:val="2"/>
          <w:sz w:val="32"/>
          <w:szCs w:val="32"/>
          <w:lang w:val="zh-CN" w:eastAsia="zh-CN" w:bidi="ar-SA"/>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一般公共预算财政拨款本年收入1,724.16</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w:t>
      </w:r>
      <w:r>
        <w:rPr>
          <w:rFonts w:hint="eastAsia" w:ascii="Times New Roman" w:hAnsi="Times New Roman" w:eastAsia="仿宋_GB2312" w:cs="Times New Roman"/>
          <w:sz w:val="30"/>
          <w:szCs w:val="30"/>
          <w:highlight w:val="none"/>
          <w:lang w:val="zh-CN"/>
        </w:rPr>
        <w:t>增加</w:t>
      </w:r>
      <w:r>
        <w:rPr>
          <w:rFonts w:hint="eastAsia" w:ascii="Times New Roman" w:hAnsi="Times New Roman" w:eastAsia="仿宋_GB2312" w:cs="Times New Roman"/>
          <w:sz w:val="30"/>
          <w:szCs w:val="30"/>
          <w:highlight w:val="none"/>
          <w:lang w:val="en-US" w:eastAsia="zh-CN"/>
        </w:rPr>
        <w:t>355.74</w:t>
      </w:r>
      <w:r>
        <w:rPr>
          <w:rFonts w:hint="eastAsia" w:ascii="Times New Roman" w:hAnsi="Times New Roman" w:eastAsia="仿宋_GB2312" w:cs="Times New Roman"/>
          <w:sz w:val="30"/>
          <w:szCs w:val="30"/>
          <w:highlight w:val="none"/>
          <w:lang w:val="zh-CN"/>
        </w:rPr>
        <w:t>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zh-CN"/>
        </w:rPr>
        <w:t>增长</w:t>
      </w:r>
      <w:r>
        <w:rPr>
          <w:rFonts w:hint="eastAsia" w:ascii="Times New Roman" w:hAnsi="Times New Roman" w:eastAsia="仿宋_GB2312" w:cs="Times New Roman"/>
          <w:sz w:val="30"/>
          <w:szCs w:val="30"/>
          <w:highlight w:val="none"/>
          <w:lang w:val="en-US" w:eastAsia="zh-CN"/>
        </w:rPr>
        <w:t>20.64</w:t>
      </w:r>
      <w:r>
        <w:rPr>
          <w:rFonts w:hint="eastAsia" w:ascii="Times New Roman" w:hAnsi="Times New Roman" w:eastAsia="仿宋_GB2312" w:cs="Times New Roman"/>
          <w:sz w:val="30"/>
          <w:szCs w:val="30"/>
          <w:highlight w:val="none"/>
          <w:lang w:val="zh-CN"/>
        </w:rPr>
        <w:t>%，</w:t>
      </w:r>
      <w:r>
        <w:rPr>
          <w:rFonts w:hint="default" w:ascii="Times New Roman" w:hAnsi="Times New Roman" w:eastAsia="仿宋_GB2312" w:cs="Times New Roman"/>
          <w:color w:val="auto"/>
          <w:kern w:val="2"/>
          <w:sz w:val="32"/>
          <w:szCs w:val="32"/>
          <w:lang w:val="zh-CN" w:eastAsia="zh-CN" w:bidi="ar-SA"/>
        </w:rPr>
        <w:t>主要是</w:t>
      </w:r>
      <w:r>
        <w:rPr>
          <w:rFonts w:ascii="宋体" w:hAnsi="宋体" w:eastAsia="宋体"/>
          <w:sz w:val="32"/>
          <w:szCs w:val="32"/>
        </w:rPr>
        <w:t>人员经费及项目经费收支增加</w:t>
      </w:r>
      <w:r>
        <w:rPr>
          <w:rFonts w:hint="default" w:ascii="Times New Roman" w:hAnsi="Times New Roman" w:eastAsia="仿宋_GB2312" w:cs="Times New Roman"/>
          <w:kern w:val="2"/>
          <w:sz w:val="32"/>
          <w:szCs w:val="32"/>
          <w:lang w:val="zh-CN"/>
        </w:rPr>
        <w:t>；本年支出 1,724.16</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增加</w:t>
      </w:r>
      <w:r>
        <w:rPr>
          <w:rFonts w:hint="eastAsia" w:ascii="Times New Roman" w:hAnsi="Times New Roman" w:eastAsia="仿宋_GB2312" w:cs="Times New Roman"/>
          <w:sz w:val="30"/>
          <w:szCs w:val="30"/>
          <w:highlight w:val="none"/>
          <w:lang w:val="en-US" w:eastAsia="zh-CN"/>
        </w:rPr>
        <w:t>355.74</w:t>
      </w:r>
      <w:r>
        <w:rPr>
          <w:rFonts w:hint="eastAsia" w:ascii="Times New Roman" w:hAnsi="Times New Roman" w:eastAsia="仿宋_GB2312" w:cs="Times New Roman"/>
          <w:sz w:val="30"/>
          <w:szCs w:val="30"/>
          <w:highlight w:val="none"/>
          <w:lang w:val="zh-CN"/>
        </w:rPr>
        <w:t>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zh-CN"/>
        </w:rPr>
        <w:t>增长</w:t>
      </w:r>
      <w:r>
        <w:rPr>
          <w:rFonts w:hint="eastAsia" w:ascii="Times New Roman" w:hAnsi="Times New Roman" w:eastAsia="仿宋_GB2312" w:cs="Times New Roman"/>
          <w:sz w:val="30"/>
          <w:szCs w:val="30"/>
          <w:highlight w:val="none"/>
          <w:lang w:val="en-US" w:eastAsia="zh-CN"/>
        </w:rPr>
        <w:t>20.64</w:t>
      </w:r>
      <w:r>
        <w:rPr>
          <w:rFonts w:hint="eastAsia" w:ascii="Times New Roman" w:hAnsi="Times New Roman" w:eastAsia="仿宋_GB2312" w:cs="Times New Roman"/>
          <w:sz w:val="30"/>
          <w:szCs w:val="30"/>
          <w:highlight w:val="none"/>
          <w:lang w:val="zh-CN"/>
        </w:rPr>
        <w:t>%，</w:t>
      </w:r>
      <w:r>
        <w:rPr>
          <w:rFonts w:hint="default" w:ascii="Times New Roman" w:hAnsi="Times New Roman" w:eastAsia="仿宋_GB2312" w:cs="Times New Roman"/>
          <w:color w:val="auto"/>
          <w:kern w:val="2"/>
          <w:sz w:val="32"/>
          <w:szCs w:val="32"/>
          <w:lang w:val="zh-CN" w:eastAsia="zh-CN" w:bidi="ar-SA"/>
        </w:rPr>
        <w:t>主要是</w:t>
      </w:r>
      <w:r>
        <w:rPr>
          <w:rFonts w:ascii="宋体" w:hAnsi="宋体" w:eastAsia="宋体"/>
          <w:sz w:val="32"/>
          <w:szCs w:val="32"/>
        </w:rPr>
        <w:t>人员经费及项目经费收支增加</w:t>
      </w:r>
      <w:r>
        <w:rPr>
          <w:rFonts w:hint="default" w:ascii="Times New Roman" w:hAnsi="Times New Roman" w:eastAsia="仿宋_GB2312" w:cs="Times New Roman"/>
          <w:kern w:val="2"/>
          <w:sz w:val="32"/>
          <w:szCs w:val="32"/>
          <w:lang w:val="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2.政府性基金预算财政拨款 2022 年度、2023 年度均无</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收支等相关数据。</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3.国有资本经营预算财政拨款 2022 年度、2023 年度均</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kern w:val="2"/>
          <w:sz w:val="32"/>
          <w:szCs w:val="32"/>
          <w:lang w:val="zh-CN"/>
        </w:rPr>
        <w:t>无收支等相关数据。</w:t>
      </w:r>
      <w:r>
        <w:rPr>
          <w:rFonts w:ascii="Times New Roman" w:hAnsi="Times New Roman" w:eastAsia="仿宋_GB2312"/>
          <w:sz w:val="32"/>
          <w:szCs w:val="32"/>
        </w:rPr>
        <w:drawing>
          <wp:inline distT="0" distB="0" distL="114300" distR="114300">
            <wp:extent cx="5256530" cy="2988310"/>
            <wp:effectExtent l="5080" t="4445" r="11430" b="952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年度财政拨款本年收入1,724.16万元，完成年初预算的77.82%，比年初预算</w:t>
      </w:r>
      <w:r>
        <w:rPr>
          <w:rFonts w:hint="eastAsia" w:ascii="Times New Roman" w:hAnsi="Times New Roman" w:eastAsia="仿宋_GB2312" w:cs="Times New Roman"/>
          <w:sz w:val="30"/>
          <w:szCs w:val="30"/>
          <w:highlight w:val="none"/>
          <w:lang w:val="zh-CN"/>
        </w:rPr>
        <w:t>减少491.46万元</w:t>
      </w:r>
      <w:r>
        <w:rPr>
          <w:rFonts w:hint="default" w:ascii="Times New Roman" w:hAnsi="Times New Roman" w:eastAsia="仿宋_GB2312" w:cs="Times New Roman"/>
          <w:color w:val="auto"/>
          <w:kern w:val="2"/>
          <w:sz w:val="32"/>
          <w:szCs w:val="32"/>
          <w:lang w:val="zh-CN" w:eastAsia="zh-CN" w:bidi="ar-SA"/>
        </w:rPr>
        <w:t>，决算数小于预算数主要原因是厉行节约，减少本年支出；本年支出1,724.16万元，完成年初预算的77.82%，比年初预算</w:t>
      </w:r>
      <w:r>
        <w:rPr>
          <w:rFonts w:hint="eastAsia" w:ascii="Times New Roman" w:hAnsi="Times New Roman" w:eastAsia="仿宋_GB2312" w:cs="Times New Roman"/>
          <w:sz w:val="30"/>
          <w:szCs w:val="30"/>
          <w:highlight w:val="none"/>
          <w:lang w:val="zh-CN"/>
        </w:rPr>
        <w:t>减少491.46万元</w:t>
      </w:r>
      <w:r>
        <w:rPr>
          <w:rFonts w:hint="default" w:ascii="Times New Roman" w:hAnsi="Times New Roman" w:eastAsia="仿宋_GB2312" w:cs="Times New Roman"/>
          <w:color w:val="auto"/>
          <w:kern w:val="2"/>
          <w:sz w:val="32"/>
          <w:szCs w:val="32"/>
          <w:lang w:val="zh-CN" w:eastAsia="zh-CN" w:bidi="ar-SA"/>
        </w:rPr>
        <w:t>，决算数小于</w:t>
      </w:r>
      <w:r>
        <w:rPr>
          <w:rFonts w:hint="default" w:ascii="Times New Roman" w:hAnsi="Times New Roman" w:eastAsia="仿宋_GB2312" w:cs="Times New Roman"/>
          <w:kern w:val="2"/>
          <w:sz w:val="32"/>
          <w:szCs w:val="32"/>
          <w:lang w:val="zh-CN"/>
        </w:rPr>
        <w:t>预算数主要原因是</w:t>
      </w:r>
      <w:bookmarkStart w:id="3" w:name="OLE_LINK4"/>
      <w:r>
        <w:rPr>
          <w:rFonts w:hint="default" w:ascii="Times New Roman" w:hAnsi="Times New Roman" w:eastAsia="仿宋_GB2312" w:cs="Times New Roman"/>
          <w:kern w:val="2"/>
          <w:sz w:val="32"/>
          <w:szCs w:val="32"/>
          <w:lang w:val="zh-CN"/>
        </w:rPr>
        <w:t>厉行节约，减少本年支出</w:t>
      </w:r>
      <w:bookmarkEnd w:id="3"/>
      <w:r>
        <w:rPr>
          <w:rFonts w:hint="default" w:ascii="Times New Roman" w:hAnsi="Times New Roman" w:eastAsia="仿宋_GB2312" w:cs="Times New Roman"/>
          <w:kern w:val="2"/>
          <w:sz w:val="32"/>
          <w:szCs w:val="32"/>
          <w:lang w:val="zh-CN"/>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收入1,724.16万元，完成年初预算的 77.82%，比年初预算</w:t>
      </w:r>
      <w:r>
        <w:rPr>
          <w:rFonts w:hint="eastAsia" w:ascii="Times New Roman" w:hAnsi="Times New Roman" w:eastAsia="仿宋_GB2312" w:cs="Times New Roman"/>
          <w:sz w:val="30"/>
          <w:szCs w:val="30"/>
          <w:highlight w:val="none"/>
          <w:lang w:val="zh-CN"/>
        </w:rPr>
        <w:t>减少491.46万元</w:t>
      </w:r>
      <w:r>
        <w:rPr>
          <w:rFonts w:hint="default" w:ascii="Times New Roman" w:hAnsi="Times New Roman" w:eastAsia="仿宋_GB2312" w:cs="Times New Roman"/>
          <w:kern w:val="2"/>
          <w:sz w:val="32"/>
          <w:szCs w:val="32"/>
          <w:lang w:val="zh-CN"/>
        </w:rPr>
        <w:t>，主要原因是厉行节约，减少本年支出；本年支出1,724.16万元，完成年初预算的77.82%，比年初预算</w:t>
      </w:r>
      <w:r>
        <w:rPr>
          <w:rFonts w:hint="eastAsia" w:ascii="Times New Roman" w:hAnsi="Times New Roman" w:eastAsia="仿宋_GB2312" w:cs="Times New Roman"/>
          <w:sz w:val="30"/>
          <w:szCs w:val="30"/>
          <w:highlight w:val="none"/>
          <w:lang w:val="zh-CN"/>
        </w:rPr>
        <w:t>减少491.46万元</w:t>
      </w:r>
      <w:r>
        <w:rPr>
          <w:rFonts w:hint="default" w:ascii="Times New Roman" w:hAnsi="Times New Roman" w:eastAsia="仿宋_GB2312" w:cs="Times New Roman"/>
          <w:kern w:val="2"/>
          <w:sz w:val="32"/>
          <w:szCs w:val="32"/>
          <w:lang w:val="zh-CN"/>
        </w:rPr>
        <w:t>，主要原因是主要是厉行节约，减少本年支出。</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2.政府性基金预算财政拨款本年无预、决算收支等相关</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数据。</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3.国有资本经营预算财政拨款本年无预、决算收支等相</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color w:val="auto"/>
          <w:kern w:val="2"/>
          <w:sz w:val="32"/>
          <w:szCs w:val="32"/>
          <w:lang w:val="zh-CN" w:eastAsia="zh-CN" w:bidi="ar-SA"/>
        </w:rPr>
        <w:t>关数据。</w:t>
      </w:r>
      <w:r>
        <w:rPr>
          <w:rFonts w:ascii="Times New Roman" w:hAnsi="Times New Roman" w:eastAsia="仿宋_GB2312"/>
          <w:sz w:val="32"/>
          <w:szCs w:val="32"/>
          <w:highlight w:val="yellow"/>
        </w:rPr>
        <w:drawing>
          <wp:inline distT="0" distB="0" distL="114300" distR="114300">
            <wp:extent cx="5256530" cy="2988310"/>
            <wp:effectExtent l="5080" t="4445" r="11430" b="952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年度财政拨款支出1,724.16万元，主要用于以下方面：</w:t>
      </w:r>
      <w:r>
        <w:rPr>
          <w:rFonts w:hint="default" w:ascii="Times New Roman" w:hAnsi="Times New Roman" w:eastAsia="仿宋_GB2312" w:cs="Times New Roman"/>
          <w:color w:val="auto"/>
          <w:kern w:val="2"/>
          <w:sz w:val="32"/>
          <w:szCs w:val="32"/>
          <w:lang w:val="zh-CN" w:eastAsia="zh-CN" w:bidi="ar-SA"/>
        </w:rPr>
        <w:t>一般公共服务（类）支出4.53万元，占0.26%；公共安全类（类）支出1,472.88万元，占85.43%；社会保障和就业 （类）支出121.91万元，占7.07%；卫生健康（类）支出62.7万元，占3.64%；住房保障（类）支出62.14万元，占3.6%</w:t>
      </w:r>
      <w:r>
        <w:rPr>
          <w:rFonts w:hint="eastAsia" w:ascii="Times New Roman" w:hAnsi="Times New Roman" w:eastAsia="仿宋_GB2312" w:cs="Times New Roman"/>
          <w:color w:val="auto"/>
          <w:kern w:val="2"/>
          <w:sz w:val="32"/>
          <w:szCs w:val="32"/>
          <w:lang w:val="zh-CN" w:eastAsia="zh-CN" w:bidi="ar-SA"/>
        </w:rPr>
        <w:t>。</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256530" cy="2988310"/>
            <wp:effectExtent l="5080" t="4445" r="11430" b="952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10"/>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年度财政拨款基本支出1,007.09万元，其中：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人员经费808.19万元，主要包括基本工资、津贴补贴、</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right="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奖金、绩效工资、机关事业部门基本养老保险缴费、职业年金缴费、职工基本医疗保险缴费、公务员医疗补助缴费、住房公积金、 退休费、生活补助。</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公用经费198.9万元，主要包括办公费、印刷费、水费、</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电费、邮电费、取暖费、物业管理费、差旅费、维修（护）</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费、租赁费、培训费、专用材料费、被装购置费、劳务费、</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工会经费、福利费、其他交通费用、其他商品和服务支出、</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highlight w:val="yellow"/>
          <w:lang w:val="zh-CN" w:eastAsia="zh-CN" w:bidi="ar-SA"/>
        </w:rPr>
      </w:pPr>
      <w:r>
        <w:rPr>
          <w:rFonts w:hint="default" w:ascii="Times New Roman" w:hAnsi="Times New Roman" w:eastAsia="仿宋_GB2312" w:cs="Times New Roman"/>
          <w:color w:val="auto"/>
          <w:kern w:val="2"/>
          <w:sz w:val="32"/>
          <w:szCs w:val="32"/>
          <w:lang w:val="zh-CN" w:eastAsia="zh-CN" w:bidi="ar-SA"/>
        </w:rPr>
        <w:t>办公设备购置。</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年度“三公”经费财政拨款支出预算为79.6万元，支出决算为30.68万元，完成预算的38.54%，较预算</w:t>
      </w:r>
      <w:r>
        <w:rPr>
          <w:rFonts w:hint="eastAsia" w:ascii="Times New Roman" w:hAnsi="Times New Roman" w:eastAsia="仿宋_GB2312" w:cs="Times New Roman"/>
          <w:color w:val="auto"/>
          <w:kern w:val="2"/>
          <w:sz w:val="32"/>
          <w:szCs w:val="32"/>
          <w:lang w:val="zh-CN" w:eastAsia="zh-CN" w:bidi="ar-SA"/>
        </w:rPr>
        <w:t>减少48.92万元，降低61.46%，</w:t>
      </w:r>
      <w:r>
        <w:rPr>
          <w:rFonts w:hint="default" w:ascii="Times New Roman" w:hAnsi="Times New Roman" w:eastAsia="仿宋_GB2312" w:cs="Times New Roman"/>
          <w:color w:val="auto"/>
          <w:kern w:val="2"/>
          <w:sz w:val="32"/>
          <w:szCs w:val="32"/>
          <w:lang w:val="zh-CN" w:eastAsia="zh-CN" w:bidi="ar-SA"/>
        </w:rPr>
        <w:t>主要是</w:t>
      </w:r>
      <w:bookmarkStart w:id="4" w:name="OLE_LINK5"/>
      <w:r>
        <w:rPr>
          <w:rFonts w:hint="default" w:ascii="Times New Roman" w:hAnsi="Times New Roman" w:eastAsia="仿宋_GB2312" w:cs="Times New Roman"/>
          <w:kern w:val="2"/>
          <w:sz w:val="32"/>
          <w:szCs w:val="32"/>
          <w:lang w:val="zh-CN"/>
        </w:rPr>
        <w:t>厉行节约，减少本年支出</w:t>
      </w:r>
      <w:bookmarkEnd w:id="4"/>
      <w:r>
        <w:rPr>
          <w:rFonts w:hint="default" w:ascii="Times New Roman" w:hAnsi="Times New Roman" w:eastAsia="仿宋_GB2312" w:cs="Times New Roman"/>
          <w:color w:val="auto"/>
          <w:kern w:val="2"/>
          <w:sz w:val="32"/>
          <w:szCs w:val="32"/>
          <w:lang w:val="zh-CN" w:eastAsia="zh-CN" w:bidi="ar-SA"/>
        </w:rPr>
        <w:t>；较2022年度决算</w:t>
      </w:r>
      <w:r>
        <w:rPr>
          <w:rFonts w:hint="eastAsia" w:ascii="Times New Roman" w:hAnsi="Times New Roman" w:eastAsia="仿宋_GB2312" w:cs="Times New Roman"/>
          <w:color w:val="auto"/>
          <w:kern w:val="2"/>
          <w:sz w:val="32"/>
          <w:szCs w:val="32"/>
          <w:lang w:val="zh-CN" w:eastAsia="zh-CN" w:bidi="ar-SA"/>
        </w:rPr>
        <w:t>增加30.68万元</w:t>
      </w:r>
      <w:r>
        <w:rPr>
          <w:rFonts w:hint="eastAsia" w:ascii="Times New Roman" w:hAnsi="Times New Roman" w:eastAsia="仿宋_GB2312" w:cs="仿宋_GB2312"/>
          <w:sz w:val="30"/>
          <w:szCs w:val="30"/>
          <w:highlight w:val="none"/>
        </w:rPr>
        <w:t>，</w:t>
      </w:r>
      <w:r>
        <w:rPr>
          <w:rFonts w:hint="eastAsia" w:ascii="Times New Roman" w:hAnsi="Times New Roman" w:eastAsia="仿宋_GB2312" w:cs="Times New Roman"/>
          <w:color w:val="auto"/>
          <w:kern w:val="2"/>
          <w:sz w:val="32"/>
          <w:szCs w:val="32"/>
          <w:lang w:val="zh-CN" w:eastAsia="zh-CN" w:bidi="ar-SA"/>
        </w:rPr>
        <w:t>增长</w:t>
      </w:r>
      <w:r>
        <w:rPr>
          <w:rFonts w:hint="eastAsia" w:ascii="Times New Roman" w:hAnsi="Times New Roman" w:eastAsia="仿宋_GB2312" w:cs="Times New Roman"/>
          <w:color w:val="auto"/>
          <w:kern w:val="2"/>
          <w:sz w:val="32"/>
          <w:szCs w:val="32"/>
          <w:lang w:val="en-US" w:eastAsia="zh-CN" w:bidi="ar-SA"/>
        </w:rPr>
        <w:t>10</w:t>
      </w:r>
      <w:r>
        <w:rPr>
          <w:rFonts w:hint="eastAsia" w:ascii="Times New Roman" w:hAnsi="Times New Roman" w:eastAsia="仿宋_GB2312" w:cs="Times New Roman"/>
          <w:color w:val="auto"/>
          <w:kern w:val="2"/>
          <w:sz w:val="32"/>
          <w:szCs w:val="32"/>
          <w:lang w:val="zh-CN" w:eastAsia="zh-CN" w:bidi="ar-SA"/>
        </w:rPr>
        <w:t>0%，</w:t>
      </w:r>
      <w:r>
        <w:rPr>
          <w:rFonts w:hint="default" w:ascii="Times New Roman" w:hAnsi="Times New Roman" w:eastAsia="仿宋_GB2312" w:cs="Times New Roman"/>
          <w:color w:val="auto"/>
          <w:kern w:val="2"/>
          <w:sz w:val="32"/>
          <w:szCs w:val="32"/>
          <w:lang w:val="zh-CN" w:eastAsia="zh-CN" w:bidi="ar-SA"/>
        </w:rPr>
        <w:t>主要是</w:t>
      </w:r>
      <w:bookmarkStart w:id="5" w:name="OLE_LINK6"/>
      <w:r>
        <w:rPr>
          <w:rFonts w:hint="eastAsia" w:ascii="Times New Roman" w:hAnsi="Times New Roman" w:eastAsia="仿宋_GB2312" w:cs="Times New Roman"/>
          <w:color w:val="auto"/>
          <w:kern w:val="2"/>
          <w:sz w:val="32"/>
          <w:szCs w:val="32"/>
          <w:lang w:val="zh-CN" w:eastAsia="zh-CN" w:bidi="ar-SA"/>
        </w:rPr>
        <w:t>车辆使用年限久，维修保养成本高</w:t>
      </w:r>
      <w:bookmarkEnd w:id="5"/>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en-US" w:eastAsia="zh-CN" w:bidi="ar-SA"/>
        </w:rPr>
        <w:t>本部门 2023 年度因公出国（境）费支出预算为 0 万元,支出决算 0 万元。完成预算的100%。因公出国（境）费支出较预算持平，主要是本部门无因公出国安排；较上年持平，主要是本部门无因公出国安排。因公出国（境）团组 0 个、共 0 人、参加其他单位组织的因公出国（境）团组 0 个、共 0 人、无本部门组织的出国（境）团组。</w:t>
      </w:r>
    </w:p>
    <w:p>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年度公务用车购置及运行维护费预算为78万元，支出决算 30.68万元，完成预算的39.33%,较预算</w:t>
      </w:r>
      <w:r>
        <w:rPr>
          <w:rFonts w:hint="eastAsia" w:ascii="Times New Roman" w:hAnsi="Times New Roman" w:eastAsia="仿宋_GB2312" w:cs="Times New Roman"/>
          <w:color w:val="auto"/>
          <w:kern w:val="2"/>
          <w:sz w:val="32"/>
          <w:szCs w:val="32"/>
          <w:lang w:val="zh-CN" w:eastAsia="zh-CN" w:bidi="ar-SA"/>
        </w:rPr>
        <w:t>减少47.32万元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降低60.67%，</w:t>
      </w:r>
      <w:r>
        <w:rPr>
          <w:rFonts w:hint="default" w:ascii="Times New Roman" w:hAnsi="Times New Roman" w:eastAsia="仿宋_GB2312" w:cs="Times New Roman"/>
          <w:color w:val="auto"/>
          <w:kern w:val="2"/>
          <w:sz w:val="32"/>
          <w:szCs w:val="32"/>
          <w:lang w:val="zh-CN" w:eastAsia="zh-CN" w:bidi="ar-SA"/>
        </w:rPr>
        <w:t>主要是</w:t>
      </w:r>
      <w:bookmarkStart w:id="6" w:name="OLE_LINK7"/>
      <w:r>
        <w:rPr>
          <w:rFonts w:hint="default" w:ascii="Times New Roman" w:hAnsi="Times New Roman" w:eastAsia="仿宋_GB2312" w:cs="Times New Roman"/>
          <w:kern w:val="2"/>
          <w:sz w:val="32"/>
          <w:szCs w:val="32"/>
          <w:lang w:val="zh-CN"/>
        </w:rPr>
        <w:t>厉行节约，减少本年支出</w:t>
      </w:r>
      <w:bookmarkEnd w:id="6"/>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增加30.68万元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增长</w:t>
      </w:r>
      <w:r>
        <w:rPr>
          <w:rFonts w:hint="eastAsia" w:ascii="Times New Roman" w:hAnsi="Times New Roman" w:eastAsia="仿宋_GB2312" w:cs="Times New Roman"/>
          <w:color w:val="auto"/>
          <w:kern w:val="2"/>
          <w:sz w:val="32"/>
          <w:szCs w:val="32"/>
          <w:lang w:val="en-US" w:eastAsia="zh-CN" w:bidi="ar-SA"/>
        </w:rPr>
        <w:t>100</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bookmarkStart w:id="7" w:name="OLE_LINK8"/>
      <w:r>
        <w:rPr>
          <w:rFonts w:hint="eastAsia" w:ascii="Times New Roman" w:hAnsi="Times New Roman" w:eastAsia="仿宋_GB2312" w:cs="Times New Roman"/>
          <w:color w:val="auto"/>
          <w:kern w:val="2"/>
          <w:sz w:val="32"/>
          <w:szCs w:val="32"/>
          <w:lang w:val="zh-CN" w:eastAsia="zh-CN" w:bidi="ar-SA"/>
        </w:rPr>
        <w:t>车辆使用年限久，维修保养成本高</w:t>
      </w:r>
      <w:bookmarkEnd w:id="7"/>
      <w:r>
        <w:rPr>
          <w:rFonts w:hint="default" w:ascii="Times New Roman" w:hAnsi="Times New Roman" w:eastAsia="仿宋_GB2312" w:cs="Times New Roman"/>
          <w:color w:val="auto"/>
          <w:kern w:val="2"/>
          <w:sz w:val="32"/>
          <w:szCs w:val="32"/>
          <w:lang w:val="zh-CN" w:eastAsia="zh-CN" w:bidi="ar-SA"/>
        </w:rPr>
        <w:t>。其中：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Arial" w:cs="Times New Roman"/>
          <w:highlight w:val="none"/>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公务用车购置费支出 0 万元：</w:t>
      </w:r>
      <w:r>
        <w:rPr>
          <w:rFonts w:hint="default" w:ascii="Times New Roman" w:hAnsi="Times New Roman" w:eastAsia="仿宋_GB2312" w:cs="Times New Roman"/>
          <w:color w:val="auto"/>
          <w:kern w:val="2"/>
          <w:sz w:val="32"/>
          <w:szCs w:val="32"/>
          <w:lang w:val="zh-CN" w:eastAsia="zh-CN" w:bidi="ar-SA"/>
        </w:rPr>
        <w:t>本部门 2023 年度公务用车购置量 0 辆，发生“公务用车购置”经费支出 0 万元。公务用车购置费支出较预算持平，主要是未发生“公务用车购置”支出；较上年持平，主要是未发生“公务用车购置”支出。</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30.68</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年度单位公务用车保有量10辆，发生运行维护费支出30.68万元。公车运行维护费支出较预算</w:t>
      </w:r>
      <w:r>
        <w:rPr>
          <w:rFonts w:hint="eastAsia" w:ascii="Times New Roman" w:hAnsi="Times New Roman" w:eastAsia="仿宋_GB2312" w:cs="Times New Roman"/>
          <w:color w:val="auto"/>
          <w:kern w:val="2"/>
          <w:sz w:val="32"/>
          <w:szCs w:val="32"/>
          <w:lang w:val="zh-CN" w:eastAsia="zh-CN" w:bidi="ar-SA"/>
        </w:rPr>
        <w:t>减少47.32万元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降低60.67%，</w:t>
      </w:r>
      <w:r>
        <w:rPr>
          <w:rFonts w:hint="default" w:ascii="Times New Roman" w:hAnsi="Times New Roman" w:eastAsia="仿宋_GB2312" w:cs="Times New Roman"/>
          <w:color w:val="auto"/>
          <w:kern w:val="2"/>
          <w:sz w:val="32"/>
          <w:szCs w:val="32"/>
          <w:lang w:val="zh-CN" w:eastAsia="zh-CN" w:bidi="ar-SA"/>
        </w:rPr>
        <w:t>主要是</w:t>
      </w:r>
      <w:r>
        <w:rPr>
          <w:rFonts w:hint="default" w:ascii="Times New Roman" w:hAnsi="Times New Roman" w:eastAsia="仿宋_GB2312" w:cs="Times New Roman"/>
          <w:kern w:val="2"/>
          <w:sz w:val="32"/>
          <w:szCs w:val="32"/>
          <w:lang w:val="zh-CN"/>
        </w:rPr>
        <w:t>厉行节约，减少本年支出</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增加30.68万元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增长</w:t>
      </w:r>
      <w:r>
        <w:rPr>
          <w:rFonts w:hint="eastAsia" w:ascii="Times New Roman" w:hAnsi="Times New Roman" w:eastAsia="仿宋_GB2312" w:cs="Times New Roman"/>
          <w:color w:val="auto"/>
          <w:kern w:val="2"/>
          <w:sz w:val="32"/>
          <w:szCs w:val="32"/>
          <w:lang w:val="en-US" w:eastAsia="zh-CN" w:bidi="ar-SA"/>
        </w:rPr>
        <w:t>10</w:t>
      </w:r>
      <w:r>
        <w:rPr>
          <w:rFonts w:hint="eastAsia" w:ascii="Times New Roman" w:hAnsi="Times New Roman" w:eastAsia="仿宋_GB2312" w:cs="Times New Roman"/>
          <w:color w:val="auto"/>
          <w:kern w:val="2"/>
          <w:sz w:val="32"/>
          <w:szCs w:val="32"/>
          <w:lang w:val="zh-CN"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车辆使用年限久，维修保养成本高</w:t>
      </w:r>
      <w:r>
        <w:rPr>
          <w:rFonts w:hint="default" w:ascii="Times New Roman" w:hAnsi="Times New Roman" w:eastAsia="仿宋_GB2312" w:cs="Times New Roman"/>
          <w:color w:val="auto"/>
          <w:kern w:val="2"/>
          <w:sz w:val="32"/>
          <w:szCs w:val="32"/>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年度公务接待费支出预算为1.6万元，支出决算0万元，完成预算的0%。公务接待费支出较预算</w:t>
      </w:r>
      <w:r>
        <w:rPr>
          <w:rFonts w:hint="eastAsia" w:ascii="Times New Roman" w:hAnsi="Times New Roman" w:eastAsia="仿宋_GB2312" w:cs="Times New Roman"/>
          <w:color w:val="auto"/>
          <w:kern w:val="2"/>
          <w:sz w:val="32"/>
          <w:szCs w:val="32"/>
          <w:lang w:val="zh-CN" w:eastAsia="zh-CN" w:bidi="ar-SA"/>
        </w:rPr>
        <w:t>减少1.6万元，降低100%，</w:t>
      </w:r>
      <w:r>
        <w:rPr>
          <w:rFonts w:hint="default" w:ascii="Times New Roman" w:hAnsi="Times New Roman" w:eastAsia="仿宋_GB2312" w:cs="Times New Roman"/>
          <w:color w:val="auto"/>
          <w:kern w:val="2"/>
          <w:sz w:val="32"/>
          <w:szCs w:val="32"/>
          <w:lang w:val="zh-CN" w:eastAsia="zh-CN" w:bidi="ar-SA"/>
        </w:rPr>
        <w:t>主要是为节省开支，减少公务接待费用的支出。本年度共发生公务接待 0 批次、0 人次。</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i w:val="0"/>
          <w:iCs w:val="0"/>
          <w:caps w:val="0"/>
          <w:color w:val="333333"/>
          <w:spacing w:val="0"/>
          <w:sz w:val="33"/>
          <w:szCs w:val="33"/>
          <w:highlight w:val="none"/>
          <w:shd w:val="clear" w:fill="FFFFFF"/>
          <w:lang w:eastAsia="zh-CN"/>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年度机关运行经费支出198.9万元，较2022年度</w:t>
      </w:r>
      <w:r>
        <w:rPr>
          <w:rFonts w:hint="eastAsia" w:ascii="Times New Roman" w:hAnsi="Times New Roman" w:eastAsia="仿宋_GB2312" w:cs="Times New Roman"/>
          <w:color w:val="auto"/>
          <w:kern w:val="2"/>
          <w:sz w:val="32"/>
          <w:szCs w:val="32"/>
          <w:lang w:val="zh-CN" w:eastAsia="zh-CN" w:bidi="ar-SA"/>
        </w:rPr>
        <w:t>增加198.9万元，增长0%，</w:t>
      </w:r>
      <w:r>
        <w:rPr>
          <w:rFonts w:hint="default" w:ascii="Times New Roman" w:hAnsi="Times New Roman" w:eastAsia="仿宋_GB2312" w:cs="Times New Roman"/>
          <w:color w:val="auto"/>
          <w:kern w:val="2"/>
          <w:sz w:val="32"/>
          <w:szCs w:val="32"/>
          <w:lang w:val="zh-CN" w:eastAsia="zh-CN" w:bidi="ar-SA"/>
        </w:rPr>
        <w:t>主要原因是 2023 年度有新进人员，增加机关运行经费支出</w:t>
      </w:r>
      <w:r>
        <w:rPr>
          <w:rFonts w:hint="eastAsia" w:ascii="Times New Roman" w:hAnsi="Times New Roman" w:eastAsia="仿宋_GB2312" w:cs="Times New Roman"/>
          <w:color w:val="auto"/>
          <w:kern w:val="2"/>
          <w:sz w:val="32"/>
          <w:szCs w:val="32"/>
          <w:lang w:val="zh-CN" w:eastAsia="zh-CN" w:bidi="ar-SA"/>
        </w:rPr>
        <w:t>。</w:t>
      </w:r>
    </w:p>
    <w:p>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年度政府采购支出总额0万元，从采购类型来看，政府采购货物支出0万元、政府采购工程支出0万元、政府采购服务支出0万元。授予中小企业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0万元，占政府采购支出总额的0%，其中授予小微企业合同金额0万元，占政府采购支出总额的0%。</w:t>
      </w:r>
    </w:p>
    <w:p>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年12月31日，本部门共有车辆10辆，比上年</w:t>
      </w:r>
      <w:r>
        <w:rPr>
          <w:rFonts w:hint="eastAsia" w:ascii="Times New Roman" w:hAnsi="Times New Roman" w:eastAsia="仿宋_GB2312" w:cs="Times New Roman"/>
          <w:color w:val="auto"/>
          <w:kern w:val="2"/>
          <w:sz w:val="32"/>
          <w:szCs w:val="32"/>
          <w:lang w:val="zh-CN" w:eastAsia="zh-CN" w:bidi="ar-SA"/>
        </w:rPr>
        <w:t>增加0</w:t>
      </w:r>
      <w:r>
        <w:rPr>
          <w:rFonts w:hint="default" w:ascii="Times New Roman" w:hAnsi="Times New Roman" w:eastAsia="仿宋_GB2312" w:cs="Times New Roman"/>
          <w:color w:val="auto"/>
          <w:kern w:val="2"/>
          <w:sz w:val="32"/>
          <w:szCs w:val="32"/>
          <w:lang w:val="zh-CN" w:eastAsia="zh-CN" w:bidi="ar-SA"/>
        </w:rPr>
        <w:t>辆。其中，副部（省）级及以上领导用车0辆，主要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用车0辆，机要通信用车0辆，应急保障用车1辆，执法执勤用车7辆，特种专业技术用车2辆，离退休干部用车0辆，其他用车0</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。单位价值100万元（含）以上设备（不含车辆）0台（套）。</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根据预算绩效管理要求，本部门组织对2023年度一般公共预算项目支出全面开展绩效自评，其中，一级项目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17</w:t>
      </w:r>
      <w:r>
        <w:rPr>
          <w:rFonts w:hint="default" w:ascii="Times New Roman" w:hAnsi="Times New Roman" w:eastAsia="仿宋_GB2312" w:cs="Times New Roman"/>
          <w:color w:val="auto"/>
          <w:kern w:val="2"/>
          <w:sz w:val="32"/>
          <w:szCs w:val="32"/>
          <w:lang w:val="zh-CN" w:eastAsia="zh-CN" w:bidi="ar-SA"/>
        </w:rPr>
        <w:t>个，二级项目</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737.2</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%。组织对 2023 年度 0 个政府性基金预算项目支出开展绩效自评，共涉及资金 0 万元，占政府性基金预算项目支出总额的 0%。组织对 2023 年度 0 个国有资本经营预算项目支出开展绩效自评，共涉及资金 0 万元，占国有资本经营预算项目支出总额的 0%。</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 xml:space="preserve">组织对“书记员经费”“劳务派遣人员经费”等 </w:t>
      </w:r>
      <w:r>
        <w:rPr>
          <w:rFonts w:hint="eastAsia" w:ascii="Times New Roman" w:hAnsi="Times New Roman" w:eastAsia="仿宋_GB2312" w:cs="Times New Roman"/>
          <w:color w:val="auto"/>
          <w:kern w:val="2"/>
          <w:sz w:val="32"/>
          <w:szCs w:val="32"/>
          <w:lang w:val="en-US" w:eastAsia="zh-CN" w:bidi="ar-SA"/>
        </w:rPr>
        <w:t>17</w:t>
      </w:r>
      <w:r>
        <w:rPr>
          <w:rFonts w:hint="default" w:ascii="Times New Roman" w:hAnsi="Times New Roman" w:eastAsia="仿宋_GB2312" w:cs="Times New Roman"/>
          <w:color w:val="auto"/>
          <w:kern w:val="2"/>
          <w:sz w:val="32"/>
          <w:szCs w:val="32"/>
          <w:lang w:val="zh-CN" w:eastAsia="zh-CN" w:bidi="ar-SA"/>
        </w:rPr>
        <w:t xml:space="preserve"> 个项目开展了部门评价，涉及一般公共预算支出</w:t>
      </w:r>
      <w:r>
        <w:rPr>
          <w:rFonts w:hint="eastAsia" w:ascii="Times New Roman" w:hAnsi="Times New Roman" w:eastAsia="仿宋_GB2312" w:cs="Times New Roman"/>
          <w:color w:val="auto"/>
          <w:kern w:val="2"/>
          <w:sz w:val="32"/>
          <w:szCs w:val="32"/>
          <w:lang w:val="en-US" w:eastAsia="zh-CN" w:bidi="ar-SA"/>
        </w:rPr>
        <w:t>737.2</w:t>
      </w:r>
      <w:r>
        <w:rPr>
          <w:rFonts w:hint="default" w:ascii="Times New Roman" w:hAnsi="Times New Roman" w:eastAsia="仿宋_GB2312" w:cs="Times New Roman"/>
          <w:color w:val="auto"/>
          <w:kern w:val="2"/>
          <w:sz w:val="32"/>
          <w:szCs w:val="32"/>
          <w:lang w:val="zh-CN" w:eastAsia="zh-CN" w:bidi="ar-SA"/>
        </w:rPr>
        <w:t xml:space="preserve"> 万元，政府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right="0"/>
        <w:jc w:val="left"/>
        <w:textAlignment w:val="auto"/>
        <w:rPr>
          <w:rFonts w:hint="default" w:ascii="Times New Roman" w:hAnsi="Times New Roman" w:eastAsia="Arial" w:cs="Times New Roman"/>
          <w:highlight w:val="none"/>
        </w:rPr>
      </w:pPr>
      <w:r>
        <w:rPr>
          <w:rFonts w:hint="default" w:ascii="Times New Roman" w:hAnsi="Times New Roman" w:eastAsia="仿宋_GB2312" w:cs="Times New Roman"/>
          <w:color w:val="auto"/>
          <w:kern w:val="2"/>
          <w:sz w:val="32"/>
          <w:szCs w:val="32"/>
          <w:lang w:val="zh-CN" w:eastAsia="zh-CN" w:bidi="ar-SA"/>
        </w:rPr>
        <w:t>性基金预算支出 0 万元，国有资本经营预算支出 0 万元。从评价情况来看，本部门严格按照国家有关财经法规，把项目资金的使用、监督检查与绩效评价结合起来，实行专款专用，确保财政资金分配和财政审判程序合法，保障项目资金合理使用。</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（二）部门决算中项目绩效自评结果（如有）</w:t>
      </w:r>
    </w:p>
    <w:p>
      <w:pPr>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eastAsia"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本部门在今年部门决算公开中反映“书记员经费”项目1 个项目绩效自评结果。</w:t>
      </w:r>
    </w:p>
    <w:p>
      <w:pPr>
        <w:ind w:firstLine="640"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“书记员经费”项目绩效自评情况：根据年初设定的绩</w:t>
      </w:r>
    </w:p>
    <w:p>
      <w:pPr>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 xml:space="preserve">效目标，“书记员经费”项目绩效自评得分为 </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 xml:space="preserve"> 分（绩效</w:t>
      </w:r>
    </w:p>
    <w:p>
      <w:pPr>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 xml:space="preserve">自评表附后）。全年预算数为 </w:t>
      </w:r>
      <w:r>
        <w:rPr>
          <w:rFonts w:hint="eastAsia" w:ascii="Times New Roman" w:hAnsi="Times New Roman" w:eastAsia="仿宋_GB2312" w:cs="Times New Roman"/>
          <w:color w:val="auto"/>
          <w:kern w:val="2"/>
          <w:sz w:val="32"/>
          <w:szCs w:val="32"/>
          <w:lang w:val="en-US" w:eastAsia="zh-CN" w:bidi="ar-SA"/>
        </w:rPr>
        <w:t>142.08</w:t>
      </w:r>
      <w:r>
        <w:rPr>
          <w:rFonts w:hint="default" w:ascii="Times New Roman" w:hAnsi="Times New Roman" w:eastAsia="仿宋_GB2312" w:cs="Times New Roman"/>
          <w:color w:val="auto"/>
          <w:kern w:val="2"/>
          <w:sz w:val="32"/>
          <w:szCs w:val="32"/>
          <w:lang w:val="zh-CN" w:eastAsia="zh-CN" w:bidi="ar-SA"/>
        </w:rPr>
        <w:t xml:space="preserve"> 万元，执行数为 </w:t>
      </w:r>
      <w:r>
        <w:rPr>
          <w:rFonts w:hint="eastAsia" w:ascii="Times New Roman" w:hAnsi="Times New Roman" w:eastAsia="仿宋_GB2312" w:cs="Times New Roman"/>
          <w:color w:val="auto"/>
          <w:kern w:val="2"/>
          <w:sz w:val="32"/>
          <w:szCs w:val="32"/>
          <w:lang w:val="en-US" w:eastAsia="zh-CN" w:bidi="ar-SA"/>
        </w:rPr>
        <w:t>142.08</w:t>
      </w:r>
      <w:r>
        <w:rPr>
          <w:rFonts w:hint="default" w:ascii="Times New Roman" w:hAnsi="Times New Roman" w:eastAsia="仿宋_GB2312" w:cs="Times New Roman"/>
          <w:color w:val="auto"/>
          <w:kern w:val="2"/>
          <w:sz w:val="32"/>
          <w:szCs w:val="32"/>
          <w:lang w:val="zh-CN" w:eastAsia="zh-CN" w:bidi="ar-SA"/>
        </w:rPr>
        <w:t xml:space="preserve">万元，完成预算的 </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一是通过经费的使用，确保各类案件高效办结，提升办案质量，加大办案力度；二是维护人民群众合法权益，提高人民群众满意度。通过项目实施，完成了年初设定的各项绩效目标，书记员充分发挥了辅助案件审理的作用，保障了法院工作的顺利开展，提高了法官审理工作效率，未发现问题。</w:t>
      </w:r>
    </w:p>
    <w:p>
      <w:pPr>
        <w:jc w:val="center"/>
        <w:rPr>
          <w:rFonts w:hint="default" w:ascii="Times New Roman" w:hAnsi="Times New Roman" w:eastAsia="仿宋_GB2312" w:cs="Times New Roman"/>
          <w:b/>
          <w:bCs/>
          <w:color w:val="auto"/>
          <w:kern w:val="2"/>
          <w:sz w:val="32"/>
          <w:szCs w:val="32"/>
          <w:lang w:val="zh-CN" w:eastAsia="zh-CN" w:bidi="ar-SA"/>
        </w:rPr>
      </w:pPr>
      <w:r>
        <w:rPr>
          <w:rFonts w:hint="default" w:ascii="Times New Roman" w:hAnsi="Times New Roman" w:eastAsia="仿宋_GB2312" w:cs="Times New Roman"/>
          <w:b/>
          <w:bCs/>
          <w:color w:val="auto"/>
          <w:kern w:val="2"/>
          <w:sz w:val="32"/>
          <w:szCs w:val="32"/>
          <w:lang w:val="zh-CN" w:eastAsia="zh-CN" w:bidi="ar-SA"/>
        </w:rPr>
        <w:t>市级部门预算项目绩效自评表</w:t>
      </w:r>
    </w:p>
    <w:tbl>
      <w:tblPr>
        <w:tblW w:w="85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
      <w:tblGrid>
        <w:gridCol w:w="1003"/>
        <w:gridCol w:w="850"/>
        <w:gridCol w:w="839"/>
        <w:gridCol w:w="1135"/>
        <w:gridCol w:w="1190"/>
        <w:gridCol w:w="1312"/>
        <w:gridCol w:w="993"/>
        <w:gridCol w:w="11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555" w:hRule="atLeast"/>
        </w:trPr>
        <w:tc>
          <w:tcPr>
            <w:tcW w:w="1003" w:type="dxa"/>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bookmarkStart w:id="8" w:name="OLE_LINK9"/>
            <w:r>
              <w:rPr>
                <w:rFonts w:hint="eastAsia" w:ascii="宋体" w:hAnsi="宋体" w:eastAsia="宋体" w:cs="宋体"/>
                <w:i w:val="0"/>
                <w:color w:val="000000"/>
                <w:kern w:val="0"/>
                <w:sz w:val="20"/>
                <w:szCs w:val="20"/>
                <w:u w:val="none"/>
                <w:bdr w:val="none" w:color="auto" w:sz="0" w:space="0"/>
                <w:lang w:val="en-US" w:eastAsia="zh-CN" w:bidi="ar"/>
              </w:rPr>
              <w:t>一、</w:t>
            </w:r>
            <w:r>
              <w:rPr>
                <w:rFonts w:ascii="Calibri" w:hAnsi="Calibri" w:eastAsia="宋体" w:cs="Calibri"/>
                <w:i w:val="0"/>
                <w:color w:val="000000"/>
                <w:kern w:val="0"/>
                <w:sz w:val="20"/>
                <w:szCs w:val="20"/>
                <w:u w:val="none"/>
                <w:bdr w:val="none" w:color="auto" w:sz="0" w:space="0"/>
                <w:lang w:val="en-US" w:eastAsia="zh-CN" w:bidi="ar"/>
              </w:rPr>
              <w:t xml:space="preserve"> </w:t>
            </w:r>
            <w:r>
              <w:rPr>
                <w:rFonts w:hint="eastAsia" w:ascii="宋体" w:hAnsi="宋体" w:eastAsia="宋体" w:cs="宋体"/>
                <w:i w:val="0"/>
                <w:color w:val="000000"/>
                <w:kern w:val="0"/>
                <w:sz w:val="20"/>
                <w:szCs w:val="20"/>
                <w:u w:val="none"/>
                <w:bdr w:val="none" w:color="auto" w:sz="0" w:space="0"/>
                <w:lang w:val="en-US" w:eastAsia="zh-CN" w:bidi="ar"/>
              </w:rPr>
              <w:t>基本情况</w:t>
            </w:r>
          </w:p>
        </w:tc>
        <w:tc>
          <w:tcPr>
            <w:tcW w:w="85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项目名称</w:t>
            </w:r>
          </w:p>
        </w:tc>
        <w:tc>
          <w:tcPr>
            <w:tcW w:w="197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聘用制书记员经费</w:t>
            </w:r>
          </w:p>
        </w:tc>
        <w:tc>
          <w:tcPr>
            <w:tcW w:w="119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实施(主管）单位</w:t>
            </w:r>
          </w:p>
        </w:tc>
        <w:tc>
          <w:tcPr>
            <w:tcW w:w="3503" w:type="dxa"/>
            <w:gridSpan w:val="3"/>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赞皇县人民法院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9" w:hRule="atLeast"/>
        </w:trPr>
        <w:tc>
          <w:tcPr>
            <w:tcW w:w="1003"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二、预算执行情况</w:t>
            </w:r>
          </w:p>
        </w:tc>
        <w:tc>
          <w:tcPr>
            <w:tcW w:w="1689"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预算安排情况（调整后）</w:t>
            </w:r>
          </w:p>
        </w:tc>
        <w:tc>
          <w:tcPr>
            <w:tcW w:w="2325"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资金到位情况</w:t>
            </w:r>
          </w:p>
        </w:tc>
        <w:tc>
          <w:tcPr>
            <w:tcW w:w="2305"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资金执行情况</w:t>
            </w:r>
          </w:p>
        </w:tc>
        <w:tc>
          <w:tcPr>
            <w:tcW w:w="1198"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2" w:hRule="atLeast"/>
        </w:trPr>
        <w:tc>
          <w:tcPr>
            <w:tcW w:w="1003"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5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预算数：</w:t>
            </w:r>
          </w:p>
        </w:tc>
        <w:tc>
          <w:tcPr>
            <w:tcW w:w="83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142.08</w:t>
            </w:r>
          </w:p>
        </w:tc>
        <w:tc>
          <w:tcPr>
            <w:tcW w:w="11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到位数：</w:t>
            </w:r>
          </w:p>
        </w:tc>
        <w:tc>
          <w:tcPr>
            <w:tcW w:w="119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142.08</w:t>
            </w:r>
          </w:p>
        </w:tc>
        <w:tc>
          <w:tcPr>
            <w:tcW w:w="1312"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执行数：</w:t>
            </w:r>
          </w:p>
        </w:tc>
        <w:tc>
          <w:tcPr>
            <w:tcW w:w="99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bdr w:val="none" w:color="auto" w:sz="0" w:space="0"/>
                <w:lang w:val="en-US" w:eastAsia="zh-CN" w:bidi="ar"/>
              </w:rPr>
              <w:t>142.079985</w:t>
            </w:r>
          </w:p>
        </w:tc>
        <w:tc>
          <w:tcPr>
            <w:tcW w:w="1198"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1003"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5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其中：                 财政资金</w:t>
            </w:r>
          </w:p>
        </w:tc>
        <w:tc>
          <w:tcPr>
            <w:tcW w:w="83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1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其中：                      财政资金</w:t>
            </w:r>
          </w:p>
        </w:tc>
        <w:tc>
          <w:tcPr>
            <w:tcW w:w="119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312"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其中：                     财政资金</w:t>
            </w:r>
          </w:p>
        </w:tc>
        <w:tc>
          <w:tcPr>
            <w:tcW w:w="99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8" w:hRule="atLeast"/>
        </w:trPr>
        <w:tc>
          <w:tcPr>
            <w:tcW w:w="1003"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5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其他</w:t>
            </w:r>
          </w:p>
        </w:tc>
        <w:tc>
          <w:tcPr>
            <w:tcW w:w="83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default" w:ascii="Calibri" w:hAnsi="Calibri" w:eastAsia="宋体" w:cs="Calibri"/>
                <w:i w:val="0"/>
                <w:color w:val="000000"/>
                <w:sz w:val="20"/>
                <w:szCs w:val="20"/>
                <w:u w:val="none"/>
              </w:rPr>
            </w:pPr>
          </w:p>
        </w:tc>
        <w:tc>
          <w:tcPr>
            <w:tcW w:w="11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其他</w:t>
            </w:r>
          </w:p>
        </w:tc>
        <w:tc>
          <w:tcPr>
            <w:tcW w:w="119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312"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其他</w:t>
            </w:r>
          </w:p>
        </w:tc>
        <w:tc>
          <w:tcPr>
            <w:tcW w:w="99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7" w:hRule="atLeast"/>
        </w:trPr>
        <w:tc>
          <w:tcPr>
            <w:tcW w:w="1003"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三、目标完成情况</w:t>
            </w:r>
          </w:p>
        </w:tc>
        <w:tc>
          <w:tcPr>
            <w:tcW w:w="2824" w:type="dxa"/>
            <w:gridSpan w:val="3"/>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年度预期目标</w:t>
            </w:r>
          </w:p>
        </w:tc>
        <w:tc>
          <w:tcPr>
            <w:tcW w:w="3495" w:type="dxa"/>
            <w:gridSpan w:val="3"/>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具体完成情况</w:t>
            </w:r>
          </w:p>
        </w:tc>
        <w:tc>
          <w:tcPr>
            <w:tcW w:w="1198"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6" w:hRule="atLeast"/>
        </w:trPr>
        <w:tc>
          <w:tcPr>
            <w:tcW w:w="1003"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824" w:type="dxa"/>
            <w:gridSpan w:val="3"/>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保障聘任制书记员工资及时发放到位，提高人员工作积极性。</w:t>
            </w:r>
          </w:p>
        </w:tc>
        <w:tc>
          <w:tcPr>
            <w:tcW w:w="3495" w:type="dxa"/>
            <w:gridSpan w:val="3"/>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聘任制书记员工资发放及时到位，人员工作积极性高，工作任务完成的质量标准较高</w:t>
            </w:r>
          </w:p>
        </w:tc>
        <w:tc>
          <w:tcPr>
            <w:tcW w:w="1198"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1003"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824"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495"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6" w:hRule="atLeast"/>
        </w:trPr>
        <w:tc>
          <w:tcPr>
            <w:tcW w:w="1003"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824"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495"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2" w:hRule="atLeast"/>
        </w:trPr>
        <w:tc>
          <w:tcPr>
            <w:tcW w:w="1003" w:type="dxa"/>
            <w:vMerge w:val="restart"/>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四、</w:t>
            </w:r>
            <w:r>
              <w:rPr>
                <w:rFonts w:ascii="Calibri" w:hAnsi="Calibri" w:eastAsia="宋体" w:cs="Calibri"/>
                <w:i w:val="0"/>
                <w:color w:val="000000"/>
                <w:kern w:val="0"/>
                <w:sz w:val="20"/>
                <w:szCs w:val="20"/>
                <w:u w:val="none"/>
                <w:bdr w:val="none" w:color="auto" w:sz="0" w:space="0"/>
                <w:lang w:val="en-US" w:eastAsia="zh-CN" w:bidi="ar"/>
              </w:rPr>
              <w:t xml:space="preserve"> </w:t>
            </w:r>
            <w:r>
              <w:rPr>
                <w:rFonts w:hint="eastAsia" w:ascii="宋体" w:hAnsi="宋体" w:eastAsia="宋体" w:cs="宋体"/>
                <w:i w:val="0"/>
                <w:color w:val="000000"/>
                <w:kern w:val="0"/>
                <w:sz w:val="20"/>
                <w:szCs w:val="20"/>
                <w:u w:val="none"/>
                <w:bdr w:val="none" w:color="auto" w:sz="0" w:space="0"/>
                <w:lang w:val="en-US" w:eastAsia="zh-CN" w:bidi="ar"/>
              </w:rPr>
              <w:t>年度绩效指标完成情况</w:t>
            </w:r>
          </w:p>
        </w:tc>
        <w:tc>
          <w:tcPr>
            <w:tcW w:w="85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一级指标</w:t>
            </w:r>
          </w:p>
        </w:tc>
        <w:tc>
          <w:tcPr>
            <w:tcW w:w="83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二级指标</w:t>
            </w:r>
          </w:p>
        </w:tc>
        <w:tc>
          <w:tcPr>
            <w:tcW w:w="2325"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三级指标</w:t>
            </w:r>
          </w:p>
        </w:tc>
        <w:tc>
          <w:tcPr>
            <w:tcW w:w="1312"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预期指标值</w:t>
            </w:r>
          </w:p>
        </w:tc>
        <w:tc>
          <w:tcPr>
            <w:tcW w:w="99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实际完成值</w:t>
            </w:r>
          </w:p>
        </w:tc>
        <w:tc>
          <w:tcPr>
            <w:tcW w:w="1198"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20" w:hRule="atLeast"/>
        </w:trPr>
        <w:tc>
          <w:tcPr>
            <w:tcW w:w="1003"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50" w:type="dxa"/>
            <w:vMerge w:val="restart"/>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产出指标（40）</w:t>
            </w:r>
          </w:p>
        </w:tc>
        <w:tc>
          <w:tcPr>
            <w:tcW w:w="839" w:type="dxa"/>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数量指标</w:t>
            </w:r>
          </w:p>
        </w:tc>
        <w:tc>
          <w:tcPr>
            <w:tcW w:w="2325"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人员数量</w:t>
            </w:r>
          </w:p>
        </w:tc>
        <w:tc>
          <w:tcPr>
            <w:tcW w:w="1312"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20</w:t>
            </w:r>
          </w:p>
        </w:tc>
        <w:tc>
          <w:tcPr>
            <w:tcW w:w="99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20</w:t>
            </w:r>
          </w:p>
        </w:tc>
        <w:tc>
          <w:tcPr>
            <w:tcW w:w="1198"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9" w:hRule="atLeast"/>
        </w:trPr>
        <w:tc>
          <w:tcPr>
            <w:tcW w:w="1003"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50"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39"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质量指标</w:t>
            </w:r>
          </w:p>
        </w:tc>
        <w:tc>
          <w:tcPr>
            <w:tcW w:w="2325"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工作完成质量</w:t>
            </w:r>
          </w:p>
        </w:tc>
        <w:tc>
          <w:tcPr>
            <w:tcW w:w="1312"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i w:val="0"/>
                <w:color w:val="000000"/>
                <w:sz w:val="20"/>
                <w:szCs w:val="20"/>
                <w:u w:val="none"/>
              </w:rPr>
            </w:pPr>
            <w:r>
              <w:rPr>
                <w:rFonts w:hint="default" w:ascii="Arial" w:hAnsi="Arial" w:eastAsia="宋体" w:cs="Arial"/>
                <w:i w:val="0"/>
                <w:color w:val="000000"/>
                <w:kern w:val="0"/>
                <w:sz w:val="20"/>
                <w:szCs w:val="20"/>
                <w:u w:val="none"/>
                <w:bdr w:val="none" w:color="auto" w:sz="0" w:space="0"/>
                <w:lang w:val="en-US" w:eastAsia="zh-CN" w:bidi="ar"/>
              </w:rPr>
              <w:t>≤100%</w:t>
            </w:r>
          </w:p>
        </w:tc>
        <w:tc>
          <w:tcPr>
            <w:tcW w:w="99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bdr w:val="none" w:color="auto" w:sz="0" w:space="0"/>
                <w:lang w:val="en-US" w:eastAsia="zh-CN" w:bidi="ar"/>
              </w:rPr>
              <w:t>100%</w:t>
            </w:r>
          </w:p>
        </w:tc>
        <w:tc>
          <w:tcPr>
            <w:tcW w:w="1198"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9" w:hRule="atLeast"/>
        </w:trPr>
        <w:tc>
          <w:tcPr>
            <w:tcW w:w="1003"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50"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39"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325"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人员满勤率</w:t>
            </w:r>
          </w:p>
        </w:tc>
        <w:tc>
          <w:tcPr>
            <w:tcW w:w="1312"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bdr w:val="none" w:color="auto" w:sz="0" w:space="0"/>
                <w:lang w:val="en-US" w:eastAsia="zh-CN" w:bidi="ar"/>
              </w:rPr>
              <w:t>≥95%</w:t>
            </w:r>
          </w:p>
        </w:tc>
        <w:tc>
          <w:tcPr>
            <w:tcW w:w="99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bdr w:val="none" w:color="auto" w:sz="0" w:space="0"/>
                <w:lang w:val="en-US" w:eastAsia="zh-CN" w:bidi="ar"/>
              </w:rPr>
              <w:t>100%</w:t>
            </w:r>
          </w:p>
        </w:tc>
        <w:tc>
          <w:tcPr>
            <w:tcW w:w="1198"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07" w:hRule="atLeast"/>
        </w:trPr>
        <w:tc>
          <w:tcPr>
            <w:tcW w:w="1003"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50"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时效指标</w:t>
            </w:r>
          </w:p>
        </w:tc>
        <w:tc>
          <w:tcPr>
            <w:tcW w:w="2325"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经费保障时间</w:t>
            </w:r>
          </w:p>
        </w:tc>
        <w:tc>
          <w:tcPr>
            <w:tcW w:w="1312"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bdr w:val="none" w:color="auto" w:sz="0" w:space="0"/>
                <w:lang w:val="en-US" w:eastAsia="zh-CN" w:bidi="ar"/>
              </w:rPr>
              <w:t>12</w:t>
            </w:r>
            <w:r>
              <w:rPr>
                <w:rFonts w:hint="eastAsia" w:ascii="宋体" w:hAnsi="宋体" w:eastAsia="宋体" w:cs="宋体"/>
                <w:i w:val="0"/>
                <w:color w:val="000000"/>
                <w:kern w:val="0"/>
                <w:sz w:val="20"/>
                <w:szCs w:val="20"/>
                <w:u w:val="none"/>
                <w:bdr w:val="none" w:color="auto" w:sz="0" w:space="0"/>
                <w:lang w:val="en-US" w:eastAsia="zh-CN" w:bidi="ar"/>
              </w:rPr>
              <w:t>个月</w:t>
            </w:r>
          </w:p>
        </w:tc>
        <w:tc>
          <w:tcPr>
            <w:tcW w:w="99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bdr w:val="none" w:color="auto" w:sz="0" w:space="0"/>
                <w:lang w:val="en-US" w:eastAsia="zh-CN" w:bidi="ar"/>
              </w:rPr>
              <w:t>12</w:t>
            </w:r>
            <w:r>
              <w:rPr>
                <w:rFonts w:hint="eastAsia" w:ascii="宋体" w:hAnsi="宋体" w:eastAsia="宋体" w:cs="宋体"/>
                <w:i w:val="0"/>
                <w:color w:val="000000"/>
                <w:kern w:val="0"/>
                <w:sz w:val="20"/>
                <w:szCs w:val="20"/>
                <w:u w:val="none"/>
                <w:bdr w:val="none" w:color="auto" w:sz="0" w:space="0"/>
                <w:lang w:val="en-US" w:eastAsia="zh-CN" w:bidi="ar"/>
              </w:rPr>
              <w:t>个月</w:t>
            </w:r>
          </w:p>
        </w:tc>
        <w:tc>
          <w:tcPr>
            <w:tcW w:w="1198"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88" w:hRule="atLeast"/>
        </w:trPr>
        <w:tc>
          <w:tcPr>
            <w:tcW w:w="1003"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50"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39"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成本指标</w:t>
            </w:r>
          </w:p>
        </w:tc>
        <w:tc>
          <w:tcPr>
            <w:tcW w:w="2325"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预算控制数</w:t>
            </w:r>
          </w:p>
        </w:tc>
        <w:tc>
          <w:tcPr>
            <w:tcW w:w="1312"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bdr w:val="none" w:color="auto" w:sz="0" w:space="0"/>
                <w:lang w:val="en-US" w:eastAsia="zh-CN" w:bidi="ar"/>
              </w:rPr>
              <w:t>≤142.08</w:t>
            </w:r>
            <w:r>
              <w:rPr>
                <w:rFonts w:hint="eastAsia" w:ascii="宋体" w:hAnsi="宋体" w:eastAsia="宋体" w:cs="宋体"/>
                <w:i w:val="0"/>
                <w:color w:val="000000"/>
                <w:kern w:val="0"/>
                <w:sz w:val="20"/>
                <w:szCs w:val="20"/>
                <w:u w:val="none"/>
                <w:bdr w:val="none" w:color="auto" w:sz="0" w:space="0"/>
                <w:lang w:val="en-US" w:eastAsia="zh-CN" w:bidi="ar"/>
              </w:rPr>
              <w:t>万元</w:t>
            </w:r>
          </w:p>
        </w:tc>
        <w:tc>
          <w:tcPr>
            <w:tcW w:w="99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bdr w:val="none" w:color="auto" w:sz="0" w:space="0"/>
                <w:lang w:val="en-US" w:eastAsia="zh-CN" w:bidi="ar"/>
              </w:rPr>
              <w:t>142.08</w:t>
            </w:r>
            <w:r>
              <w:rPr>
                <w:rFonts w:hint="eastAsia" w:ascii="宋体" w:hAnsi="宋体" w:eastAsia="宋体" w:cs="宋体"/>
                <w:i w:val="0"/>
                <w:color w:val="000000"/>
                <w:kern w:val="0"/>
                <w:sz w:val="20"/>
                <w:szCs w:val="20"/>
                <w:u w:val="none"/>
                <w:bdr w:val="none" w:color="auto" w:sz="0" w:space="0"/>
                <w:lang w:val="en-US" w:eastAsia="zh-CN" w:bidi="ar"/>
              </w:rPr>
              <w:t>万元</w:t>
            </w:r>
          </w:p>
        </w:tc>
        <w:tc>
          <w:tcPr>
            <w:tcW w:w="1198"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44" w:hRule="atLeast"/>
        </w:trPr>
        <w:tc>
          <w:tcPr>
            <w:tcW w:w="1003"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50"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39"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325"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聘用人员的人均成本</w:t>
            </w:r>
          </w:p>
        </w:tc>
        <w:tc>
          <w:tcPr>
            <w:tcW w:w="1312"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w:t>
            </w:r>
            <w:r>
              <w:rPr>
                <w:rFonts w:hint="default" w:ascii="Calibri" w:hAnsi="Calibri" w:eastAsia="宋体" w:cs="Calibri"/>
                <w:i w:val="0"/>
                <w:color w:val="000000"/>
                <w:kern w:val="0"/>
                <w:sz w:val="20"/>
                <w:szCs w:val="20"/>
                <w:u w:val="none"/>
                <w:bdr w:val="none" w:color="auto" w:sz="0" w:space="0"/>
                <w:lang w:val="en-US" w:eastAsia="zh-CN" w:bidi="ar"/>
              </w:rPr>
              <w:t>6.5</w:t>
            </w:r>
            <w:r>
              <w:rPr>
                <w:rFonts w:hint="eastAsia" w:ascii="宋体" w:hAnsi="宋体" w:eastAsia="宋体" w:cs="宋体"/>
                <w:i w:val="0"/>
                <w:color w:val="000000"/>
                <w:kern w:val="0"/>
                <w:sz w:val="20"/>
                <w:szCs w:val="20"/>
                <w:u w:val="none"/>
                <w:bdr w:val="none" w:color="auto" w:sz="0" w:space="0"/>
                <w:lang w:val="en-US" w:eastAsia="zh-CN" w:bidi="ar"/>
              </w:rPr>
              <w:t>万元/年</w:t>
            </w:r>
          </w:p>
        </w:tc>
        <w:tc>
          <w:tcPr>
            <w:tcW w:w="99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bdr w:val="none" w:color="auto" w:sz="0" w:space="0"/>
                <w:lang w:val="en-US" w:eastAsia="zh-CN" w:bidi="ar"/>
              </w:rPr>
              <w:t>7.104</w:t>
            </w:r>
            <w:r>
              <w:rPr>
                <w:rFonts w:hint="eastAsia" w:ascii="宋体" w:hAnsi="宋体" w:eastAsia="宋体" w:cs="宋体"/>
                <w:i w:val="0"/>
                <w:color w:val="000000"/>
                <w:kern w:val="0"/>
                <w:sz w:val="20"/>
                <w:szCs w:val="20"/>
                <w:u w:val="none"/>
                <w:bdr w:val="none" w:color="auto" w:sz="0" w:space="0"/>
                <w:lang w:val="en-US" w:eastAsia="zh-CN" w:bidi="ar"/>
              </w:rPr>
              <w:t>万元/年</w:t>
            </w:r>
          </w:p>
        </w:tc>
        <w:tc>
          <w:tcPr>
            <w:tcW w:w="1198"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11" w:hRule="atLeast"/>
        </w:trPr>
        <w:tc>
          <w:tcPr>
            <w:tcW w:w="1003"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50" w:type="dxa"/>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预算执行率指标</w:t>
            </w:r>
            <w:r>
              <w:rPr>
                <w:rFonts w:hint="eastAsia" w:ascii="宋体" w:hAnsi="宋体" w:eastAsia="宋体" w:cs="宋体"/>
                <w:i w:val="0"/>
                <w:color w:val="000000"/>
                <w:kern w:val="0"/>
                <w:sz w:val="20"/>
                <w:szCs w:val="20"/>
                <w:u w:val="none"/>
                <w:bdr w:val="none" w:color="auto" w:sz="0" w:space="0"/>
                <w:lang w:val="en-US" w:eastAsia="zh-CN" w:bidi="ar"/>
              </w:rPr>
              <w:br w:type="textWrapping"/>
            </w:r>
            <w:r>
              <w:rPr>
                <w:rFonts w:hint="eastAsia" w:ascii="宋体" w:hAnsi="宋体" w:eastAsia="宋体" w:cs="宋体"/>
                <w:i w:val="0"/>
                <w:color w:val="000000"/>
                <w:kern w:val="0"/>
                <w:sz w:val="20"/>
                <w:szCs w:val="20"/>
                <w:u w:val="none"/>
                <w:bdr w:val="none" w:color="auto" w:sz="0" w:space="0"/>
                <w:lang w:val="en-US" w:eastAsia="zh-CN" w:bidi="ar"/>
              </w:rPr>
              <w:t>（10分）</w:t>
            </w:r>
          </w:p>
        </w:tc>
        <w:tc>
          <w:tcPr>
            <w:tcW w:w="83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预算执行率</w:t>
            </w:r>
          </w:p>
        </w:tc>
        <w:tc>
          <w:tcPr>
            <w:tcW w:w="2325"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预算数和执行数的比率</w:t>
            </w:r>
          </w:p>
        </w:tc>
        <w:tc>
          <w:tcPr>
            <w:tcW w:w="1312"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bdr w:val="none" w:color="auto" w:sz="0" w:space="0"/>
                <w:lang w:val="en-US" w:eastAsia="zh-CN" w:bidi="ar"/>
              </w:rPr>
              <w:t>≤100%</w:t>
            </w:r>
          </w:p>
        </w:tc>
        <w:tc>
          <w:tcPr>
            <w:tcW w:w="99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bdr w:val="none" w:color="auto" w:sz="0" w:space="0"/>
                <w:lang w:val="en-US" w:eastAsia="zh-CN" w:bidi="ar"/>
              </w:rPr>
              <w:t>100%</w:t>
            </w:r>
          </w:p>
        </w:tc>
        <w:tc>
          <w:tcPr>
            <w:tcW w:w="1198"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26" w:hRule="atLeast"/>
        </w:trPr>
        <w:tc>
          <w:tcPr>
            <w:tcW w:w="1003"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50" w:type="dxa"/>
            <w:vMerge w:val="restart"/>
            <w:tcBorders>
              <w:top w:val="nil"/>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效益指标（40分）</w:t>
            </w:r>
          </w:p>
        </w:tc>
        <w:tc>
          <w:tcPr>
            <w:tcW w:w="839" w:type="dxa"/>
            <w:tcBorders>
              <w:top w:val="single" w:color="000000" w:sz="4" w:space="0"/>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社会效益指标</w:t>
            </w:r>
          </w:p>
        </w:tc>
        <w:tc>
          <w:tcPr>
            <w:tcW w:w="2325"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提高单位办公效益</w:t>
            </w:r>
          </w:p>
        </w:tc>
        <w:tc>
          <w:tcPr>
            <w:tcW w:w="1312"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持续提高</w:t>
            </w:r>
          </w:p>
        </w:tc>
        <w:tc>
          <w:tcPr>
            <w:tcW w:w="99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持续提高</w:t>
            </w:r>
          </w:p>
        </w:tc>
        <w:tc>
          <w:tcPr>
            <w:tcW w:w="1198"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bdr w:val="none" w:color="auto" w:sz="0" w:space="0"/>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07" w:hRule="atLeast"/>
        </w:trPr>
        <w:tc>
          <w:tcPr>
            <w:tcW w:w="1003"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50" w:type="dxa"/>
            <w:vMerge w:val="continue"/>
            <w:tcBorders>
              <w:top w:val="nil"/>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39" w:type="dxa"/>
            <w:tcBorders>
              <w:top w:val="single" w:color="000000" w:sz="4" w:space="0"/>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可持续影响指标</w:t>
            </w:r>
          </w:p>
        </w:tc>
        <w:tc>
          <w:tcPr>
            <w:tcW w:w="2325"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保障审判工作正常运转</w:t>
            </w:r>
          </w:p>
        </w:tc>
        <w:tc>
          <w:tcPr>
            <w:tcW w:w="1312"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bdr w:val="none" w:color="auto" w:sz="0" w:space="0"/>
                <w:lang w:val="en-US" w:eastAsia="zh-CN" w:bidi="ar"/>
              </w:rPr>
              <w:t>≥98%</w:t>
            </w:r>
          </w:p>
        </w:tc>
        <w:tc>
          <w:tcPr>
            <w:tcW w:w="99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bdr w:val="none" w:color="auto" w:sz="0" w:space="0"/>
                <w:lang w:val="en-US" w:eastAsia="zh-CN" w:bidi="ar"/>
              </w:rPr>
              <w:t>100%</w:t>
            </w:r>
          </w:p>
        </w:tc>
        <w:tc>
          <w:tcPr>
            <w:tcW w:w="1198"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bdr w:val="none" w:color="auto" w:sz="0" w:space="0"/>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1" w:hRule="atLeast"/>
        </w:trPr>
        <w:tc>
          <w:tcPr>
            <w:tcW w:w="1003"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5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满意度指标</w:t>
            </w:r>
            <w:r>
              <w:rPr>
                <w:rFonts w:hint="eastAsia" w:ascii="宋体" w:hAnsi="宋体" w:eastAsia="宋体" w:cs="宋体"/>
                <w:i w:val="0"/>
                <w:color w:val="000000"/>
                <w:kern w:val="0"/>
                <w:sz w:val="20"/>
                <w:szCs w:val="20"/>
                <w:u w:val="none"/>
                <w:bdr w:val="none" w:color="auto" w:sz="0" w:space="0"/>
                <w:lang w:val="en-US" w:eastAsia="zh-CN" w:bidi="ar"/>
              </w:rPr>
              <w:br w:type="textWrapping"/>
            </w:r>
            <w:r>
              <w:rPr>
                <w:rFonts w:hint="eastAsia" w:ascii="宋体" w:hAnsi="宋体" w:eastAsia="宋体" w:cs="宋体"/>
                <w:i w:val="0"/>
                <w:color w:val="000000"/>
                <w:kern w:val="0"/>
                <w:sz w:val="20"/>
                <w:szCs w:val="20"/>
                <w:u w:val="none"/>
                <w:bdr w:val="none" w:color="auto" w:sz="0" w:space="0"/>
                <w:lang w:val="en-US" w:eastAsia="zh-CN" w:bidi="ar"/>
              </w:rPr>
              <w:t>（10分）</w:t>
            </w:r>
          </w:p>
        </w:tc>
        <w:tc>
          <w:tcPr>
            <w:tcW w:w="839" w:type="dxa"/>
            <w:tcBorders>
              <w:top w:val="single" w:color="000000" w:sz="4" w:space="0"/>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满意度指标</w:t>
            </w:r>
          </w:p>
        </w:tc>
        <w:tc>
          <w:tcPr>
            <w:tcW w:w="2325"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聘用人员满意度</w:t>
            </w:r>
          </w:p>
        </w:tc>
        <w:tc>
          <w:tcPr>
            <w:tcW w:w="1312"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bdr w:val="none" w:color="auto" w:sz="0" w:space="0"/>
                <w:lang w:val="en-US" w:eastAsia="zh-CN" w:bidi="ar"/>
              </w:rPr>
              <w:t>≥95%</w:t>
            </w:r>
          </w:p>
        </w:tc>
        <w:tc>
          <w:tcPr>
            <w:tcW w:w="99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bdr w:val="none" w:color="auto" w:sz="0" w:space="0"/>
                <w:lang w:val="en-US" w:eastAsia="zh-CN" w:bidi="ar"/>
              </w:rPr>
              <w:t>100%</w:t>
            </w:r>
          </w:p>
        </w:tc>
        <w:tc>
          <w:tcPr>
            <w:tcW w:w="1198"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98" w:hRule="atLeast"/>
        </w:trPr>
        <w:tc>
          <w:tcPr>
            <w:tcW w:w="1003"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319" w:type="dxa"/>
            <w:gridSpan w:val="6"/>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总分</w:t>
            </w:r>
          </w:p>
        </w:tc>
        <w:tc>
          <w:tcPr>
            <w:tcW w:w="1198"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21" w:hRule="atLeast"/>
        </w:trPr>
        <w:tc>
          <w:tcPr>
            <w:tcW w:w="1003" w:type="dxa"/>
            <w:tcBorders>
              <w:top w:val="nil"/>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五、</w:t>
            </w:r>
            <w:r>
              <w:rPr>
                <w:rFonts w:ascii="Calibri" w:hAnsi="Calibri" w:eastAsia="宋体" w:cs="Calibri"/>
                <w:i w:val="0"/>
                <w:color w:val="000000"/>
                <w:kern w:val="0"/>
                <w:sz w:val="20"/>
                <w:szCs w:val="20"/>
                <w:u w:val="none"/>
                <w:bdr w:val="none" w:color="auto" w:sz="0" w:space="0"/>
                <w:lang w:val="en-US" w:eastAsia="zh-CN" w:bidi="ar"/>
              </w:rPr>
              <w:t xml:space="preserve"> </w:t>
            </w:r>
            <w:r>
              <w:rPr>
                <w:rFonts w:hint="eastAsia" w:ascii="宋体" w:hAnsi="宋体" w:eastAsia="宋体" w:cs="宋体"/>
                <w:i w:val="0"/>
                <w:color w:val="000000"/>
                <w:kern w:val="0"/>
                <w:sz w:val="20"/>
                <w:szCs w:val="20"/>
                <w:u w:val="none"/>
                <w:bdr w:val="none" w:color="auto" w:sz="0" w:space="0"/>
                <w:lang w:val="en-US" w:eastAsia="zh-CN" w:bidi="ar"/>
              </w:rPr>
              <w:t>存在问题、原因及下一步整改措施</w:t>
            </w:r>
          </w:p>
        </w:tc>
        <w:tc>
          <w:tcPr>
            <w:tcW w:w="7517" w:type="dxa"/>
            <w:gridSpan w:val="7"/>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无</w:t>
            </w:r>
          </w:p>
        </w:tc>
      </w:tr>
      <w:bookmarkEnd w:id="8"/>
    </w:tbl>
    <w:p>
      <w:pPr>
        <w:rPr>
          <w:rFonts w:hint="default" w:ascii="Times New Roman" w:hAnsi="Times New Roman" w:eastAsia="仿宋_GB2312" w:cs="Times New Roman"/>
          <w:color w:val="auto"/>
          <w:kern w:val="2"/>
          <w:sz w:val="32"/>
          <w:szCs w:val="32"/>
          <w:highlight w:val="yellow"/>
          <w:lang w:val="zh-CN" w:eastAsia="zh-CN" w:bidi="ar-SA"/>
        </w:rPr>
      </w:pPr>
    </w:p>
    <w:p>
      <w:pPr>
        <w:numPr>
          <w:ilvl w:val="0"/>
          <w:numId w:val="3"/>
        </w:num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部门评价项目绩效评价结果</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bookmarkStart w:id="9" w:name="OLE_LINK10"/>
      <w:r>
        <w:rPr>
          <w:rFonts w:hint="default" w:ascii="Times New Roman" w:hAnsi="Times New Roman" w:eastAsia="仿宋_GB2312" w:cs="Times New Roman"/>
          <w:sz w:val="32"/>
          <w:szCs w:val="32"/>
        </w:rPr>
        <w:t>023 年度我院不断完善资金管理及内部控制制度，确保资金使用合理规范，为我院审判、执行各项工作开展提供了有力保障。经自评，整体项目自评得分 95.5 分，较好的完成了年度工作目标，综合评价等级为“优秀”。</w:t>
      </w:r>
    </w:p>
    <w:bookmarkEnd w:id="9"/>
    <w:p>
      <w:pPr>
        <w:adjustRightInd w:val="0"/>
        <w:snapToGrid w:val="0"/>
        <w:spacing w:line="58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十、其他需要说明的情况</w:t>
      </w:r>
    </w:p>
    <w:p>
      <w:pPr>
        <w:adjustRightInd w:val="0"/>
        <w:snapToGrid w:val="0"/>
        <w:spacing w:line="580" w:lineRule="exact"/>
        <w:ind w:firstLine="640" w:firstLineChars="200"/>
        <w:rPr>
          <w:rFonts w:hint="default" w:ascii="Times New Roman" w:hAnsi="Times New Roman" w:eastAsia="仿宋_GB2312" w:cs="Times New Roman"/>
          <w:sz w:val="32"/>
          <w:szCs w:val="32"/>
        </w:rPr>
      </w:pPr>
      <w:bookmarkStart w:id="10" w:name="OLE_LINK11"/>
      <w:r>
        <w:rPr>
          <w:rFonts w:hint="default" w:ascii="Times New Roman" w:hAnsi="Times New Roman" w:eastAsia="仿宋_GB2312" w:cs="Times New Roman"/>
          <w:sz w:val="32"/>
          <w:szCs w:val="32"/>
        </w:rPr>
        <w:t>1. 本部门 2023 年度政府性基金财政拨款收支、国有资</w:t>
      </w:r>
    </w:p>
    <w:p>
      <w:pPr>
        <w:adjustRightInd w:val="0"/>
        <w:snapToGrid w:val="0"/>
        <w:spacing w:line="580" w:lineRule="exac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本经营预算财政拨款支出无收支及结转结余情况，故公开 07表、公开 08 表以空表列示。</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w:t>
      </w:r>
    </w:p>
    <w:p>
      <w:pPr>
        <w:adjustRightInd w:val="0"/>
        <w:snapToGrid w:val="0"/>
        <w:spacing w:line="580" w:lineRule="exact"/>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开数据为四舍五入计算结果，个别数据合计项与分项之和存在小数点后差额，特此说明</w:t>
      </w:r>
      <w:r>
        <w:rPr>
          <w:rFonts w:hint="eastAsia" w:ascii="Times New Roman" w:hAnsi="Times New Roman" w:eastAsia="仿宋_GB2312" w:cs="Times New Roman"/>
          <w:sz w:val="32"/>
          <w:szCs w:val="32"/>
          <w:lang w:eastAsia="zh-CN"/>
        </w:rPr>
        <w:t>。</w:t>
      </w:r>
    </w:p>
    <w:p>
      <w:pPr>
        <w:adjustRightInd w:val="0"/>
        <w:snapToGrid w:val="0"/>
        <w:spacing w:line="580" w:lineRule="exact"/>
        <w:ind w:firstLine="640" w:firstLineChars="200"/>
        <w:rPr>
          <w:rFonts w:hint="default" w:ascii="Times New Roman" w:hAnsi="Times New Roman" w:eastAsia="仿宋_GB2312" w:cs="Times New Roman"/>
          <w:sz w:val="32"/>
          <w:szCs w:val="32"/>
        </w:rPr>
      </w:pPr>
    </w:p>
    <w:bookmarkEnd w:id="10"/>
    <w:p>
      <w:pPr>
        <w:rPr>
          <w:rFonts w:hint="default" w:ascii="Times New Roman" w:hAnsi="Times New Roman" w:eastAsia="仿宋_GB2312" w:cs="Times New Roman"/>
          <w:sz w:val="32"/>
          <w:szCs w:val="32"/>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bookmarkStart w:id="11" w:name="_GoBack"/>
      <w:bookmarkEnd w:id="11"/>
    </w:p>
    <w:p>
      <w:pPr>
        <w:rPr>
          <w:rFonts w:hint="default" w:ascii="Times New Roman" w:hAnsi="Times New Roman" w:eastAsia="仿宋_GB2312" w:cs="Times New Roman"/>
          <w:sz w:val="32"/>
          <w:szCs w:val="32"/>
        </w:rPr>
      </w:pP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pPr>
        <w:rPr>
          <w:rFonts w:hint="default" w:ascii="Times New Roman" w:hAnsi="Times New Roman" w:cs="Times New Roman"/>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D83F26AA-AFCC-4301-9EE1-4B938B590134}"/>
  </w:font>
  <w:font w:name="黑体">
    <w:panose1 w:val="02010609060101010101"/>
    <w:charset w:val="86"/>
    <w:family w:val="auto"/>
    <w:pitch w:val="default"/>
    <w:sig w:usb0="800002BF" w:usb1="38CF7CFA" w:usb2="00000016" w:usb3="00000000" w:csb0="00040001" w:csb1="00000000"/>
    <w:embedRegular r:id="rId2" w:fontKey="{A609D08F-0B71-4BD5-8E07-F2905E2253C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D8EF6CBA-66CE-4FF9-B566-B8E09841E793}"/>
  </w:font>
  <w:font w:name="仿宋">
    <w:panose1 w:val="02010609060101010101"/>
    <w:charset w:val="86"/>
    <w:family w:val="modern"/>
    <w:pitch w:val="default"/>
    <w:sig w:usb0="800002BF" w:usb1="38CF7CFA" w:usb2="00000016" w:usb3="00000000" w:csb0="00040001" w:csb1="00000000"/>
    <w:embedRegular r:id="rId4" w:fontKey="{47EE458D-3A01-4E91-A6F1-2247D70BC4FA}"/>
  </w:font>
  <w:font w:name="Calibri Light">
    <w:panose1 w:val="020F0302020204030204"/>
    <w:charset w:val="00"/>
    <w:family w:val="auto"/>
    <w:pitch w:val="default"/>
    <w:sig w:usb0="A00002EF" w:usb1="4000207B" w:usb2="00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5" w:fontKey="{D38D4808-5E55-47A6-BF3A-4900143B5387}"/>
  </w:font>
  <w:font w:name="思源黑体 CN Heavy">
    <w:altName w:val="黑体"/>
    <w:panose1 w:val="00000000000000000000"/>
    <w:charset w:val="86"/>
    <w:family w:val="swiss"/>
    <w:pitch w:val="default"/>
    <w:sig w:usb0="00000000" w:usb1="00000000" w:usb2="00000016" w:usb3="00000000" w:csb0="00060107" w:csb1="00000000"/>
    <w:embedRegular r:id="rId6" w:fontKey="{3C8986CF-28E8-4FAE-8C36-757F77EE47F0}"/>
  </w:font>
  <w:font w:name="楷体_GB2312">
    <w:panose1 w:val="02010609030101010101"/>
    <w:charset w:val="86"/>
    <w:family w:val="auto"/>
    <w:pitch w:val="default"/>
    <w:sig w:usb0="00000000" w:usb1="00000000" w:usb2="00000000" w:usb3="00000000" w:csb0="00000000" w:csb1="00000000"/>
    <w:embedRegular r:id="rId7" w:fontKey="{74B10CB1-200D-42E6-A90B-DFF76103432A}"/>
  </w:font>
  <w:font w:name="仿宋_GB2312">
    <w:panose1 w:val="02010609030101010101"/>
    <w:charset w:val="86"/>
    <w:family w:val="auto"/>
    <w:pitch w:val="default"/>
    <w:sig w:usb0="00000000" w:usb1="00000000" w:usb2="00000000" w:usb3="00000000" w:csb0="00000000" w:csb1="00000000"/>
    <w:embedRegular r:id="rId8" w:fontKey="{E7F792AB-F3BC-473E-845A-BF39DAB92DB3}"/>
  </w:font>
  <w:font w:name="ArialUnicodeMS">
    <w:altName w:val="Malgun Gothic"/>
    <w:panose1 w:val="00000000000000000000"/>
    <w:charset w:val="81"/>
    <w:family w:val="auto"/>
    <w:pitch w:val="default"/>
    <w:sig w:usb0="00000000" w:usb1="00000000" w:usb2="00000010" w:usb3="00000000" w:csb0="00080001" w:csb1="00000000"/>
    <w:embedRegular r:id="rId9" w:fontKey="{35FC490C-7F64-4175-98B2-5E31F783D669}"/>
  </w:font>
  <w:font w:name="方正仿宋_GB2312">
    <w:panose1 w:val="02000000000000000000"/>
    <w:charset w:val="86"/>
    <w:family w:val="auto"/>
    <w:pitch w:val="default"/>
    <w:sig w:usb0="00000000" w:usb1="00000000" w:usb2="00000000" w:usb3="00000000" w:csb0="00000000" w:csb1="00000000"/>
    <w:embedRegular r:id="rId10" w:fontKey="{BA22B89C-F5C5-4588-8A9F-D81A11769638}"/>
  </w:font>
  <w:font w:name="微软雅黑">
    <w:panose1 w:val="020B0503020204020204"/>
    <w:charset w:val="86"/>
    <w:family w:val="auto"/>
    <w:pitch w:val="default"/>
    <w:sig w:usb0="80000287" w:usb1="280F3C52" w:usb2="00000016" w:usb3="00000000" w:csb0="0004001F" w:csb1="00000000"/>
  </w:font>
  <w:font w:name="Malgun Gothic">
    <w:panose1 w:val="020B0503020000020004"/>
    <w:charset w:val="81"/>
    <w:family w:val="auto"/>
    <w:pitch w:val="default"/>
    <w:sig w:usb0="900002AF" w:usb1="01D77CFB" w:usb2="00000012" w:usb3="00000000" w:csb0="00080001" w:csb1="00000000"/>
  </w:font>
  <w:font w:name="仿宋_GB2312">
    <w:panose1 w:val="02010609030101010101"/>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embedRegular r:id="rId11" w:fontKey="{2F34BAC1-B34C-42C4-8B93-2A46F55F30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60503AF"/>
    <w:multiLevelType w:val="singleLevel"/>
    <w:tmpl w:val="A60503AF"/>
    <w:lvl w:ilvl="0" w:tentative="0">
      <w:start w:val="3"/>
      <w:numFmt w:val="chineseCounting"/>
      <w:suff w:val="nothing"/>
      <w:lvlText w:val="（%1）"/>
      <w:lvlJc w:val="left"/>
      <w:rPr>
        <w:rFonts w:hint="eastAsia"/>
      </w:rPr>
    </w:lvl>
  </w:abstractNum>
  <w:abstractNum w:abstractNumId="1">
    <w:nsid w:val="F31EB42C"/>
    <w:multiLevelType w:val="singleLevel"/>
    <w:tmpl w:val="F31EB42C"/>
    <w:lvl w:ilvl="0" w:tentative="0">
      <w:start w:val="4"/>
      <w:numFmt w:val="chineseCounting"/>
      <w:suff w:val="nothing"/>
      <w:lvlText w:val="（%1）"/>
      <w:lvlJc w:val="left"/>
      <w:rPr>
        <w:rFonts w:hint="eastAsia"/>
      </w:rPr>
    </w:lvl>
  </w:abstractNum>
  <w:abstractNum w:abstractNumId="2">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jAsImhkaWQiOiJiMzk2N2EzZjUyYWViODRjZjJhMDZjM2YyYjk4MTExMiIsInVzZXJDb3VudCI6MX0="/>
  </w:docVars>
  <w:rsids>
    <w:rsidRoot w:val="00000000"/>
    <w:rsid w:val="00086151"/>
    <w:rsid w:val="00236F8C"/>
    <w:rsid w:val="008E12CF"/>
    <w:rsid w:val="0096690D"/>
    <w:rsid w:val="00C25C40"/>
    <w:rsid w:val="00C65689"/>
    <w:rsid w:val="00CC2C8E"/>
    <w:rsid w:val="00F27B04"/>
    <w:rsid w:val="01616D62"/>
    <w:rsid w:val="01900E19"/>
    <w:rsid w:val="01A03C5A"/>
    <w:rsid w:val="01A5267D"/>
    <w:rsid w:val="01DA0A75"/>
    <w:rsid w:val="02363AF1"/>
    <w:rsid w:val="024808A2"/>
    <w:rsid w:val="025C3821"/>
    <w:rsid w:val="02DA3B1B"/>
    <w:rsid w:val="02E57B4D"/>
    <w:rsid w:val="033D3951"/>
    <w:rsid w:val="037B12D4"/>
    <w:rsid w:val="03804D63"/>
    <w:rsid w:val="03FB73B0"/>
    <w:rsid w:val="04BD008C"/>
    <w:rsid w:val="04C55939"/>
    <w:rsid w:val="04DA28BB"/>
    <w:rsid w:val="04F528BE"/>
    <w:rsid w:val="05991C82"/>
    <w:rsid w:val="061416A9"/>
    <w:rsid w:val="06236884"/>
    <w:rsid w:val="067E788A"/>
    <w:rsid w:val="06FC7C2A"/>
    <w:rsid w:val="071E363B"/>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9F7900"/>
    <w:rsid w:val="0CB23317"/>
    <w:rsid w:val="0CD632D4"/>
    <w:rsid w:val="0D101068"/>
    <w:rsid w:val="0D49470D"/>
    <w:rsid w:val="0D7557DF"/>
    <w:rsid w:val="0D853E34"/>
    <w:rsid w:val="0D9C2A57"/>
    <w:rsid w:val="0DB70668"/>
    <w:rsid w:val="0DFA5D82"/>
    <w:rsid w:val="0E1E52CE"/>
    <w:rsid w:val="0E341BC0"/>
    <w:rsid w:val="0E866524"/>
    <w:rsid w:val="0E9268D3"/>
    <w:rsid w:val="0E957F1F"/>
    <w:rsid w:val="0EBE4499"/>
    <w:rsid w:val="0F0E7284"/>
    <w:rsid w:val="0F28110F"/>
    <w:rsid w:val="0F37083F"/>
    <w:rsid w:val="0F891DB8"/>
    <w:rsid w:val="0FAA3B86"/>
    <w:rsid w:val="10191346"/>
    <w:rsid w:val="10754A6C"/>
    <w:rsid w:val="108B537D"/>
    <w:rsid w:val="10B11DB1"/>
    <w:rsid w:val="10C7485C"/>
    <w:rsid w:val="11177F57"/>
    <w:rsid w:val="11217C97"/>
    <w:rsid w:val="11464C20"/>
    <w:rsid w:val="115E4926"/>
    <w:rsid w:val="118A1FFA"/>
    <w:rsid w:val="11E35B5A"/>
    <w:rsid w:val="11E42DD6"/>
    <w:rsid w:val="125F5A1B"/>
    <w:rsid w:val="126979D6"/>
    <w:rsid w:val="129E45A7"/>
    <w:rsid w:val="13074404"/>
    <w:rsid w:val="136A5C00"/>
    <w:rsid w:val="13C527AC"/>
    <w:rsid w:val="14711797"/>
    <w:rsid w:val="147B6F17"/>
    <w:rsid w:val="14D42061"/>
    <w:rsid w:val="15081C8B"/>
    <w:rsid w:val="15090D5C"/>
    <w:rsid w:val="15CF053D"/>
    <w:rsid w:val="15E0131A"/>
    <w:rsid w:val="16457D9F"/>
    <w:rsid w:val="17223EFF"/>
    <w:rsid w:val="17B713F6"/>
    <w:rsid w:val="184350A0"/>
    <w:rsid w:val="18541CC2"/>
    <w:rsid w:val="187B3DA8"/>
    <w:rsid w:val="18935485"/>
    <w:rsid w:val="18946C52"/>
    <w:rsid w:val="18A34206"/>
    <w:rsid w:val="18DE3B2C"/>
    <w:rsid w:val="1906685D"/>
    <w:rsid w:val="19111683"/>
    <w:rsid w:val="19353916"/>
    <w:rsid w:val="19B07C1B"/>
    <w:rsid w:val="19C10AF1"/>
    <w:rsid w:val="1A2672DE"/>
    <w:rsid w:val="1AA81D42"/>
    <w:rsid w:val="1AB433D9"/>
    <w:rsid w:val="1B1B11EE"/>
    <w:rsid w:val="1B232D66"/>
    <w:rsid w:val="1B3719E0"/>
    <w:rsid w:val="1B6261C3"/>
    <w:rsid w:val="1B731730"/>
    <w:rsid w:val="1B882BB5"/>
    <w:rsid w:val="1B906310"/>
    <w:rsid w:val="1B9B33C7"/>
    <w:rsid w:val="1B9D7FEC"/>
    <w:rsid w:val="1BA55461"/>
    <w:rsid w:val="1BE74496"/>
    <w:rsid w:val="1C3D67D1"/>
    <w:rsid w:val="1C40731A"/>
    <w:rsid w:val="1C560392"/>
    <w:rsid w:val="1C581532"/>
    <w:rsid w:val="1C7D181A"/>
    <w:rsid w:val="1CA15E03"/>
    <w:rsid w:val="1CA24F0C"/>
    <w:rsid w:val="1CF8716C"/>
    <w:rsid w:val="1D230EBD"/>
    <w:rsid w:val="1D4B1F5B"/>
    <w:rsid w:val="1D6C5CA0"/>
    <w:rsid w:val="1D725586"/>
    <w:rsid w:val="1D745B4F"/>
    <w:rsid w:val="1D867987"/>
    <w:rsid w:val="1D944010"/>
    <w:rsid w:val="1DA60472"/>
    <w:rsid w:val="1DD70E85"/>
    <w:rsid w:val="1DE6414E"/>
    <w:rsid w:val="1DE74AD7"/>
    <w:rsid w:val="1DF60A19"/>
    <w:rsid w:val="1DFA6713"/>
    <w:rsid w:val="1E050843"/>
    <w:rsid w:val="1E20024F"/>
    <w:rsid w:val="1E2D3FB0"/>
    <w:rsid w:val="1E2E50F1"/>
    <w:rsid w:val="1E2F73C2"/>
    <w:rsid w:val="1E3B4E26"/>
    <w:rsid w:val="1E97477F"/>
    <w:rsid w:val="1EDF707D"/>
    <w:rsid w:val="1F65664C"/>
    <w:rsid w:val="1F79478A"/>
    <w:rsid w:val="1F7C149A"/>
    <w:rsid w:val="1F84140D"/>
    <w:rsid w:val="1F863C54"/>
    <w:rsid w:val="1F9B7FFD"/>
    <w:rsid w:val="1F9C7614"/>
    <w:rsid w:val="1FB810FB"/>
    <w:rsid w:val="1FBE1971"/>
    <w:rsid w:val="2008768D"/>
    <w:rsid w:val="204C2B10"/>
    <w:rsid w:val="207D30AD"/>
    <w:rsid w:val="209064B9"/>
    <w:rsid w:val="20970D81"/>
    <w:rsid w:val="20D165D5"/>
    <w:rsid w:val="210878E6"/>
    <w:rsid w:val="210E1408"/>
    <w:rsid w:val="211069AD"/>
    <w:rsid w:val="21573FAB"/>
    <w:rsid w:val="2172069C"/>
    <w:rsid w:val="21987BC4"/>
    <w:rsid w:val="220451AB"/>
    <w:rsid w:val="2237486E"/>
    <w:rsid w:val="223D1378"/>
    <w:rsid w:val="22940650"/>
    <w:rsid w:val="22AD4B1E"/>
    <w:rsid w:val="22D31DF3"/>
    <w:rsid w:val="22FD3CF7"/>
    <w:rsid w:val="2356249E"/>
    <w:rsid w:val="23605570"/>
    <w:rsid w:val="236E713A"/>
    <w:rsid w:val="23700968"/>
    <w:rsid w:val="238761A6"/>
    <w:rsid w:val="23920578"/>
    <w:rsid w:val="23BB6F9A"/>
    <w:rsid w:val="23FC3864"/>
    <w:rsid w:val="247D7230"/>
    <w:rsid w:val="24F25212"/>
    <w:rsid w:val="254B0AC6"/>
    <w:rsid w:val="25571AB6"/>
    <w:rsid w:val="25B40AD6"/>
    <w:rsid w:val="25BE7872"/>
    <w:rsid w:val="25BF702A"/>
    <w:rsid w:val="25FA6065"/>
    <w:rsid w:val="2611374E"/>
    <w:rsid w:val="261F111C"/>
    <w:rsid w:val="26477410"/>
    <w:rsid w:val="264D2D17"/>
    <w:rsid w:val="26D50E55"/>
    <w:rsid w:val="270763D6"/>
    <w:rsid w:val="271A539C"/>
    <w:rsid w:val="274972D4"/>
    <w:rsid w:val="275048F0"/>
    <w:rsid w:val="275C72A5"/>
    <w:rsid w:val="27AA3D97"/>
    <w:rsid w:val="28405AA6"/>
    <w:rsid w:val="289057C5"/>
    <w:rsid w:val="28A67C7A"/>
    <w:rsid w:val="28D1057E"/>
    <w:rsid w:val="28EA3248"/>
    <w:rsid w:val="28F879DA"/>
    <w:rsid w:val="294630F8"/>
    <w:rsid w:val="294B7731"/>
    <w:rsid w:val="296A5FF1"/>
    <w:rsid w:val="29D21FF2"/>
    <w:rsid w:val="2A611B0F"/>
    <w:rsid w:val="2AC1762B"/>
    <w:rsid w:val="2AE845D0"/>
    <w:rsid w:val="2B4975FB"/>
    <w:rsid w:val="2B695031"/>
    <w:rsid w:val="2B735A8F"/>
    <w:rsid w:val="2BA7478D"/>
    <w:rsid w:val="2BB038DB"/>
    <w:rsid w:val="2BB761E0"/>
    <w:rsid w:val="2BB812F9"/>
    <w:rsid w:val="2BE319AF"/>
    <w:rsid w:val="2BE35C27"/>
    <w:rsid w:val="2BFA504B"/>
    <w:rsid w:val="2C681F1F"/>
    <w:rsid w:val="2C8608DC"/>
    <w:rsid w:val="2CA4764A"/>
    <w:rsid w:val="2CC42ECA"/>
    <w:rsid w:val="2CDA4349"/>
    <w:rsid w:val="2D225539"/>
    <w:rsid w:val="2D4618D2"/>
    <w:rsid w:val="2D5F021B"/>
    <w:rsid w:val="2D6E1286"/>
    <w:rsid w:val="2D70583E"/>
    <w:rsid w:val="2D99655D"/>
    <w:rsid w:val="2E1B4BB8"/>
    <w:rsid w:val="2E256CB6"/>
    <w:rsid w:val="2E3224D3"/>
    <w:rsid w:val="2E5F27E4"/>
    <w:rsid w:val="2E9871B6"/>
    <w:rsid w:val="2EBD223E"/>
    <w:rsid w:val="2EC10AD1"/>
    <w:rsid w:val="2ECB6A5A"/>
    <w:rsid w:val="2EFC0112"/>
    <w:rsid w:val="2F2B730D"/>
    <w:rsid w:val="2F42598B"/>
    <w:rsid w:val="2F8169E4"/>
    <w:rsid w:val="2F9F3DC1"/>
    <w:rsid w:val="2FFC7AC2"/>
    <w:rsid w:val="301430AF"/>
    <w:rsid w:val="30630612"/>
    <w:rsid w:val="308E59B0"/>
    <w:rsid w:val="30B10568"/>
    <w:rsid w:val="30E55DD3"/>
    <w:rsid w:val="30E60399"/>
    <w:rsid w:val="31356AA5"/>
    <w:rsid w:val="313E22F0"/>
    <w:rsid w:val="31B0194C"/>
    <w:rsid w:val="31CE17D1"/>
    <w:rsid w:val="320F6F96"/>
    <w:rsid w:val="323E4515"/>
    <w:rsid w:val="3286389B"/>
    <w:rsid w:val="32CF5C94"/>
    <w:rsid w:val="32D337C7"/>
    <w:rsid w:val="32E200EC"/>
    <w:rsid w:val="32E5408B"/>
    <w:rsid w:val="32E9750B"/>
    <w:rsid w:val="32EB0D70"/>
    <w:rsid w:val="332868BB"/>
    <w:rsid w:val="333211F3"/>
    <w:rsid w:val="333E3678"/>
    <w:rsid w:val="33504B41"/>
    <w:rsid w:val="335174BC"/>
    <w:rsid w:val="338B4A07"/>
    <w:rsid w:val="33944811"/>
    <w:rsid w:val="33CE0488"/>
    <w:rsid w:val="34005866"/>
    <w:rsid w:val="34182C85"/>
    <w:rsid w:val="34262463"/>
    <w:rsid w:val="34296F31"/>
    <w:rsid w:val="34340A27"/>
    <w:rsid w:val="346A2989"/>
    <w:rsid w:val="34714663"/>
    <w:rsid w:val="348865E9"/>
    <w:rsid w:val="348F70D5"/>
    <w:rsid w:val="349D2BAD"/>
    <w:rsid w:val="34B25886"/>
    <w:rsid w:val="34B40430"/>
    <w:rsid w:val="35277FF8"/>
    <w:rsid w:val="35776F72"/>
    <w:rsid w:val="35997371"/>
    <w:rsid w:val="360134DF"/>
    <w:rsid w:val="360B1E2F"/>
    <w:rsid w:val="360D500F"/>
    <w:rsid w:val="36330424"/>
    <w:rsid w:val="36990C8E"/>
    <w:rsid w:val="36FE3ABA"/>
    <w:rsid w:val="37072BDE"/>
    <w:rsid w:val="3716321D"/>
    <w:rsid w:val="37252B82"/>
    <w:rsid w:val="37455334"/>
    <w:rsid w:val="376A14D2"/>
    <w:rsid w:val="37731921"/>
    <w:rsid w:val="37E509C0"/>
    <w:rsid w:val="37E96FB8"/>
    <w:rsid w:val="38222D85"/>
    <w:rsid w:val="38803721"/>
    <w:rsid w:val="38925A62"/>
    <w:rsid w:val="389F5F4F"/>
    <w:rsid w:val="38C36BA2"/>
    <w:rsid w:val="38F6595C"/>
    <w:rsid w:val="391702A7"/>
    <w:rsid w:val="39286EB6"/>
    <w:rsid w:val="39601DF4"/>
    <w:rsid w:val="39840D35"/>
    <w:rsid w:val="39A239AC"/>
    <w:rsid w:val="39A97DAF"/>
    <w:rsid w:val="39CD1330"/>
    <w:rsid w:val="39DD1AFF"/>
    <w:rsid w:val="3A160AE6"/>
    <w:rsid w:val="3A2510B9"/>
    <w:rsid w:val="3A2A2EDD"/>
    <w:rsid w:val="3A2B1DFC"/>
    <w:rsid w:val="3AA6422C"/>
    <w:rsid w:val="3AAF46D5"/>
    <w:rsid w:val="3AB900D5"/>
    <w:rsid w:val="3B135A0E"/>
    <w:rsid w:val="3B272BBC"/>
    <w:rsid w:val="3B374FEE"/>
    <w:rsid w:val="3B4410EE"/>
    <w:rsid w:val="3B56159C"/>
    <w:rsid w:val="3B7D732B"/>
    <w:rsid w:val="3BD30423"/>
    <w:rsid w:val="3C3A1750"/>
    <w:rsid w:val="3C6147F2"/>
    <w:rsid w:val="3C6C0B58"/>
    <w:rsid w:val="3CBE41D5"/>
    <w:rsid w:val="3D305D4F"/>
    <w:rsid w:val="3D446B0E"/>
    <w:rsid w:val="3D953A6B"/>
    <w:rsid w:val="3DBB2CD5"/>
    <w:rsid w:val="3DBB5979"/>
    <w:rsid w:val="3E1057AF"/>
    <w:rsid w:val="3E6C0DFA"/>
    <w:rsid w:val="3E740322"/>
    <w:rsid w:val="3E7F4380"/>
    <w:rsid w:val="3E8D171B"/>
    <w:rsid w:val="3E8E5574"/>
    <w:rsid w:val="3EA5630D"/>
    <w:rsid w:val="3EBA731B"/>
    <w:rsid w:val="3EFB5800"/>
    <w:rsid w:val="3F3B4E59"/>
    <w:rsid w:val="3F4D1B74"/>
    <w:rsid w:val="3F6E677C"/>
    <w:rsid w:val="3F712F46"/>
    <w:rsid w:val="3FBC0EF7"/>
    <w:rsid w:val="3FCD2AB9"/>
    <w:rsid w:val="3FD17600"/>
    <w:rsid w:val="4050218A"/>
    <w:rsid w:val="405C7868"/>
    <w:rsid w:val="408B24EB"/>
    <w:rsid w:val="417044B8"/>
    <w:rsid w:val="41812F00"/>
    <w:rsid w:val="41A203A0"/>
    <w:rsid w:val="41E83F8C"/>
    <w:rsid w:val="422D1842"/>
    <w:rsid w:val="425B7C31"/>
    <w:rsid w:val="42737A55"/>
    <w:rsid w:val="427D66D0"/>
    <w:rsid w:val="42BC7E02"/>
    <w:rsid w:val="42C82575"/>
    <w:rsid w:val="43022EE1"/>
    <w:rsid w:val="431A5F8F"/>
    <w:rsid w:val="431F247A"/>
    <w:rsid w:val="43335E8F"/>
    <w:rsid w:val="433F2968"/>
    <w:rsid w:val="43676E20"/>
    <w:rsid w:val="43A31040"/>
    <w:rsid w:val="43BF774E"/>
    <w:rsid w:val="43CD062F"/>
    <w:rsid w:val="43E214F9"/>
    <w:rsid w:val="43F06264"/>
    <w:rsid w:val="43FE1568"/>
    <w:rsid w:val="44404C8E"/>
    <w:rsid w:val="447537F1"/>
    <w:rsid w:val="44795B2A"/>
    <w:rsid w:val="44870D07"/>
    <w:rsid w:val="45513D03"/>
    <w:rsid w:val="45541E1C"/>
    <w:rsid w:val="45F657C2"/>
    <w:rsid w:val="460713D2"/>
    <w:rsid w:val="461F0A8B"/>
    <w:rsid w:val="4648721E"/>
    <w:rsid w:val="46663E71"/>
    <w:rsid w:val="466A37AC"/>
    <w:rsid w:val="46CB071B"/>
    <w:rsid w:val="46CC77BF"/>
    <w:rsid w:val="46DE140B"/>
    <w:rsid w:val="46E77334"/>
    <w:rsid w:val="46F22E29"/>
    <w:rsid w:val="46F7142F"/>
    <w:rsid w:val="47107AE3"/>
    <w:rsid w:val="473C62ED"/>
    <w:rsid w:val="47617242"/>
    <w:rsid w:val="478C16C9"/>
    <w:rsid w:val="47AD79CE"/>
    <w:rsid w:val="47BD246B"/>
    <w:rsid w:val="47CB2B0C"/>
    <w:rsid w:val="47E773CE"/>
    <w:rsid w:val="48015FF5"/>
    <w:rsid w:val="484C45A4"/>
    <w:rsid w:val="48692CD0"/>
    <w:rsid w:val="48AE3D01"/>
    <w:rsid w:val="48D9540B"/>
    <w:rsid w:val="49067B2F"/>
    <w:rsid w:val="496008AE"/>
    <w:rsid w:val="49677E31"/>
    <w:rsid w:val="496C2225"/>
    <w:rsid w:val="49AE2880"/>
    <w:rsid w:val="49F42EAF"/>
    <w:rsid w:val="49F96FB8"/>
    <w:rsid w:val="4A337323"/>
    <w:rsid w:val="4A3679E8"/>
    <w:rsid w:val="4A5B28DC"/>
    <w:rsid w:val="4AA06B93"/>
    <w:rsid w:val="4ADB18EB"/>
    <w:rsid w:val="4AEE5418"/>
    <w:rsid w:val="4B0371D8"/>
    <w:rsid w:val="4B96118E"/>
    <w:rsid w:val="4BAE1B66"/>
    <w:rsid w:val="4BED4708"/>
    <w:rsid w:val="4BF133DC"/>
    <w:rsid w:val="4C507D4A"/>
    <w:rsid w:val="4CDF5563"/>
    <w:rsid w:val="4CFB2214"/>
    <w:rsid w:val="4D1A3672"/>
    <w:rsid w:val="4D2C4D26"/>
    <w:rsid w:val="4D335E0E"/>
    <w:rsid w:val="4D4E4EA3"/>
    <w:rsid w:val="4D9A5B1B"/>
    <w:rsid w:val="4DA55D85"/>
    <w:rsid w:val="4DBB20DB"/>
    <w:rsid w:val="4DD64F20"/>
    <w:rsid w:val="4DDC3F22"/>
    <w:rsid w:val="4E1040C7"/>
    <w:rsid w:val="4E1760BF"/>
    <w:rsid w:val="4E646AEA"/>
    <w:rsid w:val="4EBA03C3"/>
    <w:rsid w:val="4EBC5459"/>
    <w:rsid w:val="4ED94CB0"/>
    <w:rsid w:val="4EEC2ED3"/>
    <w:rsid w:val="4F037DB0"/>
    <w:rsid w:val="4F0B74A3"/>
    <w:rsid w:val="4F0E56EA"/>
    <w:rsid w:val="4F2E11BC"/>
    <w:rsid w:val="4F3C4343"/>
    <w:rsid w:val="4F416688"/>
    <w:rsid w:val="4F5620B0"/>
    <w:rsid w:val="4F6654EE"/>
    <w:rsid w:val="4F7379C6"/>
    <w:rsid w:val="4F872183"/>
    <w:rsid w:val="4F872BDB"/>
    <w:rsid w:val="4FA033E9"/>
    <w:rsid w:val="4FA743DA"/>
    <w:rsid w:val="4FB3565A"/>
    <w:rsid w:val="4FED77BF"/>
    <w:rsid w:val="503D1C79"/>
    <w:rsid w:val="507A6406"/>
    <w:rsid w:val="50853863"/>
    <w:rsid w:val="508A4590"/>
    <w:rsid w:val="509352D9"/>
    <w:rsid w:val="50F1461D"/>
    <w:rsid w:val="50FE5411"/>
    <w:rsid w:val="510B072E"/>
    <w:rsid w:val="511B0BF4"/>
    <w:rsid w:val="51264306"/>
    <w:rsid w:val="516123CE"/>
    <w:rsid w:val="51B177A9"/>
    <w:rsid w:val="51CF0D81"/>
    <w:rsid w:val="51E066EB"/>
    <w:rsid w:val="51E84FDE"/>
    <w:rsid w:val="5267570A"/>
    <w:rsid w:val="52707792"/>
    <w:rsid w:val="52A12CDC"/>
    <w:rsid w:val="52DF0C92"/>
    <w:rsid w:val="52E1159C"/>
    <w:rsid w:val="52E34D6A"/>
    <w:rsid w:val="531E524E"/>
    <w:rsid w:val="534072EB"/>
    <w:rsid w:val="538E2D0B"/>
    <w:rsid w:val="53922782"/>
    <w:rsid w:val="539C1424"/>
    <w:rsid w:val="53A639C0"/>
    <w:rsid w:val="53F00A24"/>
    <w:rsid w:val="53F63DBA"/>
    <w:rsid w:val="5448624E"/>
    <w:rsid w:val="546E2B1A"/>
    <w:rsid w:val="5482555F"/>
    <w:rsid w:val="551452C2"/>
    <w:rsid w:val="55363E67"/>
    <w:rsid w:val="556E6DF7"/>
    <w:rsid w:val="559D47CE"/>
    <w:rsid w:val="55BE1959"/>
    <w:rsid w:val="56232437"/>
    <w:rsid w:val="56541A75"/>
    <w:rsid w:val="568832FC"/>
    <w:rsid w:val="568C4181"/>
    <w:rsid w:val="56AC2FF1"/>
    <w:rsid w:val="570725A9"/>
    <w:rsid w:val="5714693E"/>
    <w:rsid w:val="571D0C9C"/>
    <w:rsid w:val="573A16CE"/>
    <w:rsid w:val="577F71A8"/>
    <w:rsid w:val="579C7F80"/>
    <w:rsid w:val="57B30D7C"/>
    <w:rsid w:val="58166B03"/>
    <w:rsid w:val="583E3C94"/>
    <w:rsid w:val="58721734"/>
    <w:rsid w:val="58900246"/>
    <w:rsid w:val="58977358"/>
    <w:rsid w:val="58D53944"/>
    <w:rsid w:val="58D65478"/>
    <w:rsid w:val="58F52487"/>
    <w:rsid w:val="58F778BC"/>
    <w:rsid w:val="590422E6"/>
    <w:rsid w:val="592257E5"/>
    <w:rsid w:val="59655E33"/>
    <w:rsid w:val="59CF5BD9"/>
    <w:rsid w:val="59E20C3C"/>
    <w:rsid w:val="5A1D5B0A"/>
    <w:rsid w:val="5A3B4B4E"/>
    <w:rsid w:val="5A4804CA"/>
    <w:rsid w:val="5A594C85"/>
    <w:rsid w:val="5A7D649E"/>
    <w:rsid w:val="5AEB1E3C"/>
    <w:rsid w:val="5B2507CA"/>
    <w:rsid w:val="5B2A474A"/>
    <w:rsid w:val="5B830730"/>
    <w:rsid w:val="5B871C49"/>
    <w:rsid w:val="5BBB2DD6"/>
    <w:rsid w:val="5BE263B6"/>
    <w:rsid w:val="5C653B42"/>
    <w:rsid w:val="5C8E5C5A"/>
    <w:rsid w:val="5C965E61"/>
    <w:rsid w:val="5CA76AD9"/>
    <w:rsid w:val="5D242A11"/>
    <w:rsid w:val="5D9217C2"/>
    <w:rsid w:val="5DAD06BF"/>
    <w:rsid w:val="5DE23CB3"/>
    <w:rsid w:val="5DE97EEC"/>
    <w:rsid w:val="5DEE051B"/>
    <w:rsid w:val="5DF43138"/>
    <w:rsid w:val="5DFA5EB0"/>
    <w:rsid w:val="5E0B583E"/>
    <w:rsid w:val="5E201A7B"/>
    <w:rsid w:val="5EBD0484"/>
    <w:rsid w:val="5F2C5C7C"/>
    <w:rsid w:val="5FC5273F"/>
    <w:rsid w:val="60806DF2"/>
    <w:rsid w:val="610255D1"/>
    <w:rsid w:val="61072DA5"/>
    <w:rsid w:val="611C0817"/>
    <w:rsid w:val="61224A52"/>
    <w:rsid w:val="61520CCB"/>
    <w:rsid w:val="61851A29"/>
    <w:rsid w:val="622D1522"/>
    <w:rsid w:val="622E0574"/>
    <w:rsid w:val="62683B6B"/>
    <w:rsid w:val="62AC5944"/>
    <w:rsid w:val="632731DA"/>
    <w:rsid w:val="637279B4"/>
    <w:rsid w:val="63817D2B"/>
    <w:rsid w:val="63BD1FA9"/>
    <w:rsid w:val="63D27965"/>
    <w:rsid w:val="63FF063D"/>
    <w:rsid w:val="64095516"/>
    <w:rsid w:val="641A2468"/>
    <w:rsid w:val="64372F20"/>
    <w:rsid w:val="64DC72D7"/>
    <w:rsid w:val="653113E3"/>
    <w:rsid w:val="653619A6"/>
    <w:rsid w:val="65610A02"/>
    <w:rsid w:val="65A11EA3"/>
    <w:rsid w:val="65AC3D66"/>
    <w:rsid w:val="65BB5334"/>
    <w:rsid w:val="663E1DBA"/>
    <w:rsid w:val="665D0213"/>
    <w:rsid w:val="669E59F1"/>
    <w:rsid w:val="66A2024B"/>
    <w:rsid w:val="66D03E18"/>
    <w:rsid w:val="66EA4BA0"/>
    <w:rsid w:val="6704732B"/>
    <w:rsid w:val="670F6731"/>
    <w:rsid w:val="67280F62"/>
    <w:rsid w:val="67585CB0"/>
    <w:rsid w:val="67770F0C"/>
    <w:rsid w:val="67B03535"/>
    <w:rsid w:val="67CA6DA3"/>
    <w:rsid w:val="6801775B"/>
    <w:rsid w:val="68174F69"/>
    <w:rsid w:val="682C436A"/>
    <w:rsid w:val="68382778"/>
    <w:rsid w:val="68391F41"/>
    <w:rsid w:val="68436B8C"/>
    <w:rsid w:val="68797358"/>
    <w:rsid w:val="6884624F"/>
    <w:rsid w:val="68A519DF"/>
    <w:rsid w:val="68C4160B"/>
    <w:rsid w:val="68C41C30"/>
    <w:rsid w:val="68CF3BA4"/>
    <w:rsid w:val="69257FA7"/>
    <w:rsid w:val="693711B0"/>
    <w:rsid w:val="693F26C7"/>
    <w:rsid w:val="697E12B2"/>
    <w:rsid w:val="69C8706D"/>
    <w:rsid w:val="6A0147CA"/>
    <w:rsid w:val="6A0E3FB4"/>
    <w:rsid w:val="6A292754"/>
    <w:rsid w:val="6A5E3B28"/>
    <w:rsid w:val="6A6B1EBE"/>
    <w:rsid w:val="6A8F43F7"/>
    <w:rsid w:val="6ABF79B7"/>
    <w:rsid w:val="6AD625F3"/>
    <w:rsid w:val="6B5F25EA"/>
    <w:rsid w:val="6B750BA9"/>
    <w:rsid w:val="6BB93285"/>
    <w:rsid w:val="6C0C698C"/>
    <w:rsid w:val="6C222401"/>
    <w:rsid w:val="6C56267F"/>
    <w:rsid w:val="6C826EF9"/>
    <w:rsid w:val="6CAE4C93"/>
    <w:rsid w:val="6D0B1869"/>
    <w:rsid w:val="6D65402D"/>
    <w:rsid w:val="6D683822"/>
    <w:rsid w:val="6D8D136C"/>
    <w:rsid w:val="6DBF2759"/>
    <w:rsid w:val="6DC96F36"/>
    <w:rsid w:val="6DFA3EBF"/>
    <w:rsid w:val="6E3E63D2"/>
    <w:rsid w:val="6E5F7BE6"/>
    <w:rsid w:val="6E6918C6"/>
    <w:rsid w:val="6E8E495B"/>
    <w:rsid w:val="6ECE4983"/>
    <w:rsid w:val="6EEB4AC4"/>
    <w:rsid w:val="6F212DD6"/>
    <w:rsid w:val="6F3B5912"/>
    <w:rsid w:val="6F3D39F1"/>
    <w:rsid w:val="6FA14A81"/>
    <w:rsid w:val="6FA3261F"/>
    <w:rsid w:val="6FBA5815"/>
    <w:rsid w:val="700D6539"/>
    <w:rsid w:val="704203E3"/>
    <w:rsid w:val="7058046B"/>
    <w:rsid w:val="707F2079"/>
    <w:rsid w:val="70922734"/>
    <w:rsid w:val="70CE6DC7"/>
    <w:rsid w:val="710B3646"/>
    <w:rsid w:val="71156C43"/>
    <w:rsid w:val="711759F2"/>
    <w:rsid w:val="713C4ED8"/>
    <w:rsid w:val="71407642"/>
    <w:rsid w:val="71641210"/>
    <w:rsid w:val="71D95B7C"/>
    <w:rsid w:val="71EA6A50"/>
    <w:rsid w:val="71EC42C1"/>
    <w:rsid w:val="71FE31A8"/>
    <w:rsid w:val="721F6113"/>
    <w:rsid w:val="7233782C"/>
    <w:rsid w:val="73177841"/>
    <w:rsid w:val="733774FE"/>
    <w:rsid w:val="73617E1B"/>
    <w:rsid w:val="736D7653"/>
    <w:rsid w:val="738035CB"/>
    <w:rsid w:val="7396335C"/>
    <w:rsid w:val="73F46595"/>
    <w:rsid w:val="74283FA2"/>
    <w:rsid w:val="742C135B"/>
    <w:rsid w:val="74463733"/>
    <w:rsid w:val="748A2F40"/>
    <w:rsid w:val="74F85778"/>
    <w:rsid w:val="75272439"/>
    <w:rsid w:val="758F1E9B"/>
    <w:rsid w:val="75CE266B"/>
    <w:rsid w:val="76120141"/>
    <w:rsid w:val="76C23B43"/>
    <w:rsid w:val="76FD6F97"/>
    <w:rsid w:val="770218E8"/>
    <w:rsid w:val="77C875A5"/>
    <w:rsid w:val="77D01FFB"/>
    <w:rsid w:val="784654D3"/>
    <w:rsid w:val="78A27DF6"/>
    <w:rsid w:val="78F461E9"/>
    <w:rsid w:val="79285B3A"/>
    <w:rsid w:val="79625CA9"/>
    <w:rsid w:val="79A91196"/>
    <w:rsid w:val="7A0B32D3"/>
    <w:rsid w:val="7AC13CD3"/>
    <w:rsid w:val="7AE10264"/>
    <w:rsid w:val="7B086EDB"/>
    <w:rsid w:val="7B4A207F"/>
    <w:rsid w:val="7B936F45"/>
    <w:rsid w:val="7BA47419"/>
    <w:rsid w:val="7BB10D45"/>
    <w:rsid w:val="7BB44151"/>
    <w:rsid w:val="7BEC320B"/>
    <w:rsid w:val="7BF82951"/>
    <w:rsid w:val="7C3307AB"/>
    <w:rsid w:val="7C656A39"/>
    <w:rsid w:val="7C6E21F1"/>
    <w:rsid w:val="7CB93996"/>
    <w:rsid w:val="7CBE0F99"/>
    <w:rsid w:val="7D4E45F1"/>
    <w:rsid w:val="7D733448"/>
    <w:rsid w:val="7DFB6D82"/>
    <w:rsid w:val="7E1D71D1"/>
    <w:rsid w:val="7E246254"/>
    <w:rsid w:val="7E4F31BE"/>
    <w:rsid w:val="7E6D090F"/>
    <w:rsid w:val="7ECC66B2"/>
    <w:rsid w:val="7EF015E4"/>
    <w:rsid w:val="7F087006"/>
    <w:rsid w:val="7F833169"/>
    <w:rsid w:val="7FA837EF"/>
    <w:rsid w:val="7FC36955"/>
    <w:rsid w:val="7FE903A0"/>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chart" Target="charts/chart5.xml"/><Relationship Id="rId2" Type="http://schemas.openxmlformats.org/officeDocument/2006/relationships/settings" Target="settings.xml"/><Relationship Id="rId19" Type="http://schemas.openxmlformats.org/officeDocument/2006/relationships/chart" Target="charts/chart4.xml"/><Relationship Id="rId18" Type="http://schemas.openxmlformats.org/officeDocument/2006/relationships/chart" Target="charts/chart3.xml"/><Relationship Id="rId17" Type="http://schemas.openxmlformats.org/officeDocument/2006/relationships/chart" Target="charts/chart2.xml"/><Relationship Id="rId16" Type="http://schemas.openxmlformats.org/officeDocument/2006/relationships/chart" Target="charts/chart1.xml"/><Relationship Id="rId15" Type="http://schemas.openxmlformats.org/officeDocument/2006/relationships/image" Target="media/image1.sv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2022-2023</a:t>
            </a:r>
            <a:r>
              <a:rPr lang="zh-CN" altLang="en-US"/>
              <a:t>年收支总计对比图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dLbl>
              <c:idx val="0"/>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rPr lang="en-US" altLang="zh-CN"/>
                      <a:t>1368.42</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2022年</c:v>
                </c:pt>
                <c:pt idx="1">
                  <c:v>2023年</c:v>
                </c:pt>
              </c:strCache>
            </c:strRef>
          </c:cat>
          <c:val>
            <c:numRef>
              <c:f>Sheet1!$B$2:$B$3</c:f>
              <c:numCache>
                <c:formatCode>0.00_);[Red]\(0.00\)</c:formatCode>
                <c:ptCount val="2"/>
                <c:pt idx="0">
                  <c:v>1368.42</c:v>
                </c:pt>
                <c:pt idx="1">
                  <c:v>1724.16</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0.00_);[Red]\(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0"/>
              <a:t>图 </a:t>
            </a:r>
            <a:r>
              <a:rPr lang="en-US" altLang="zh-CN" b="0"/>
              <a:t>3 </a:t>
            </a:r>
            <a:r>
              <a:rPr lang="zh-CN" altLang="en-US" b="0"/>
              <a:t>：指出决算构成情况图</a:t>
            </a:r>
            <a:endParaRPr lang="zh-CN" altLang="en-US" b="0"/>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2"/>
              <c:delete val="1"/>
            </c:dLbl>
            <c:dLbl>
              <c:idx val="3"/>
              <c:delete val="1"/>
            </c:dLbl>
            <c:dLbl>
              <c:idx val="4"/>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10070937.79</c:v>
                </c:pt>
                <c:pt idx="1">
                  <c:v>7170697.51</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2022-2023</a:t>
            </a:r>
            <a:r>
              <a:rPr lang="zh-CN" altLang="en-US"/>
              <a:t>年财政拨款收支对比图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2022年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财政拨款收入</c:v>
                </c:pt>
                <c:pt idx="1">
                  <c:v>财政拨款支出</c:v>
                </c:pt>
                <c:pt idx="2">
                  <c:v>一般公共预算财政拨款收入</c:v>
                </c:pt>
                <c:pt idx="3">
                  <c:v>一般公共预算财政拨款支出</c:v>
                </c:pt>
              </c:strCache>
            </c:strRef>
          </c:cat>
          <c:val>
            <c:numRef>
              <c:f>Sheet1!$B$2:$B$5</c:f>
              <c:numCache>
                <c:formatCode>General</c:formatCode>
                <c:ptCount val="4"/>
                <c:pt idx="0">
                  <c:v>1368.42</c:v>
                </c:pt>
                <c:pt idx="1">
                  <c:v>1368.42</c:v>
                </c:pt>
                <c:pt idx="2">
                  <c:v>1368.42</c:v>
                </c:pt>
                <c:pt idx="3">
                  <c:v>1368.42</c:v>
                </c:pt>
              </c:numCache>
            </c:numRef>
          </c:val>
        </c:ser>
        <c:ser>
          <c:idx val="1"/>
          <c:order val="1"/>
          <c:tx>
            <c:strRef>
              <c:f>Sheet1!$C$1</c:f>
              <c:strCache>
                <c:ptCount val="1"/>
                <c:pt idx="0">
                  <c:v>2023年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财政拨款收入</c:v>
                </c:pt>
                <c:pt idx="1">
                  <c:v>财政拨款支出</c:v>
                </c:pt>
                <c:pt idx="2">
                  <c:v>一般公共预算财政拨款收入</c:v>
                </c:pt>
                <c:pt idx="3">
                  <c:v>一般公共预算财政拨款支出</c:v>
                </c:pt>
              </c:strCache>
            </c:strRef>
          </c:cat>
          <c:val>
            <c:numRef>
              <c:f>Sheet1!$C$2:$C$5</c:f>
              <c:numCache>
                <c:formatCode>General</c:formatCode>
                <c:ptCount val="4"/>
                <c:pt idx="0">
                  <c:v>1724.16</c:v>
                </c:pt>
                <c:pt idx="1">
                  <c:v>1724.16</c:v>
                </c:pt>
                <c:pt idx="2">
                  <c:v>1724.16</c:v>
                </c:pt>
                <c:pt idx="3">
                  <c:v>1724.16</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2215.62</c:v>
                </c:pt>
                <c:pt idx="1">
                  <c:v>2215.62</c:v>
                </c:pt>
                <c:pt idx="2">
                  <c:v>2215.62</c:v>
                </c:pt>
                <c:pt idx="3">
                  <c:v>2215.62</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1724.16</c:v>
                </c:pt>
                <c:pt idx="1">
                  <c:v>1724.16</c:v>
                </c:pt>
                <c:pt idx="2">
                  <c:v>1724.16</c:v>
                </c:pt>
                <c:pt idx="3">
                  <c:v>1724.16</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Lbls>
            <c:delete val="1"/>
          </c:dLbls>
          <c:cat>
            <c:strRef>
              <c:f>Sheet1!$A$2:$A$23</c:f>
              <c:strCache>
                <c:ptCount val="22"/>
                <c:pt idx="0">
                  <c:v>一般公共服务支出</c:v>
                </c:pt>
                <c:pt idx="1">
                  <c:v>国防支出</c:v>
                </c:pt>
                <c:pt idx="2">
                  <c:v>公共安全支出</c:v>
                </c:pt>
                <c:pt idx="3">
                  <c:v>教育支出</c:v>
                </c:pt>
                <c:pt idx="4">
                  <c:v>科学技术支出</c:v>
                </c:pt>
                <c:pt idx="5">
                  <c:v>文化旅游体育与传媒支出</c:v>
                </c:pt>
                <c:pt idx="6">
                  <c:v>社会保障和就业支出</c:v>
                </c:pt>
                <c:pt idx="7">
                  <c:v>卫生健康支出</c:v>
                </c:pt>
                <c:pt idx="8">
                  <c:v>节能环保支出</c:v>
                </c:pt>
                <c:pt idx="9">
                  <c:v>城乡社区支出</c:v>
                </c:pt>
                <c:pt idx="10">
                  <c:v>农林水支出</c:v>
                </c:pt>
                <c:pt idx="11">
                  <c:v>交通运输支出</c:v>
                </c:pt>
                <c:pt idx="12">
                  <c:v>资源勘探工业信息等支出</c:v>
                </c:pt>
                <c:pt idx="13">
                  <c:v>商业服务业等支出</c:v>
                </c:pt>
                <c:pt idx="14">
                  <c:v>金融支出</c:v>
                </c:pt>
                <c:pt idx="15">
                  <c:v>自然资源海洋气象等支出</c:v>
                </c:pt>
                <c:pt idx="16">
                  <c:v>住房保障支出</c:v>
                </c:pt>
                <c:pt idx="17">
                  <c:v>粮油物资储备支出</c:v>
                </c:pt>
                <c:pt idx="18">
                  <c:v>国有资本经营预算支出</c:v>
                </c:pt>
                <c:pt idx="19">
                  <c:v>灾害防治及应急管理支出</c:v>
                </c:pt>
                <c:pt idx="20">
                  <c:v>其他支出</c:v>
                </c:pt>
                <c:pt idx="21">
                  <c:v>债务付息支出</c:v>
                </c:pt>
              </c:strCache>
            </c:strRef>
          </c:cat>
          <c:val>
            <c:numRef>
              <c:f>Sheet1!$B$2:$B$23</c:f>
              <c:numCache>
                <c:formatCode>General</c:formatCode>
                <c:ptCount val="22"/>
                <c:pt idx="0">
                  <c:v>4.53</c:v>
                </c:pt>
                <c:pt idx="1">
                  <c:v>0</c:v>
                </c:pt>
                <c:pt idx="2">
                  <c:v>1472.88</c:v>
                </c:pt>
                <c:pt idx="3">
                  <c:v>0</c:v>
                </c:pt>
                <c:pt idx="4">
                  <c:v>0</c:v>
                </c:pt>
                <c:pt idx="5">
                  <c:v>0</c:v>
                </c:pt>
                <c:pt idx="6">
                  <c:v>121.91</c:v>
                </c:pt>
                <c:pt idx="7">
                  <c:v>62.7</c:v>
                </c:pt>
                <c:pt idx="8">
                  <c:v>0</c:v>
                </c:pt>
                <c:pt idx="9">
                  <c:v>0</c:v>
                </c:pt>
                <c:pt idx="10">
                  <c:v>0</c:v>
                </c:pt>
                <c:pt idx="11">
                  <c:v>0</c:v>
                </c:pt>
                <c:pt idx="12">
                  <c:v>0</c:v>
                </c:pt>
                <c:pt idx="13">
                  <c:v>0</c:v>
                </c:pt>
                <c:pt idx="14">
                  <c:v>0</c:v>
                </c:pt>
                <c:pt idx="15">
                  <c:v>0</c:v>
                </c:pt>
                <c:pt idx="16">
                  <c:v>62.14</c:v>
                </c:pt>
                <c:pt idx="17">
                  <c:v>0</c:v>
                </c:pt>
                <c:pt idx="18">
                  <c:v>0</c:v>
                </c:pt>
                <c:pt idx="19">
                  <c:v>0</c:v>
                </c:pt>
                <c:pt idx="20">
                  <c:v>0</c:v>
                </c:pt>
                <c:pt idx="21">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57</Pages>
  <Words>10284</Words>
  <Characters>34684</Characters>
  <Lines>86</Lines>
  <Paragraphs>24</Paragraphs>
  <TotalTime>22</TotalTime>
  <ScaleCrop>false</ScaleCrop>
  <LinksUpToDate>false</LinksUpToDate>
  <CharactersWithSpaces>35317</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Administrator</cp:lastModifiedBy>
  <cp:lastPrinted>2023-08-04T01:00:00Z</cp:lastPrinted>
  <dcterms:modified xsi:type="dcterms:W3CDTF">2025-09-12T03:20:00Z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C606A1F9AFE24290B52D98FABC930B66_12</vt:lpwstr>
  </property>
  <property fmtid="{D5CDD505-2E9C-101B-9397-08002B2CF9AE}" pid="4" name="KSOTemplateUUID">
    <vt:lpwstr>v1.0_mb_S7ajbG3IpAnL1wSthNCxfw==</vt:lpwstr>
  </property>
</Properties>
</file>