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625</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：赞皇县人民法院</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ascii="黑体" w:hAnsi="黑体" w:eastAsia="黑体" w:cs="黑体"/>
          <w:b/>
          <w:bCs/>
          <w:sz w:val="72"/>
          <w:szCs w:val="96"/>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both"/>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宋体" w:eastAsia="黑体" w:cs="黑体"/>
          <w:i w:val="0"/>
          <w:iCs w:val="0"/>
          <w:caps w:val="0"/>
          <w:color w:val="000000"/>
          <w:spacing w:val="-20"/>
          <w:sz w:val="72"/>
          <w:szCs w:val="72"/>
          <w:highlight w:val="none"/>
          <w:shd w:val="clear" w:fill="FFFFFF"/>
          <w:lang w:eastAsia="zh-CN"/>
        </w:rPr>
        <w:t>部门</w:t>
      </w:r>
      <w:r>
        <w:rPr>
          <w:rFonts w:hint="eastAsia" w:ascii="黑体" w:hAnsi="黑体" w:eastAsia="黑体" w:cs="黑体"/>
          <w:b/>
          <w:bCs/>
          <w:spacing w:val="-20"/>
          <w:sz w:val="72"/>
          <w:szCs w:val="96"/>
        </w:rPr>
        <w:t>决算公开文本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赞皇县人民法院</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二〇二四年八月</w:t>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(二)依法审判法律规定由</w:t>
      </w:r>
      <w:r>
        <w:rPr>
          <w:rFonts w:hint="eastAsia" w:ascii="Times New Roman" w:eastAsia="仿宋_GB2312"/>
          <w:sz w:val="32"/>
          <w:szCs w:val="32"/>
          <w:lang w:eastAsia="zh-CN"/>
        </w:rPr>
        <w:t>赞皇</w:t>
      </w:r>
      <w:r>
        <w:rPr>
          <w:rFonts w:hint="eastAsia" w:ascii="Times New Roman" w:eastAsia="仿宋_GB2312"/>
          <w:sz w:val="32"/>
          <w:szCs w:val="32"/>
        </w:rPr>
        <w:t>县人民法院管辖的刑</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事、民事、行政等第一审案件。​</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(三)依法审判上级人民法院指定、同级人民法院移</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送的刑事、民事、行政等第一审案件。​</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(四)审查和受理各类申诉案件，审判各类再审案件，</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处理来信来访。 ​</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(五)依法办理发生法律效力的民事、行政案件判决</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和裁定执行事项及刑事案件判决和裁定中关于财产部分</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的执行事项；办理法律规定由基层人民法院执行的其他</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法律文书的执行事项。​</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(六)负责审判工作的调查研究，总结审判工作经验。</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(七)负责干警思想政治教育和业务培训工作；按照</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权限管理法官和其他工作人员。​</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(八)管理有关经费和物资装备。​</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(九)负责司法技术鉴定、通讯、计算机等技术管理</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工作。 ​</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(十)负责审判工作中的法制宣传，教育公民忠于祖</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国，自觉遵守宪法、法律和社会公德。 ​</w:t>
      </w:r>
    </w:p>
    <w:p>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(十一)完成其他应由</w:t>
      </w:r>
      <w:r>
        <w:rPr>
          <w:rFonts w:hint="eastAsia" w:ascii="Times New Roman" w:eastAsia="仿宋_GB2312"/>
          <w:sz w:val="32"/>
          <w:szCs w:val="32"/>
          <w:lang w:eastAsia="zh-CN"/>
        </w:rPr>
        <w:t>赞皇</w:t>
      </w:r>
      <w:r>
        <w:rPr>
          <w:rFonts w:hint="eastAsia" w:ascii="Times New Roman" w:eastAsia="仿宋_GB2312"/>
          <w:sz w:val="32"/>
          <w:szCs w:val="32"/>
        </w:rPr>
        <w:t>县人民法院负责的工作。</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赞皇</w:t>
            </w:r>
            <w:r>
              <w:rPr>
                <w:rFonts w:hint="eastAsia" w:ascii="仿宋_GB2312" w:hAnsi="Calibri" w:eastAsia="仿宋_GB2312" w:cs="ArialUnicodeMS"/>
                <w:kern w:val="0"/>
                <w:sz w:val="28"/>
                <w:szCs w:val="28"/>
              </w:rPr>
              <w:t>县人民法院</w:t>
            </w:r>
          </w:p>
          <w:p>
            <w:pPr>
              <w:spacing w:line="560" w:lineRule="exact"/>
              <w:jc w:val="center"/>
              <w:rPr>
                <w:rFonts w:ascii="仿宋_GB2312" w:hAnsi="Calibri" w:eastAsia="仿宋_GB2312" w:cs="ArialUnicodeMS"/>
                <w:kern w:val="0"/>
                <w:sz w:val="28"/>
                <w:szCs w:val="28"/>
              </w:rPr>
            </w:pPr>
          </w:p>
        </w:tc>
        <w:tc>
          <w:tcPr>
            <w:tcW w:w="2445" w:type="dxa"/>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rPr>
        <w:t>我部门无二级预算单位，因此，</w:t>
      </w:r>
      <w:r>
        <w:rPr>
          <w:rFonts w:hint="eastAsia" w:ascii="Times New Roman" w:hAnsi="Times New Roman" w:eastAsia="黑体" w:cs="Times New Roman"/>
          <w:sz w:val="32"/>
          <w:szCs w:val="32"/>
          <w:highlight w:val="none"/>
          <w:lang w:eastAsia="zh-CN"/>
        </w:rPr>
        <w:t>赞皇</w:t>
      </w:r>
      <w:r>
        <w:rPr>
          <w:rFonts w:hint="eastAsia" w:ascii="Times New Roman" w:hAnsi="Times New Roman" w:eastAsia="黑体" w:cs="Times New Roman"/>
          <w:sz w:val="32"/>
          <w:szCs w:val="32"/>
          <w:highlight w:val="none"/>
        </w:rPr>
        <w:t>县人民法院 2023</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none"/>
        </w:rPr>
        <w:t>年度部门决算即</w:t>
      </w:r>
      <w:r>
        <w:rPr>
          <w:rFonts w:hint="eastAsia" w:ascii="Times New Roman" w:hAnsi="Times New Roman" w:eastAsia="黑体" w:cs="Times New Roman"/>
          <w:sz w:val="32"/>
          <w:szCs w:val="32"/>
          <w:highlight w:val="none"/>
          <w:lang w:eastAsia="zh-CN"/>
        </w:rPr>
        <w:t>赞皇</w:t>
      </w:r>
      <w:r>
        <w:rPr>
          <w:rFonts w:hint="eastAsia" w:ascii="Times New Roman" w:hAnsi="Times New Roman" w:eastAsia="黑体" w:cs="Times New Roman"/>
          <w:sz w:val="32"/>
          <w:szCs w:val="32"/>
          <w:highlight w:val="none"/>
        </w:rPr>
        <w:t>县人民法院本级 2023 年度决算。</w:t>
      </w: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编制部门（单位）：赞皇县人民法院</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1,472.88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编制部门（单位）：赞皇县人民法院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1,724.16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1,724.16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党委办公厅（室）及相关机构事务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公共安全支出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法院</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375.08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375.08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其他法院支出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337.46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337.46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编制部门（单位）：赞皇县人民法院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1,007.09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法院</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375.08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375.08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其他法院支出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337.46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337.46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52.31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52.31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编制部门（单位）：赞皇县人民法院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1,472.88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1,472.88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121.91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121.91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62.70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62.70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1,724.16</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0"/>
        <w:gridCol w:w="4"/>
        <w:gridCol w:w="885"/>
        <w:gridCol w:w="929"/>
        <w:gridCol w:w="506"/>
        <w:gridCol w:w="514"/>
        <w:gridCol w:w="275"/>
        <w:gridCol w:w="689"/>
        <w:gridCol w:w="438"/>
        <w:gridCol w:w="340"/>
        <w:gridCol w:w="1036"/>
        <w:gridCol w:w="491"/>
        <w:gridCol w:w="96"/>
        <w:gridCol w:w="377"/>
        <w:gridCol w:w="256"/>
        <w:gridCol w:w="708"/>
        <w:gridCol w:w="1548"/>
        <w:gridCol w:w="266"/>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550" w:hRule="atLeast"/>
        </w:trPr>
        <w:tc>
          <w:tcPr>
            <w:tcW w:w="9092" w:type="dxa"/>
            <w:gridSpan w:val="16"/>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0" w:hRule="atLeast"/>
        </w:trPr>
        <w:tc>
          <w:tcPr>
            <w:tcW w:w="9092" w:type="dxa"/>
            <w:gridSpan w:val="16"/>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0" w:hRule="atLeast"/>
        </w:trPr>
        <w:tc>
          <w:tcPr>
            <w:tcW w:w="3113" w:type="dxa"/>
            <w:gridSpan w:val="6"/>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编制部门（单位）：赞皇县人民法院</w:t>
            </w:r>
          </w:p>
        </w:tc>
        <w:tc>
          <w:tcPr>
            <w:tcW w:w="2994" w:type="dxa"/>
            <w:gridSpan w:val="5"/>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5"/>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445" w:hRule="atLeast"/>
        </w:trPr>
        <w:tc>
          <w:tcPr>
            <w:tcW w:w="232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1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12" w:hRule="atLeast"/>
        </w:trPr>
        <w:tc>
          <w:tcPr>
            <w:tcW w:w="88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277" w:hRule="atLeast"/>
        </w:trPr>
        <w:tc>
          <w:tcPr>
            <w:tcW w:w="88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12" w:hRule="atLeast"/>
        </w:trPr>
        <w:tc>
          <w:tcPr>
            <w:tcW w:w="88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232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232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1,007.09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717.07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2013105</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1,472.88</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法院</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1,472.88</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2040502</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375.08</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2040599</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其他法院支出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337.46</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337.46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52.31</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52.31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9092" w:type="dxa"/>
            <w:gridSpan w:val="16"/>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9"/>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9"/>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9"/>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编制部门（单位）：赞皇县人民法院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4"/>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6"/>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6"/>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1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731.35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198.90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234.00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47.54</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109.87</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104.33</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106.00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0.38</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52.31</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19.23</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29.19</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62.70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5.85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62.14</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10.40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76.85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1.96</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69.60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7.25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12.65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9.95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18.09</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33.20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1.73</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808.19</w:t>
            </w:r>
          </w:p>
        </w:tc>
        <w:tc>
          <w:tcPr>
            <w:tcW w:w="6520"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198.90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9"/>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编制部门（单位）：赞皇县人民法院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编制部门（单位）：赞皇县人民法院</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编制部门（单位）：赞皇县人民法院</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79.60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1.60</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30.68</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30.68</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30.68</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r>
        <w:rPr>
          <w:rFonts w:hint="eastAsia" w:ascii="仿宋_GB2312" w:hAnsi="宋体" w:eastAsia="仿宋_GB2312"/>
          <w:b/>
          <w:color w:val="auto"/>
          <w:kern w:val="0"/>
          <w:sz w:val="32"/>
          <w:szCs w:val="32"/>
          <w:highlight w:val="none"/>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1,724.16</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w:t>
      </w:r>
      <w:bookmarkStart w:id="0" w:name="OLE_LINK1"/>
      <w:r>
        <w:rPr>
          <w:rFonts w:hint="eastAsia" w:ascii="Times New Roman" w:hAnsi="Times New Roman" w:eastAsia="仿宋_GB2312" w:cs="Times New Roman"/>
          <w:sz w:val="30"/>
          <w:szCs w:val="30"/>
          <w:highlight w:val="none"/>
          <w:lang w:val="en-US" w:eastAsia="zh-CN"/>
        </w:rPr>
        <w:t>355.74</w:t>
      </w:r>
      <w:bookmarkEnd w:id="0"/>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rPr>
        <w:t>主要是</w:t>
      </w:r>
      <w:bookmarkStart w:id="1" w:name="OLE_LINK2"/>
      <w:r>
        <w:rPr>
          <w:rFonts w:ascii="宋体" w:hAnsi="宋体" w:eastAsia="宋体"/>
          <w:sz w:val="32"/>
          <w:szCs w:val="32"/>
        </w:rPr>
        <w:t>人员经费及项目经费收支增加</w:t>
      </w:r>
      <w:bookmarkEnd w:id="1"/>
      <w:r>
        <w:rPr>
          <w:rFonts w:hint="default" w:ascii="Times New Roman" w:hAnsi="Times New Roman" w:eastAsia="仿宋_GB2312" w:cs="Times New Roman"/>
          <w:kern w:val="2"/>
          <w:sz w:val="32"/>
          <w:szCs w:val="32"/>
          <w:lang w:val="en-US" w:eastAsia="zh-CN" w:bidi="ar-SA"/>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524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1,724.16</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1,724.16</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1,724.16万元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1,007.09万元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占58.41%；</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717.07万元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占41.59%；</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年度财政拨款本年收入1,724.16</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w:t>
      </w:r>
      <w:bookmarkStart w:id="2" w:name="OLE_LINK3"/>
      <w:r>
        <w:rPr>
          <w:rFonts w:hint="eastAsia" w:ascii="Times New Roman" w:hAnsi="Times New Roman" w:eastAsia="仿宋_GB2312" w:cs="Times New Roman"/>
          <w:sz w:val="30"/>
          <w:szCs w:val="30"/>
          <w:highlight w:val="none"/>
          <w:lang w:val="en-US" w:eastAsia="zh-CN"/>
        </w:rPr>
        <w:t>355.74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ascii="宋体" w:hAnsi="宋体" w:eastAsia="宋体"/>
          <w:sz w:val="32"/>
          <w:szCs w:val="32"/>
        </w:rPr>
        <w:t>人员经费及项目经费收支增加</w:t>
      </w:r>
      <w:bookmarkEnd w:id="2"/>
      <w:r>
        <w:rPr>
          <w:rFonts w:hint="default" w:ascii="Times New Roman" w:hAnsi="Times New Roman" w:eastAsia="仿宋_GB2312" w:cs="Times New Roman"/>
          <w:color w:val="auto"/>
          <w:kern w:val="2"/>
          <w:sz w:val="32"/>
          <w:szCs w:val="32"/>
          <w:lang w:val="zh-CN" w:eastAsia="zh-CN" w:bidi="ar-SA"/>
        </w:rPr>
        <w:t>；本年支出 1,724.16</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355.74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ascii="宋体" w:hAnsi="宋体" w:eastAsia="宋体"/>
          <w:sz w:val="32"/>
          <w:szCs w:val="32"/>
        </w:rPr>
        <w:t>人员经费及项目经费收支增加</w:t>
      </w:r>
      <w:r>
        <w:rPr>
          <w:rFonts w:hint="eastAsia" w:ascii="宋体" w:hAnsi="宋体" w:eastAsia="宋体"/>
          <w:sz w:val="32"/>
          <w:szCs w:val="32"/>
          <w:lang w:eastAsia="zh-CN"/>
        </w:rPr>
        <w:t>。</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一般公共预算财政拨款本年收入1,724.16</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355.74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ascii="宋体" w:hAnsi="宋体" w:eastAsia="宋体"/>
          <w:sz w:val="32"/>
          <w:szCs w:val="32"/>
        </w:rPr>
        <w:t>人员经费及项目经费收支增加</w:t>
      </w:r>
      <w:r>
        <w:rPr>
          <w:rFonts w:hint="default" w:ascii="Times New Roman" w:hAnsi="Times New Roman" w:eastAsia="仿宋_GB2312" w:cs="Times New Roman"/>
          <w:kern w:val="2"/>
          <w:sz w:val="32"/>
          <w:szCs w:val="32"/>
          <w:lang w:val="zh-CN"/>
        </w:rPr>
        <w:t>；本年支出 1,724.16</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355.74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ascii="宋体" w:hAnsi="宋体" w:eastAsia="宋体"/>
          <w:sz w:val="32"/>
          <w:szCs w:val="32"/>
        </w:rPr>
        <w:t>人员经费及项目经费收支增加</w:t>
      </w:r>
      <w:r>
        <w:rPr>
          <w:rFonts w:hint="default"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2.政府性基金预算财政拨款 2022 年度、2023 年度均无</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收支等相关数据。</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3.国有资本经营预算财政拨款 2022 年度、2023 年度均</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kern w:val="2"/>
          <w:sz w:val="32"/>
          <w:szCs w:val="32"/>
          <w:lang w:val="zh-CN"/>
        </w:rPr>
        <w:t>无收支等相关数据。</w:t>
      </w: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年度财政拨款本年收入1,724.16万元，完成年初预算的77.82%，比年初预算</w:t>
      </w:r>
      <w:r>
        <w:rPr>
          <w:rFonts w:hint="eastAsia" w:ascii="Times New Roman" w:hAnsi="Times New Roman" w:eastAsia="仿宋_GB2312" w:cs="Times New Roman"/>
          <w:sz w:val="30"/>
          <w:szCs w:val="30"/>
          <w:highlight w:val="none"/>
          <w:lang w:val="zh-CN"/>
        </w:rPr>
        <w:t>减少491.46万元</w:t>
      </w:r>
      <w:r>
        <w:rPr>
          <w:rFonts w:hint="default" w:ascii="Times New Roman" w:hAnsi="Times New Roman" w:eastAsia="仿宋_GB2312" w:cs="Times New Roman"/>
          <w:color w:val="auto"/>
          <w:kern w:val="2"/>
          <w:sz w:val="32"/>
          <w:szCs w:val="32"/>
          <w:lang w:val="zh-CN" w:eastAsia="zh-CN" w:bidi="ar-SA"/>
        </w:rPr>
        <w:t>，决算数小于预算数主要原因是厉行节约，减少本年支出；本年支出1,724.16万元，完成年初预算的77.82%，比年初预算</w:t>
      </w:r>
      <w:r>
        <w:rPr>
          <w:rFonts w:hint="eastAsia" w:ascii="Times New Roman" w:hAnsi="Times New Roman" w:eastAsia="仿宋_GB2312" w:cs="Times New Roman"/>
          <w:sz w:val="30"/>
          <w:szCs w:val="30"/>
          <w:highlight w:val="none"/>
          <w:lang w:val="zh-CN"/>
        </w:rPr>
        <w:t>减少491.46万元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bookmarkStart w:id="3" w:name="OLE_LINK4"/>
      <w:r>
        <w:rPr>
          <w:rFonts w:hint="default" w:ascii="Times New Roman" w:hAnsi="Times New Roman" w:eastAsia="仿宋_GB2312" w:cs="Times New Roman"/>
          <w:kern w:val="2"/>
          <w:sz w:val="32"/>
          <w:szCs w:val="32"/>
          <w:lang w:val="zh-CN"/>
        </w:rPr>
        <w:t>厉行节约，减少本年支出</w:t>
      </w:r>
      <w:bookmarkEnd w:id="3"/>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收入1,724.16万元，完成年初预算的 77.82%，比年初预算</w:t>
      </w:r>
      <w:r>
        <w:rPr>
          <w:rFonts w:hint="eastAsia" w:ascii="Times New Roman" w:hAnsi="Times New Roman" w:eastAsia="仿宋_GB2312" w:cs="Times New Roman"/>
          <w:sz w:val="30"/>
          <w:szCs w:val="30"/>
          <w:highlight w:val="none"/>
          <w:lang w:val="zh-CN"/>
        </w:rPr>
        <w:t>减少491.46万元</w:t>
      </w:r>
      <w:r>
        <w:rPr>
          <w:rFonts w:hint="default" w:ascii="Times New Roman" w:hAnsi="Times New Roman" w:eastAsia="仿宋_GB2312" w:cs="Times New Roman"/>
          <w:kern w:val="2"/>
          <w:sz w:val="32"/>
          <w:szCs w:val="32"/>
          <w:lang w:val="zh-CN"/>
        </w:rPr>
        <w:t>，主要原因是厉行节约，减少本年支出；本年支出1,724.16万元，完成年初预算的77.82%，比年初预算</w:t>
      </w:r>
      <w:r>
        <w:rPr>
          <w:rFonts w:hint="eastAsia" w:ascii="Times New Roman" w:hAnsi="Times New Roman" w:eastAsia="仿宋_GB2312" w:cs="Times New Roman"/>
          <w:sz w:val="30"/>
          <w:szCs w:val="30"/>
          <w:highlight w:val="none"/>
          <w:lang w:val="zh-CN"/>
        </w:rPr>
        <w:t>减少491.46万元</w:t>
      </w:r>
      <w:r>
        <w:rPr>
          <w:rFonts w:hint="default" w:ascii="Times New Roman" w:hAnsi="Times New Roman" w:eastAsia="仿宋_GB2312" w:cs="Times New Roman"/>
          <w:kern w:val="2"/>
          <w:sz w:val="32"/>
          <w:szCs w:val="32"/>
          <w:lang w:val="zh-CN"/>
        </w:rPr>
        <w:t>，主要原因是主要是厉行节约，减少本年支出。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2.政府性基金预算财政拨款本年无预、决算收支等相关</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数据。</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3.国有资本经营预算财政拨款本年无预、决算收支等相</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2"/>
          <w:sz w:val="32"/>
          <w:szCs w:val="32"/>
          <w:lang w:val="zh-CN" w:eastAsia="zh-CN" w:bidi="ar-SA"/>
        </w:rPr>
        <w:t>关数据。</w:t>
      </w: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年度财政拨款支出1,724.16万元，主要用于以下方面：</w:t>
      </w:r>
      <w:r>
        <w:rPr>
          <w:rFonts w:hint="default" w:ascii="Times New Roman" w:hAnsi="Times New Roman" w:eastAsia="仿宋_GB2312" w:cs="Times New Roman"/>
          <w:color w:val="auto"/>
          <w:kern w:val="2"/>
          <w:sz w:val="32"/>
          <w:szCs w:val="32"/>
          <w:lang w:val="zh-CN" w:eastAsia="zh-CN" w:bidi="ar-SA"/>
        </w:rPr>
        <w:t>一般公共服务（类）支出4.53万元，占0.26%；公共安全类（类）支出1,472.88万元，占85.43%；社会保障和就业 （类）支出121.91万元，占7.07%；卫生健康（类）支出62.7万元，占3.64%；住房保障（类）支出62.14万元，占3.6%</w:t>
      </w:r>
      <w:r>
        <w:rPr>
          <w:rFonts w:hint="eastAsia" w:ascii="Times New Roman" w:hAnsi="Times New Roman" w:eastAsia="仿宋_GB2312" w:cs="Times New Roman"/>
          <w:color w:val="auto"/>
          <w:kern w:val="2"/>
          <w:sz w:val="32"/>
          <w:szCs w:val="32"/>
          <w:lang w:val="zh-CN" w:eastAsia="zh-CN" w:bidi="ar-SA"/>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年度财政拨款基本支出1,007.09万元，其中：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人员经费808.19万元，主要包括基本工资、津贴补贴、</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奖金、绩效工资、机关事业部门基本养老保险缴费、职业年金缴费、职工基本医疗保险缴费、公务员医疗补助缴费、住房公积金、 退休费、生活补助。</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公用经费198.9万元，主要包括办公费、印刷费、水费、</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电费、邮电费、取暖费、物业管理费、差旅费、维修（护）</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费、租赁费、培训费、专用材料费、被装购置费、劳务费、</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工会经费、福利费、其他交通费用、其他商品和服务支出、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highlight w:val="yellow"/>
          <w:lang w:val="zh-CN" w:eastAsia="zh-CN" w:bidi="ar-SA"/>
        </w:rPr>
      </w:pPr>
      <w:r>
        <w:rPr>
          <w:rFonts w:hint="default" w:ascii="Times New Roman" w:hAnsi="Times New Roman" w:eastAsia="仿宋_GB2312" w:cs="Times New Roman"/>
          <w:color w:val="auto"/>
          <w:kern w:val="2"/>
          <w:sz w:val="32"/>
          <w:szCs w:val="32"/>
          <w:lang w:val="zh-CN" w:eastAsia="zh-CN" w:bidi="ar-SA"/>
        </w:rPr>
        <w:t>办公设备购置。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年度“三公”经费财政拨款支出预算为79.6万元，支出决算为30.68万元，完成预算的38.54%，较预算</w:t>
      </w:r>
      <w:r>
        <w:rPr>
          <w:rFonts w:hint="eastAsia" w:ascii="Times New Roman" w:hAnsi="Times New Roman" w:eastAsia="仿宋_GB2312" w:cs="Times New Roman"/>
          <w:color w:val="auto"/>
          <w:kern w:val="2"/>
          <w:sz w:val="32"/>
          <w:szCs w:val="32"/>
          <w:lang w:val="zh-CN" w:eastAsia="zh-CN" w:bidi="ar-SA"/>
        </w:rPr>
        <w:t>减少48.92万元，降低61.46%，</w:t>
      </w:r>
      <w:r>
        <w:rPr>
          <w:rFonts w:hint="default" w:ascii="Times New Roman" w:hAnsi="Times New Roman" w:eastAsia="仿宋_GB2312" w:cs="Times New Roman"/>
          <w:color w:val="auto"/>
          <w:kern w:val="2"/>
          <w:sz w:val="32"/>
          <w:szCs w:val="32"/>
          <w:lang w:val="zh-CN" w:eastAsia="zh-CN" w:bidi="ar-SA"/>
        </w:rPr>
        <w:t>主要是</w:t>
      </w:r>
      <w:bookmarkStart w:id="4" w:name="OLE_LINK5"/>
      <w:r>
        <w:rPr>
          <w:rFonts w:hint="default" w:ascii="Times New Roman" w:hAnsi="Times New Roman" w:eastAsia="仿宋_GB2312" w:cs="Times New Roman"/>
          <w:kern w:val="2"/>
          <w:sz w:val="32"/>
          <w:szCs w:val="32"/>
          <w:lang w:val="zh-CN"/>
        </w:rPr>
        <w:t>厉行节约，减少本年支出</w:t>
      </w:r>
      <w:bookmarkEnd w:id="4"/>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增加30.68万元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10</w:t>
      </w:r>
      <w:r>
        <w:rPr>
          <w:rFonts w:hint="eastAsia" w:ascii="Times New Roman" w:hAnsi="Times New Roman" w:eastAsia="仿宋_GB2312" w:cs="Times New Roman"/>
          <w:color w:val="auto"/>
          <w:kern w:val="2"/>
          <w:sz w:val="32"/>
          <w:szCs w:val="32"/>
          <w:lang w:val="zh-CN" w:eastAsia="zh-CN" w:bidi="ar-SA"/>
        </w:rPr>
        <w:t>0%，</w:t>
      </w:r>
      <w:r>
        <w:rPr>
          <w:rFonts w:hint="default" w:ascii="Times New Roman" w:hAnsi="Times New Roman" w:eastAsia="仿宋_GB2312" w:cs="Times New Roman"/>
          <w:color w:val="auto"/>
          <w:kern w:val="2"/>
          <w:sz w:val="32"/>
          <w:szCs w:val="32"/>
          <w:lang w:val="zh-CN" w:eastAsia="zh-CN" w:bidi="ar-SA"/>
        </w:rPr>
        <w:t>主要是</w:t>
      </w:r>
      <w:bookmarkStart w:id="5" w:name="OLE_LINK6"/>
      <w:r>
        <w:rPr>
          <w:rFonts w:hint="eastAsia" w:ascii="Times New Roman" w:hAnsi="Times New Roman" w:eastAsia="仿宋_GB2312" w:cs="Times New Roman"/>
          <w:color w:val="auto"/>
          <w:kern w:val="2"/>
          <w:sz w:val="32"/>
          <w:szCs w:val="32"/>
          <w:lang w:val="zh-CN" w:eastAsia="zh-CN" w:bidi="ar-SA"/>
        </w:rPr>
        <w:t>车辆使用年限久，维修保养成本高</w:t>
      </w:r>
      <w:bookmarkEnd w:id="5"/>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en-US" w:eastAsia="zh-CN" w:bidi="ar-SA"/>
        </w:rPr>
        <w:t>本部门 2023 年度因公出国（境）费支出预算为 0 万元,支出决算 0 万元。完成预算的100%。因公出国（境）费支出较预算持平，主要是本部门无因公出国安排；较上年持平，主要是本部门无因公出国安排。因公出国（境）团组 0 个、共 0 人、参加其他单位组织的因公出国（境）团组 0 个、共 0 人、无本部门组织的出国（境）团组。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年度公务用车购置及运行维护费预算为78万元，支出决算 30.68万元，完成预算的39.33%,较预算</w:t>
      </w:r>
      <w:r>
        <w:rPr>
          <w:rFonts w:hint="eastAsia" w:ascii="Times New Roman" w:hAnsi="Times New Roman" w:eastAsia="仿宋_GB2312" w:cs="Times New Roman"/>
          <w:color w:val="auto"/>
          <w:kern w:val="2"/>
          <w:sz w:val="32"/>
          <w:szCs w:val="32"/>
          <w:lang w:val="zh-CN" w:eastAsia="zh-CN" w:bidi="ar-SA"/>
        </w:rPr>
        <w:t>减少47.32万元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降低60.67%，</w:t>
      </w:r>
      <w:r>
        <w:rPr>
          <w:rFonts w:hint="default" w:ascii="Times New Roman" w:hAnsi="Times New Roman" w:eastAsia="仿宋_GB2312" w:cs="Times New Roman"/>
          <w:color w:val="auto"/>
          <w:kern w:val="2"/>
          <w:sz w:val="32"/>
          <w:szCs w:val="32"/>
          <w:lang w:val="zh-CN" w:eastAsia="zh-CN" w:bidi="ar-SA"/>
        </w:rPr>
        <w:t>主要是</w:t>
      </w:r>
      <w:bookmarkStart w:id="6" w:name="OLE_LINK7"/>
      <w:r>
        <w:rPr>
          <w:rFonts w:hint="default" w:ascii="Times New Roman" w:hAnsi="Times New Roman" w:eastAsia="仿宋_GB2312" w:cs="Times New Roman"/>
          <w:kern w:val="2"/>
          <w:sz w:val="32"/>
          <w:szCs w:val="32"/>
          <w:lang w:val="zh-CN"/>
        </w:rPr>
        <w:t>厉行节约，减少本年支出</w:t>
      </w:r>
      <w:bookmarkEnd w:id="6"/>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增加30.68万元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100</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bookmarkStart w:id="7" w:name="OLE_LINK8"/>
      <w:r>
        <w:rPr>
          <w:rFonts w:hint="eastAsia" w:ascii="Times New Roman" w:hAnsi="Times New Roman" w:eastAsia="仿宋_GB2312" w:cs="Times New Roman"/>
          <w:color w:val="auto"/>
          <w:kern w:val="2"/>
          <w:sz w:val="32"/>
          <w:szCs w:val="32"/>
          <w:lang w:val="zh-CN" w:eastAsia="zh-CN" w:bidi="ar-SA"/>
        </w:rPr>
        <w:t>车辆使用年限久，维修保养成本高</w:t>
      </w:r>
      <w:bookmarkEnd w:id="7"/>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 0 万元：</w:t>
      </w:r>
      <w:r>
        <w:rPr>
          <w:rFonts w:hint="default" w:ascii="Times New Roman" w:hAnsi="Times New Roman" w:eastAsia="仿宋_GB2312" w:cs="Times New Roman"/>
          <w:color w:val="auto"/>
          <w:kern w:val="2"/>
          <w:sz w:val="32"/>
          <w:szCs w:val="32"/>
          <w:lang w:val="zh-CN" w:eastAsia="zh-CN" w:bidi="ar-SA"/>
        </w:rPr>
        <w:t>本部门 2023 年度公务用车购置量 0 辆，发生“公务用车购置”经费支出 0 万元。公务用车购置费支出较预算持平，主要是未发生“公务用车购置”支出；较上年持平，主要是未发生“公务用车购置”支出。</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30.68</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年度单位公务用车保有量10辆，发生运行维护费支出30.68万元。公车运行维护费支出较预算</w:t>
      </w:r>
      <w:r>
        <w:rPr>
          <w:rFonts w:hint="eastAsia" w:ascii="Times New Roman" w:hAnsi="Times New Roman" w:eastAsia="仿宋_GB2312" w:cs="Times New Roman"/>
          <w:color w:val="auto"/>
          <w:kern w:val="2"/>
          <w:sz w:val="32"/>
          <w:szCs w:val="32"/>
          <w:lang w:val="zh-CN" w:eastAsia="zh-CN" w:bidi="ar-SA"/>
        </w:rPr>
        <w:t>减少47.32万元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降低60.67%，</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kern w:val="2"/>
          <w:sz w:val="32"/>
          <w:szCs w:val="32"/>
          <w:lang w:val="zh-CN"/>
        </w:rPr>
        <w:t>厉行节约，减少本年支出</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增加30.68万元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10</w:t>
      </w:r>
      <w:r>
        <w:rPr>
          <w:rFonts w:hint="eastAsia" w:ascii="Times New Roman" w:hAnsi="Times New Roman" w:eastAsia="仿宋_GB2312" w:cs="Times New Roman"/>
          <w:color w:val="auto"/>
          <w:kern w:val="2"/>
          <w:sz w:val="32"/>
          <w:szCs w:val="32"/>
          <w:lang w:val="zh-CN" w:eastAsia="zh-CN" w:bidi="ar-SA"/>
        </w:rPr>
        <w:t>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车辆使用年限久，维修保养成本高</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年度公务接待费支出预算为1.6万元，支出决算0万元，完成预算的0%。公务接待费支出较预算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减少1.6万元，降低100%，</w:t>
      </w:r>
      <w:r>
        <w:rPr>
          <w:rFonts w:hint="default" w:ascii="Times New Roman" w:hAnsi="Times New Roman" w:eastAsia="仿宋_GB2312" w:cs="Times New Roman"/>
          <w:color w:val="auto"/>
          <w:kern w:val="2"/>
          <w:sz w:val="32"/>
          <w:szCs w:val="32"/>
          <w:lang w:val="zh-CN" w:eastAsia="zh-CN" w:bidi="ar-SA"/>
        </w:rPr>
        <w:t>主要是为节省开支，减少公务接待费用的支出。本年度共发生公务接待 0 批次、0 人次。</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年度机关运行经费支出198.9万元，较2022年度</w:t>
      </w:r>
      <w:r>
        <w:rPr>
          <w:rFonts w:hint="eastAsia" w:ascii="Times New Roman" w:hAnsi="Times New Roman" w:eastAsia="仿宋_GB2312" w:cs="Times New Roman"/>
          <w:color w:val="auto"/>
          <w:kern w:val="2"/>
          <w:sz w:val="32"/>
          <w:szCs w:val="32"/>
          <w:lang w:val="zh-CN" w:eastAsia="zh-CN" w:bidi="ar-SA"/>
        </w:rPr>
        <w:t>增加198.9万元，增长0%，</w:t>
      </w:r>
      <w:r>
        <w:rPr>
          <w:rFonts w:hint="default" w:ascii="Times New Roman" w:hAnsi="Times New Roman" w:eastAsia="仿宋_GB2312" w:cs="Times New Roman"/>
          <w:color w:val="auto"/>
          <w:kern w:val="2"/>
          <w:sz w:val="32"/>
          <w:szCs w:val="32"/>
          <w:lang w:val="zh-CN" w:eastAsia="zh-CN" w:bidi="ar-SA"/>
        </w:rPr>
        <w:t>主要原因是 2023 年度有新进人员，增加机关运行经费支出</w:t>
      </w:r>
      <w:r>
        <w:rPr>
          <w:rFonts w:hint="eastAsia"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年12月31日，本部门共有车辆10辆，比上年</w:t>
      </w:r>
      <w:r>
        <w:rPr>
          <w:rFonts w:hint="eastAsia" w:ascii="Times New Roman" w:hAnsi="Times New Roman" w:eastAsia="仿宋_GB2312" w:cs="Times New Roman"/>
          <w:color w:val="auto"/>
          <w:kern w:val="2"/>
          <w:sz w:val="32"/>
          <w:szCs w:val="32"/>
          <w:lang w:val="zh-CN" w:eastAsia="zh-CN" w:bidi="ar-SA"/>
        </w:rPr>
        <w:t>增加0</w:t>
      </w:r>
      <w:r>
        <w:rPr>
          <w:rFonts w:hint="default" w:ascii="Times New Roman" w:hAnsi="Times New Roman" w:eastAsia="仿宋_GB2312" w:cs="Times New Roman"/>
          <w:color w:val="auto"/>
          <w:kern w:val="2"/>
          <w:sz w:val="32"/>
          <w:szCs w:val="32"/>
          <w:lang w:val="zh-CN" w:eastAsia="zh-CN" w:bidi="ar-SA"/>
        </w:rPr>
        <w:t>辆。其中，副部（省）级及以上领导用车0辆，主要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用车0辆，机要通信用车0辆，应急保障用车1辆，执法执勤用车7辆，特种专业技术用车2辆，离退休干部用车0辆，其他用车0</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根据预算绩效管理要求，本部门组织对2023年度一般公共预算项目支出全面开展绩效自评，其中，一级项目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17</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737.2</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 2023 年度 0 个政府性基金预算项目支出开展绩效自评，共涉及资金 0 万元，占政府性基金预算项目支出总额的 0%。组织对 2023 年度 0 个国有资本经营预算项目支出开展绩效自评，共涉及资金 0 万元，占国有资本经营预算项目支出总额的 0%。</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xml:space="preserve">组织对“书记员经费”“劳务派遣人员经费”等 </w:t>
      </w:r>
      <w:r>
        <w:rPr>
          <w:rFonts w:hint="eastAsia" w:ascii="Times New Roman" w:hAnsi="Times New Roman" w:eastAsia="仿宋_GB2312" w:cs="Times New Roman"/>
          <w:color w:val="auto"/>
          <w:kern w:val="2"/>
          <w:sz w:val="32"/>
          <w:szCs w:val="32"/>
          <w:lang w:val="en-US" w:eastAsia="zh-CN" w:bidi="ar-SA"/>
        </w:rPr>
        <w:t>17</w:t>
      </w:r>
      <w:r>
        <w:rPr>
          <w:rFonts w:hint="default" w:ascii="Times New Roman" w:hAnsi="Times New Roman" w:eastAsia="仿宋_GB2312" w:cs="Times New Roman"/>
          <w:color w:val="auto"/>
          <w:kern w:val="2"/>
          <w:sz w:val="32"/>
          <w:szCs w:val="32"/>
          <w:lang w:val="zh-CN" w:eastAsia="zh-CN" w:bidi="ar-SA"/>
        </w:rPr>
        <w:t xml:space="preserve"> 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737.2</w:t>
      </w:r>
      <w:r>
        <w:rPr>
          <w:rFonts w:hint="default" w:ascii="Times New Roman" w:hAnsi="Times New Roman" w:eastAsia="仿宋_GB2312" w:cs="Times New Roman"/>
          <w:color w:val="auto"/>
          <w:kern w:val="2"/>
          <w:sz w:val="32"/>
          <w:szCs w:val="32"/>
          <w:lang w:val="zh-CN" w:eastAsia="zh-CN" w:bidi="ar-SA"/>
        </w:rPr>
        <w:t xml:space="preserve"> 万元，政府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jc w:val="left"/>
        <w:textAlignment w:val="auto"/>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性基金预算支出 0 万元，国有资本经营预算支出 0 万元。从评价情况来看，本部门严格按照国家有关财经法规，把项目资金的使用、监督检查与绩效评价结合起来，实行专款专用，确保财政资金分配和财政审判程序合法，保障项目资金合理使用。</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（二）部门决算中项目绩效自评结果（如有）</w:t>
      </w:r>
    </w:p>
    <w:p>
      <w:pPr>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本部门在今年部门决算公开中反映“书记员经费”项目1 个项目绩效自评结果。</w:t>
      </w:r>
    </w:p>
    <w:p>
      <w:pPr>
        <w:ind w:firstLine="640"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“书记员经费”项目绩效自评情况：根据年初设定的绩</w:t>
      </w:r>
    </w:p>
    <w:p>
      <w:pPr>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xml:space="preserve">效目标，“书记员经费”项目绩效自评得分为 </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 xml:space="preserve"> 分（绩效</w:t>
      </w:r>
    </w:p>
    <w:p>
      <w:pPr>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xml:space="preserve">自评表附后）。全年预算数为 </w:t>
      </w:r>
      <w:r>
        <w:rPr>
          <w:rFonts w:hint="eastAsia" w:ascii="Times New Roman" w:hAnsi="Times New Roman" w:eastAsia="仿宋_GB2312" w:cs="Times New Roman"/>
          <w:color w:val="auto"/>
          <w:kern w:val="2"/>
          <w:sz w:val="32"/>
          <w:szCs w:val="32"/>
          <w:lang w:val="en-US" w:eastAsia="zh-CN" w:bidi="ar-SA"/>
        </w:rPr>
        <w:t>142.08</w:t>
      </w:r>
      <w:r>
        <w:rPr>
          <w:rFonts w:hint="default" w:ascii="Times New Roman" w:hAnsi="Times New Roman" w:eastAsia="仿宋_GB2312" w:cs="Times New Roman"/>
          <w:color w:val="auto"/>
          <w:kern w:val="2"/>
          <w:sz w:val="32"/>
          <w:szCs w:val="32"/>
          <w:lang w:val="zh-CN" w:eastAsia="zh-CN" w:bidi="ar-SA"/>
        </w:rPr>
        <w:t xml:space="preserve"> 万元，执行数为 </w:t>
      </w:r>
      <w:r>
        <w:rPr>
          <w:rFonts w:hint="eastAsia" w:ascii="Times New Roman" w:hAnsi="Times New Roman" w:eastAsia="仿宋_GB2312" w:cs="Times New Roman"/>
          <w:color w:val="auto"/>
          <w:kern w:val="2"/>
          <w:sz w:val="32"/>
          <w:szCs w:val="32"/>
          <w:lang w:val="en-US" w:eastAsia="zh-CN" w:bidi="ar-SA"/>
        </w:rPr>
        <w:t>142.08</w:t>
      </w:r>
      <w:r>
        <w:rPr>
          <w:rFonts w:hint="default" w:ascii="Times New Roman" w:hAnsi="Times New Roman" w:eastAsia="仿宋_GB2312" w:cs="Times New Roman"/>
          <w:color w:val="auto"/>
          <w:kern w:val="2"/>
          <w:sz w:val="32"/>
          <w:szCs w:val="32"/>
          <w:lang w:val="zh-CN" w:eastAsia="zh-CN" w:bidi="ar-SA"/>
        </w:rPr>
        <w:t xml:space="preserve">万元，完成预算的 </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通过经费的使用，确保各类案件高效办结，提升办案质量，加大办案力度；二是维护人民群众合法权益，提高人民群众满意度。通过项目实施，完成了年初设定的各项绩效目标，书记员充分发挥了辅助案件审理的作用，保障了法院工作的顺利开展，提高了法官审理工作效率，未发现问题。</w:t>
      </w:r>
    </w:p>
    <w:p>
      <w:pPr>
        <w:jc w:val="center"/>
        <w:rPr>
          <w:rFonts w:hint="default" w:ascii="Times New Roman" w:hAnsi="Times New Roman" w:eastAsia="仿宋_GB2312" w:cs="Times New Roman"/>
          <w:b/>
          <w:bCs/>
          <w:color w:val="auto"/>
          <w:kern w:val="2"/>
          <w:sz w:val="32"/>
          <w:szCs w:val="32"/>
          <w:lang w:val="zh-CN" w:eastAsia="zh-CN" w:bidi="ar-SA"/>
        </w:rPr>
      </w:pPr>
      <w:r>
        <w:rPr>
          <w:rFonts w:hint="default" w:ascii="Times New Roman" w:hAnsi="Times New Roman" w:eastAsia="仿宋_GB2312" w:cs="Times New Roman"/>
          <w:b/>
          <w:bCs/>
          <w:color w:val="auto"/>
          <w:kern w:val="2"/>
          <w:sz w:val="32"/>
          <w:szCs w:val="32"/>
          <w:lang w:val="zh-CN" w:eastAsia="zh-CN" w:bidi="ar-SA"/>
        </w:rPr>
        <w:t>市级部门预算项目绩效自评表</w:t>
      </w:r>
    </w:p>
    <w:tbl>
      <w:tblPr>
        <w:tblW w:w="85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0" w:type="dxa"/>
          <w:bottom w:w="0" w:type="dxa"/>
          <w:right w:w="0" w:type="dxa"/>
        </w:tblCellMar>
      </w:tblPr>
      <w:tblGrid>
        <w:gridCol w:w="1003"/>
        <w:gridCol w:w="850"/>
        <w:gridCol w:w="839"/>
        <w:gridCol w:w="1135"/>
        <w:gridCol w:w="1190"/>
        <w:gridCol w:w="1312"/>
        <w:gridCol w:w="993"/>
        <w:gridCol w:w="11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0" w:type="dxa"/>
            <w:bottom w:w="0" w:type="dxa"/>
            <w:right w:w="0" w:type="dxa"/>
          </w:tblCellMar>
        </w:tblPrEx>
        <w:trPr>
          <w:trHeight w:val="555" w:hRule="atLeast"/>
        </w:trPr>
        <w:tc>
          <w:tcPr>
            <w:tcW w:w="1003"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8" w:name="OLE_LINK9"/>
            <w:r>
              <w:rPr>
                <w:rFonts w:hint="eastAsia" w:ascii="宋体" w:hAnsi="宋体" w:eastAsia="宋体" w:cs="宋体"/>
                <w:i w:val="0"/>
                <w:color w:val="000000"/>
                <w:kern w:val="0"/>
                <w:sz w:val="20"/>
                <w:szCs w:val="20"/>
                <w:u w:val="none"/>
                <w:bdr w:val="none" w:color="auto" w:sz="0" w:space="0"/>
                <w:lang w:val="en-US" w:eastAsia="zh-CN" w:bidi="ar"/>
              </w:rPr>
              <w:t>一、</w:t>
            </w:r>
            <w:r>
              <w:rPr>
                <w:rFonts w:ascii="Calibri" w:hAnsi="Calibri" w:eastAsia="宋体" w:cs="Calibri"/>
                <w:i w:val="0"/>
                <w:color w:val="000000"/>
                <w:kern w:val="0"/>
                <w:sz w:val="20"/>
                <w:szCs w:val="20"/>
                <w:u w:val="none"/>
                <w:bdr w:val="none" w:color="auto" w:sz="0" w:space="0"/>
                <w:lang w:val="en-US" w:eastAsia="zh-CN" w:bidi="ar"/>
              </w:rPr>
              <w:t xml:space="preserve"> </w:t>
            </w:r>
            <w:r>
              <w:rPr>
                <w:rFonts w:hint="eastAsia" w:ascii="宋体" w:hAnsi="宋体" w:eastAsia="宋体" w:cs="宋体"/>
                <w:i w:val="0"/>
                <w:color w:val="000000"/>
                <w:kern w:val="0"/>
                <w:sz w:val="20"/>
                <w:szCs w:val="20"/>
                <w:u w:val="none"/>
                <w:bdr w:val="none" w:color="auto" w:sz="0" w:space="0"/>
                <w:lang w:val="en-US" w:eastAsia="zh-CN" w:bidi="ar"/>
              </w:rPr>
              <w:t>基本情况</w:t>
            </w:r>
          </w:p>
        </w:tc>
        <w:tc>
          <w:tcPr>
            <w:tcW w:w="8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项目名称</w:t>
            </w:r>
          </w:p>
        </w:tc>
        <w:tc>
          <w:tcPr>
            <w:tcW w:w="197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聘用制书记员经费</w:t>
            </w:r>
          </w:p>
        </w:tc>
        <w:tc>
          <w:tcPr>
            <w:tcW w:w="11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实施(主管）单位</w:t>
            </w:r>
          </w:p>
        </w:tc>
        <w:tc>
          <w:tcPr>
            <w:tcW w:w="3503"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9" w:hRule="atLeast"/>
        </w:trPr>
        <w:tc>
          <w:tcPr>
            <w:tcW w:w="1003"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二、预算执行情况</w:t>
            </w:r>
          </w:p>
        </w:tc>
        <w:tc>
          <w:tcPr>
            <w:tcW w:w="1689"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预算安排情况（调整后）</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资金到位情况</w:t>
            </w:r>
          </w:p>
        </w:tc>
        <w:tc>
          <w:tcPr>
            <w:tcW w:w="230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资金执行情况</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2"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预算数：</w:t>
            </w:r>
          </w:p>
        </w:tc>
        <w:tc>
          <w:tcPr>
            <w:tcW w:w="83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142.08</w:t>
            </w:r>
          </w:p>
        </w:tc>
        <w:tc>
          <w:tcPr>
            <w:tcW w:w="11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到位数：</w:t>
            </w:r>
          </w:p>
        </w:tc>
        <w:tc>
          <w:tcPr>
            <w:tcW w:w="11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142.08</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执行数：</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142.079985</w:t>
            </w:r>
          </w:p>
        </w:tc>
        <w:tc>
          <w:tcPr>
            <w:tcW w:w="1198"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6"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其中：                 财政资金</w:t>
            </w:r>
          </w:p>
        </w:tc>
        <w:tc>
          <w:tcPr>
            <w:tcW w:w="83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其中：                      财政资金</w:t>
            </w:r>
          </w:p>
        </w:tc>
        <w:tc>
          <w:tcPr>
            <w:tcW w:w="11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其中：                     财政资金</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8"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其他</w:t>
            </w:r>
          </w:p>
        </w:tc>
        <w:tc>
          <w:tcPr>
            <w:tcW w:w="83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其他</w:t>
            </w:r>
          </w:p>
        </w:tc>
        <w:tc>
          <w:tcPr>
            <w:tcW w:w="11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其他</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003"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三、目标完成情况</w:t>
            </w:r>
          </w:p>
        </w:tc>
        <w:tc>
          <w:tcPr>
            <w:tcW w:w="2824"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年度预期目标</w:t>
            </w:r>
          </w:p>
        </w:tc>
        <w:tc>
          <w:tcPr>
            <w:tcW w:w="3495"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具体完成情况</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6"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24"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保障聘任制书记员工资及时发放到位，提高人员工作积极性。</w:t>
            </w:r>
          </w:p>
        </w:tc>
        <w:tc>
          <w:tcPr>
            <w:tcW w:w="3495"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聘任制书记员工资发放及时到位，人员工作积极性高，工作任务完成的质量标准较高</w:t>
            </w:r>
          </w:p>
        </w:tc>
        <w:tc>
          <w:tcPr>
            <w:tcW w:w="1198"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24"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95"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6"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24"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95"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2" w:hRule="atLeast"/>
        </w:trPr>
        <w:tc>
          <w:tcPr>
            <w:tcW w:w="1003"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四、</w:t>
            </w:r>
            <w:r>
              <w:rPr>
                <w:rFonts w:ascii="Calibri" w:hAnsi="Calibri" w:eastAsia="宋体" w:cs="Calibri"/>
                <w:i w:val="0"/>
                <w:color w:val="000000"/>
                <w:kern w:val="0"/>
                <w:sz w:val="20"/>
                <w:szCs w:val="20"/>
                <w:u w:val="none"/>
                <w:bdr w:val="none" w:color="auto" w:sz="0" w:space="0"/>
                <w:lang w:val="en-US" w:eastAsia="zh-CN" w:bidi="ar"/>
              </w:rPr>
              <w:t xml:space="preserve"> </w:t>
            </w:r>
            <w:r>
              <w:rPr>
                <w:rFonts w:hint="eastAsia" w:ascii="宋体" w:hAnsi="宋体" w:eastAsia="宋体" w:cs="宋体"/>
                <w:i w:val="0"/>
                <w:color w:val="000000"/>
                <w:kern w:val="0"/>
                <w:sz w:val="20"/>
                <w:szCs w:val="20"/>
                <w:u w:val="none"/>
                <w:bdr w:val="none" w:color="auto" w:sz="0" w:space="0"/>
                <w:lang w:val="en-US" w:eastAsia="zh-CN" w:bidi="ar"/>
              </w:rPr>
              <w:t>年度绩效指标完成情况</w:t>
            </w:r>
          </w:p>
        </w:tc>
        <w:tc>
          <w:tcPr>
            <w:tcW w:w="8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一级指标</w:t>
            </w:r>
          </w:p>
        </w:tc>
        <w:tc>
          <w:tcPr>
            <w:tcW w:w="83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二级指标</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三级指标</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预期指标值</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实际完成值</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20"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产出指标（40）</w:t>
            </w:r>
          </w:p>
        </w:tc>
        <w:tc>
          <w:tcPr>
            <w:tcW w:w="839"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数量指标</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人员数量</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20</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20</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39"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质量指标</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工作完成质量</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ascii="Arial" w:hAnsi="Arial" w:eastAsia="宋体" w:cs="Arial"/>
                <w:i w:val="0"/>
                <w:color w:val="000000"/>
                <w:sz w:val="20"/>
                <w:szCs w:val="20"/>
                <w:u w:val="none"/>
              </w:rPr>
            </w:pPr>
            <w:r>
              <w:rPr>
                <w:rFonts w:hint="default" w:ascii="Arial" w:hAnsi="Arial" w:eastAsia="宋体" w:cs="Arial"/>
                <w:i w:val="0"/>
                <w:color w:val="000000"/>
                <w:kern w:val="0"/>
                <w:sz w:val="20"/>
                <w:szCs w:val="20"/>
                <w:u w:val="none"/>
                <w:bdr w:val="none" w:color="auto" w:sz="0" w:space="0"/>
                <w:lang w:val="en-US" w:eastAsia="zh-CN" w:bidi="ar"/>
              </w:rPr>
              <w:t>≤100%</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100%</w:t>
            </w:r>
          </w:p>
        </w:tc>
        <w:tc>
          <w:tcPr>
            <w:tcW w:w="1198"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39"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人员满勤率</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20"/>
                <w:szCs w:val="20"/>
                <w:u w:val="none"/>
              </w:rPr>
            </w:pPr>
            <w:r>
              <w:rPr>
                <w:rFonts w:hint="default" w:ascii="Arial" w:hAnsi="Arial" w:eastAsia="宋体" w:cs="Arial"/>
                <w:i w:val="0"/>
                <w:color w:val="000000"/>
                <w:kern w:val="0"/>
                <w:sz w:val="20"/>
                <w:szCs w:val="20"/>
                <w:u w:val="none"/>
                <w:bdr w:val="none" w:color="auto" w:sz="0" w:space="0"/>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100%</w:t>
            </w:r>
          </w:p>
        </w:tc>
        <w:tc>
          <w:tcPr>
            <w:tcW w:w="119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7"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时效指标</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经费保障时间</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12</w:t>
            </w:r>
            <w:r>
              <w:rPr>
                <w:rFonts w:hint="eastAsia" w:ascii="宋体" w:hAnsi="宋体" w:eastAsia="宋体" w:cs="宋体"/>
                <w:i w:val="0"/>
                <w:color w:val="000000"/>
                <w:kern w:val="0"/>
                <w:sz w:val="20"/>
                <w:szCs w:val="20"/>
                <w:u w:val="none"/>
                <w:bdr w:val="none" w:color="auto" w:sz="0" w:space="0"/>
                <w:lang w:val="en-US" w:eastAsia="zh-CN" w:bidi="ar"/>
              </w:rPr>
              <w:t>个月</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12</w:t>
            </w:r>
            <w:r>
              <w:rPr>
                <w:rFonts w:hint="eastAsia" w:ascii="宋体" w:hAnsi="宋体" w:eastAsia="宋体" w:cs="宋体"/>
                <w:i w:val="0"/>
                <w:color w:val="000000"/>
                <w:kern w:val="0"/>
                <w:sz w:val="20"/>
                <w:szCs w:val="20"/>
                <w:u w:val="none"/>
                <w:bdr w:val="none" w:color="auto" w:sz="0" w:space="0"/>
                <w:lang w:val="en-US" w:eastAsia="zh-CN" w:bidi="ar"/>
              </w:rPr>
              <w:t>个月</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8"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成本指标</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预算控制数</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≤142.08</w:t>
            </w:r>
            <w:r>
              <w:rPr>
                <w:rFonts w:hint="eastAsia" w:ascii="宋体" w:hAnsi="宋体" w:eastAsia="宋体" w:cs="宋体"/>
                <w:i w:val="0"/>
                <w:color w:val="000000"/>
                <w:kern w:val="0"/>
                <w:sz w:val="20"/>
                <w:szCs w:val="20"/>
                <w:u w:val="none"/>
                <w:bdr w:val="none" w:color="auto" w:sz="0" w:space="0"/>
                <w:lang w:val="en-US" w:eastAsia="zh-CN" w:bidi="ar"/>
              </w:rPr>
              <w:t>万元</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142.08</w:t>
            </w:r>
            <w:r>
              <w:rPr>
                <w:rFonts w:hint="eastAsia" w:ascii="宋体" w:hAnsi="宋体" w:eastAsia="宋体" w:cs="宋体"/>
                <w:i w:val="0"/>
                <w:color w:val="000000"/>
                <w:kern w:val="0"/>
                <w:sz w:val="20"/>
                <w:szCs w:val="20"/>
                <w:u w:val="none"/>
                <w:bdr w:val="none" w:color="auto" w:sz="0" w:space="0"/>
                <w:lang w:val="en-US" w:eastAsia="zh-CN" w:bidi="ar"/>
              </w:rPr>
              <w:t>万元</w:t>
            </w:r>
          </w:p>
        </w:tc>
        <w:tc>
          <w:tcPr>
            <w:tcW w:w="1198"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44"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聘用人员的人均成本</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w:t>
            </w:r>
            <w:r>
              <w:rPr>
                <w:rFonts w:hint="default" w:ascii="Calibri" w:hAnsi="Calibri" w:eastAsia="宋体" w:cs="Calibri"/>
                <w:i w:val="0"/>
                <w:color w:val="000000"/>
                <w:kern w:val="0"/>
                <w:sz w:val="20"/>
                <w:szCs w:val="20"/>
                <w:u w:val="none"/>
                <w:bdr w:val="none" w:color="auto" w:sz="0" w:space="0"/>
                <w:lang w:val="en-US" w:eastAsia="zh-CN" w:bidi="ar"/>
              </w:rPr>
              <w:t>6.5</w:t>
            </w:r>
            <w:r>
              <w:rPr>
                <w:rFonts w:hint="eastAsia" w:ascii="宋体" w:hAnsi="宋体" w:eastAsia="宋体" w:cs="宋体"/>
                <w:i w:val="0"/>
                <w:color w:val="000000"/>
                <w:kern w:val="0"/>
                <w:sz w:val="20"/>
                <w:szCs w:val="20"/>
                <w:u w:val="none"/>
                <w:bdr w:val="none" w:color="auto" w:sz="0" w:space="0"/>
                <w:lang w:val="en-US" w:eastAsia="zh-CN" w:bidi="ar"/>
              </w:rPr>
              <w:t>万元/年</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7.104</w:t>
            </w:r>
            <w:r>
              <w:rPr>
                <w:rFonts w:hint="eastAsia" w:ascii="宋体" w:hAnsi="宋体" w:eastAsia="宋体" w:cs="宋体"/>
                <w:i w:val="0"/>
                <w:color w:val="000000"/>
                <w:kern w:val="0"/>
                <w:sz w:val="20"/>
                <w:szCs w:val="20"/>
                <w:u w:val="none"/>
                <w:bdr w:val="none" w:color="auto" w:sz="0" w:space="0"/>
                <w:lang w:val="en-US" w:eastAsia="zh-CN" w:bidi="ar"/>
              </w:rPr>
              <w:t>万元/年</w:t>
            </w:r>
          </w:p>
        </w:tc>
        <w:tc>
          <w:tcPr>
            <w:tcW w:w="1198"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11"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预算执行率指标</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（10分）</w:t>
            </w:r>
          </w:p>
        </w:tc>
        <w:tc>
          <w:tcPr>
            <w:tcW w:w="83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预算执行率</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预算数和执行数的比率</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≤100%</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6"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restart"/>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效益指标（40分）</w:t>
            </w:r>
          </w:p>
        </w:tc>
        <w:tc>
          <w:tcPr>
            <w:tcW w:w="839"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社会效益指标</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提高单位办公效益</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持续提高</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持续提高</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7"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可持续影响指标</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保障审判工作正常运转</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≥98%</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1"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满意度指标</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（10分）</w:t>
            </w:r>
          </w:p>
        </w:tc>
        <w:tc>
          <w:tcPr>
            <w:tcW w:w="839"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满意度指标</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聘用人员满意度</w:t>
            </w:r>
          </w:p>
        </w:tc>
        <w:tc>
          <w:tcPr>
            <w:tcW w:w="1312"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8" w:hRule="atLeast"/>
        </w:trPr>
        <w:tc>
          <w:tcPr>
            <w:tcW w:w="1003"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319"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总分</w:t>
            </w:r>
          </w:p>
        </w:tc>
        <w:tc>
          <w:tcPr>
            <w:tcW w:w="1198"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21" w:hRule="atLeast"/>
        </w:trPr>
        <w:tc>
          <w:tcPr>
            <w:tcW w:w="1003"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五、</w:t>
            </w:r>
            <w:r>
              <w:rPr>
                <w:rFonts w:ascii="Calibri" w:hAnsi="Calibri" w:eastAsia="宋体" w:cs="Calibri"/>
                <w:i w:val="0"/>
                <w:color w:val="000000"/>
                <w:kern w:val="0"/>
                <w:sz w:val="20"/>
                <w:szCs w:val="20"/>
                <w:u w:val="none"/>
                <w:bdr w:val="none" w:color="auto" w:sz="0" w:space="0"/>
                <w:lang w:val="en-US" w:eastAsia="zh-CN" w:bidi="ar"/>
              </w:rPr>
              <w:t xml:space="preserve"> </w:t>
            </w:r>
            <w:r>
              <w:rPr>
                <w:rFonts w:hint="eastAsia" w:ascii="宋体" w:hAnsi="宋体" w:eastAsia="宋体" w:cs="宋体"/>
                <w:i w:val="0"/>
                <w:color w:val="000000"/>
                <w:kern w:val="0"/>
                <w:sz w:val="20"/>
                <w:szCs w:val="20"/>
                <w:u w:val="none"/>
                <w:bdr w:val="none" w:color="auto" w:sz="0" w:space="0"/>
                <w:lang w:val="en-US" w:eastAsia="zh-CN" w:bidi="ar"/>
              </w:rPr>
              <w:t>存在问题、原因及下一步整改措施</w:t>
            </w:r>
          </w:p>
        </w:tc>
        <w:tc>
          <w:tcPr>
            <w:tcW w:w="7517"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无</w:t>
            </w:r>
          </w:p>
        </w:tc>
      </w:tr>
      <w:bookmarkEnd w:id="8"/>
    </w:tbl>
    <w:p>
      <w:pPr>
        <w:rPr>
          <w:rFonts w:hint="default" w:ascii="Times New Roman" w:hAnsi="Times New Roman" w:eastAsia="仿宋_GB2312" w:cs="Times New Roman"/>
          <w:color w:val="auto"/>
          <w:kern w:val="2"/>
          <w:sz w:val="32"/>
          <w:szCs w:val="32"/>
          <w:highlight w:val="yellow"/>
          <w:lang w:val="zh-CN" w:eastAsia="zh-CN" w:bidi="ar-SA"/>
        </w:rPr>
      </w:pPr>
    </w:p>
    <w:p>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bookmarkStart w:id="9" w:name="OLE_LINK10"/>
      <w:r>
        <w:rPr>
          <w:rFonts w:hint="default" w:ascii="Times New Roman" w:hAnsi="Times New Roman" w:eastAsia="仿宋_GB2312" w:cs="Times New Roman"/>
          <w:sz w:val="32"/>
          <w:szCs w:val="32"/>
        </w:rPr>
        <w:t>023 年度我院不断完善资金管理及内部控制制度，确保资金使用合理规范，为我院审判、执行各项工作开展提供了有力保障。经自评，整体项目自评得分 95.5 分，较好的完成了年度工作目标，综合评价等级为“优秀”。</w:t>
      </w:r>
    </w:p>
    <w:bookmarkEnd w:id="9"/>
    <w:p>
      <w:pPr>
        <w:adjustRightInd w:val="0"/>
        <w:snapToGrid w:val="0"/>
        <w:spacing w:line="58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bookmarkStart w:id="10" w:name="OLE_LINK11"/>
      <w:r>
        <w:rPr>
          <w:rFonts w:hint="default" w:ascii="Times New Roman" w:hAnsi="Times New Roman" w:eastAsia="仿宋_GB2312" w:cs="Times New Roman"/>
          <w:sz w:val="32"/>
          <w:szCs w:val="32"/>
        </w:rPr>
        <w:t>1. 本部门 2023 年度政府性基金财政拨款收支、国有资</w:t>
      </w:r>
    </w:p>
    <w:p>
      <w:pPr>
        <w:adjustRightInd w:val="0"/>
        <w:snapToGrid w:val="0"/>
        <w:spacing w:line="58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本经营预算财政拨款支出无收支及结转结余情况，故公开 07表、公开 08 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w:t>
      </w:r>
    </w:p>
    <w:p>
      <w:pPr>
        <w:adjustRightInd w:val="0"/>
        <w:snapToGrid w:val="0"/>
        <w:spacing w:line="580" w:lineRule="exact"/>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开数据为四舍五入计算结果，个别数据合计项与分项之和存在小数点后差额，特此说明</w:t>
      </w:r>
      <w:r>
        <w:rPr>
          <w:rFonts w:hint="eastAsia" w:ascii="Times New Roman" w:hAnsi="Times New Roman" w:eastAsia="仿宋_GB2312" w:cs="Times New Roman"/>
          <w:sz w:val="32"/>
          <w:szCs w:val="32"/>
          <w:lang w:eastAsia="zh-CN"/>
        </w:rPr>
        <w:t>。</w:t>
      </w:r>
    </w:p>
    <w:p>
      <w:pPr>
        <w:adjustRightInd w:val="0"/>
        <w:snapToGrid w:val="0"/>
        <w:spacing w:line="580" w:lineRule="exact"/>
        <w:ind w:firstLine="640" w:firstLineChars="200"/>
        <w:rPr>
          <w:rFonts w:hint="default" w:ascii="Times New Roman" w:hAnsi="Times New Roman" w:eastAsia="仿宋_GB2312" w:cs="Times New Roman"/>
          <w:sz w:val="32"/>
          <w:szCs w:val="32"/>
        </w:rPr>
      </w:pPr>
    </w:p>
    <w:bookmarkEnd w:id="10"/>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bookmarkStart w:id="11" w:name="_GoBack"/>
      <w:bookmarkEnd w:id="11"/>
    </w:p>
    <w:p>
      <w:pPr>
        <w:rPr>
          <w:rFonts w:hint="default" w:ascii="Times New Roman" w:hAnsi="Times New Roman" w:eastAsia="仿宋_GB2312" w:cs="Times New Roman"/>
          <w:sz w:val="32"/>
          <w:szCs w:val="32"/>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D83F26AA-AFCC-4301-9EE1-4B938B590134}"/>
  </w:font>
  <w:font w:name="黑体">
    <w:panose1 w:val="02010609060101010101"/>
    <w:charset w:val="86"/>
    <w:family w:val="auto"/>
    <w:pitch w:val="default"/>
    <w:sig w:usb0="800002BF" w:usb1="38CF7CFA" w:usb2="00000016" w:usb3="00000000" w:csb0="00040001" w:csb1="00000000"/>
    <w:embedRegular r:id="rId2" w:fontKey="{A609D08F-0B71-4BD5-8E07-F2905E2253C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D8EF6CBA-66CE-4FF9-B566-B8E09841E793}"/>
  </w:font>
  <w:font w:name="仿宋">
    <w:panose1 w:val="02010609060101010101"/>
    <w:charset w:val="86"/>
    <w:family w:val="modern"/>
    <w:pitch w:val="default"/>
    <w:sig w:usb0="800002BF" w:usb1="38CF7CFA" w:usb2="00000016" w:usb3="00000000" w:csb0="00040001" w:csb1="00000000"/>
    <w:embedRegular r:id="rId4" w:fontKey="{47EE458D-3A01-4E91-A6F1-2247D70BC4FA}"/>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D38D4808-5E55-47A6-BF3A-4900143B5387}"/>
  </w:font>
  <w:font w:name="思源黑体 CN Heavy">
    <w:altName w:val="黑体"/>
    <w:panose1 w:val="00000000000000000000"/>
    <w:charset w:val="86"/>
    <w:family w:val="swiss"/>
    <w:pitch w:val="default"/>
    <w:sig w:usb0="00000000" w:usb1="00000000" w:usb2="00000016" w:usb3="00000000" w:csb0="00060107" w:csb1="00000000"/>
    <w:embedRegular r:id="rId6" w:fontKey="{3C8986CF-28E8-4FAE-8C36-757F77EE47F0}"/>
  </w:font>
  <w:font w:name="楷体_GB2312">
    <w:panose1 w:val="02010609030101010101"/>
    <w:charset w:val="86"/>
    <w:family w:val="auto"/>
    <w:pitch w:val="default"/>
    <w:sig w:usb0="00000000" w:usb1="00000000" w:usb2="00000000" w:usb3="00000000" w:csb0="00000000" w:csb1="00000000"/>
    <w:embedRegular r:id="rId7" w:fontKey="{74B10CB1-200D-42E6-A90B-DFF76103432A}"/>
  </w:font>
  <w:font w:name="仿宋_GB2312">
    <w:panose1 w:val="02010609030101010101"/>
    <w:charset w:val="86"/>
    <w:family w:val="auto"/>
    <w:pitch w:val="default"/>
    <w:sig w:usb0="00000000" w:usb1="00000000" w:usb2="00000000" w:usb3="00000000" w:csb0="00000000" w:csb1="00000000"/>
    <w:embedRegular r:id="rId8" w:fontKey="{E7F792AB-F3BC-473E-845A-BF39DAB92DB3}"/>
  </w:font>
  <w:font w:name="ArialUnicodeMS">
    <w:altName w:val="Malgun Gothic"/>
    <w:panose1 w:val="00000000000000000000"/>
    <w:charset w:val="81"/>
    <w:family w:val="auto"/>
    <w:pitch w:val="default"/>
    <w:sig w:usb0="00000000" w:usb1="00000000" w:usb2="00000010" w:usb3="00000000" w:csb0="00080001" w:csb1="00000000"/>
    <w:embedRegular r:id="rId9" w:fontKey="{35FC490C-7F64-4175-98B2-5E31F783D669}"/>
  </w:font>
  <w:font w:name="方正仿宋_GB2312">
    <w:panose1 w:val="02000000000000000000"/>
    <w:charset w:val="86"/>
    <w:family w:val="auto"/>
    <w:pitch w:val="default"/>
    <w:sig w:usb0="00000000" w:usb1="00000000" w:usb2="00000000" w:usb3="00000000" w:csb0="00000000" w:csb1="00000000"/>
    <w:embedRegular r:id="rId10" w:fontKey="{BA22B89C-F5C5-4588-8A9F-D81A11769638}"/>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 w:name="仿宋_GB2312">
    <w:panose1 w:val="02010609030101010101"/>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embedRegular r:id="rId11" w:fontKey="{2F34BAC1-B34C-42C4-8B93-2A46F55F302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60503AF"/>
    <w:multiLevelType w:val="singleLevel"/>
    <w:tmpl w:val="A60503AF"/>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AsImhkaWQiOiJiMzk2N2EzZjUyYWViODRjZjJhMDZjM2YyYjk4MTExMiIsInVzZXJDb3VudCI6MX0="/>
  </w:docVars>
  <w:rsids>
    <w:rsidRoot w:val="00000000"/>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CD632D4"/>
    <w:rsid w:val="0D101068"/>
    <w:rsid w:val="0D49470D"/>
    <w:rsid w:val="0D7557DF"/>
    <w:rsid w:val="0D853E34"/>
    <w:rsid w:val="0D9C2A57"/>
    <w:rsid w:val="0DB70668"/>
    <w:rsid w:val="0DFA5D82"/>
    <w:rsid w:val="0E1E52CE"/>
    <w:rsid w:val="0E341BC0"/>
    <w:rsid w:val="0E866524"/>
    <w:rsid w:val="0E9268D3"/>
    <w:rsid w:val="0E957F1F"/>
    <w:rsid w:val="0EBE4499"/>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232D66"/>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160AE6"/>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EE051B"/>
    <w:rsid w:val="5DF43138"/>
    <w:rsid w:val="5DFA5EB0"/>
    <w:rsid w:val="5E0B583E"/>
    <w:rsid w:val="5E201A7B"/>
    <w:rsid w:val="5EBD0484"/>
    <w:rsid w:val="5F2C5C7C"/>
    <w:rsid w:val="5FC5273F"/>
    <w:rsid w:val="60806DF2"/>
    <w:rsid w:val="610255D1"/>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CE4983"/>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7D01FFB"/>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4F31BE"/>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1.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rPr lang="en-US" altLang="zh-CN"/>
                      <a:t>1368.42</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0.00_);[Red]\(0.00\)</c:formatCode>
                <c:ptCount val="2"/>
                <c:pt idx="0">
                  <c:v>1368.42</c:v>
                </c:pt>
                <c:pt idx="1">
                  <c:v>1724.16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delete val="1"/>
            </c:dLbl>
            <c:dLbl>
              <c:idx val="3"/>
              <c:delete val="1"/>
            </c:dLbl>
            <c:dLbl>
              <c:idx val="4"/>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10070937.79</c:v>
                </c:pt>
                <c:pt idx="1">
                  <c:v>7170697.51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财政拨款支出</c:v>
                </c:pt>
                <c:pt idx="2">
                  <c:v>一般公共预算财政拨款收入</c:v>
                </c:pt>
                <c:pt idx="3">
                  <c:v>一般公共预算财政拨款支出</c:v>
                </c:pt>
              </c:strCache>
            </c:strRef>
          </c:cat>
          <c:val>
            <c:numRef>
              <c:f>Sheet1!$B$2:$B$5</c:f>
              <c:numCache>
                <c:formatCode>General</c:formatCode>
                <c:ptCount val="4"/>
                <c:pt idx="0">
                  <c:v>1368.42</c:v>
                </c:pt>
                <c:pt idx="1">
                  <c:v>1368.42</c:v>
                </c:pt>
                <c:pt idx="2">
                  <c:v>1368.42</c:v>
                </c:pt>
                <c:pt idx="3">
                  <c:v>1368.42</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财政拨款支出</c:v>
                </c:pt>
                <c:pt idx="2">
                  <c:v>一般公共预算财政拨款收入</c:v>
                </c:pt>
                <c:pt idx="3">
                  <c:v>一般公共预算财政拨款支出</c:v>
                </c:pt>
              </c:strCache>
            </c:strRef>
          </c:cat>
          <c:val>
            <c:numRef>
              <c:f>Sheet1!$C$2:$C$5</c:f>
              <c:numCache>
                <c:formatCode>General</c:formatCode>
                <c:ptCount val="4"/>
                <c:pt idx="0">
                  <c:v>1724.16</c:v>
                </c:pt>
                <c:pt idx="1">
                  <c:v>1724.16</c:v>
                </c:pt>
                <c:pt idx="2">
                  <c:v>1724.16</c:v>
                </c:pt>
                <c:pt idx="3">
                  <c:v>1724.16</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2215.62</c:v>
                </c:pt>
                <c:pt idx="1">
                  <c:v>2215.62</c:v>
                </c:pt>
                <c:pt idx="2">
                  <c:v>2215.62</c:v>
                </c:pt>
                <c:pt idx="3">
                  <c:v>2215.62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1724.16</c:v>
                </c:pt>
                <c:pt idx="1">
                  <c:v>1724.16</c:v>
                </c:pt>
                <c:pt idx="2">
                  <c:v>1724.16</c:v>
                </c:pt>
                <c:pt idx="3">
                  <c:v>1724.16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4.53</c:v>
                </c:pt>
                <c:pt idx="1">
                  <c:v>0</c:v>
                </c:pt>
                <c:pt idx="2">
                  <c:v>1472.88</c:v>
                </c:pt>
                <c:pt idx="3">
                  <c:v>0</c:v>
                </c:pt>
                <c:pt idx="4">
                  <c:v>0</c:v>
                </c:pt>
                <c:pt idx="5">
                  <c:v>0</c:v>
                </c:pt>
                <c:pt idx="6">
                  <c:v>121.91</c:v>
                </c:pt>
                <c:pt idx="7">
                  <c:v>62.7</c:v>
                </c:pt>
                <c:pt idx="8">
                  <c:v>0</c:v>
                </c:pt>
                <c:pt idx="9">
                  <c:v>0</c:v>
                </c:pt>
                <c:pt idx="10">
                  <c:v>0</c:v>
                </c:pt>
                <c:pt idx="11">
                  <c:v>0</c:v>
                </c:pt>
                <c:pt idx="12">
                  <c:v>0</c:v>
                </c:pt>
                <c:pt idx="13">
                  <c:v>0</c:v>
                </c:pt>
                <c:pt idx="14">
                  <c:v>0</c:v>
                </c:pt>
                <c:pt idx="15">
                  <c:v>0</c:v>
                </c:pt>
                <c:pt idx="16">
                  <c:v>62.14</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57</Pages>
  <Words>10284</Words>
  <Characters>34684</Characters>
  <Lines>86</Lines>
  <Paragraphs>24</Paragraphs>
  <TotalTime>22</TotalTime>
  <ScaleCrop>false</ScaleCrop>
  <LinksUpToDate>false</LinksUpToDate>
  <CharactersWithSpaces>35317</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2025-09-12T03:20:00Z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