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1259.17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r>
              <w:t>1000.07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1259.17</w:t>
            </w:r>
          </w:p>
        </w:tc>
        <w:tc>
          <w:tcPr>
            <w:tcW w:w="4535" w:type="dxa"/>
            <w:vAlign w:val="center"/>
          </w:tcPr>
          <w:p>
            <w:pPr>
              <w:pStyle w:val="15"/>
            </w:pPr>
            <w:r>
              <w:t>本年支出合计</w:t>
            </w:r>
          </w:p>
        </w:tc>
        <w:tc>
          <w:tcPr>
            <w:tcW w:w="2126" w:type="dxa"/>
            <w:vAlign w:val="center"/>
          </w:tcPr>
          <w:p>
            <w:pPr>
              <w:pStyle w:val="16"/>
            </w:pPr>
            <w:r>
              <w:t>1259.17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1259.17</w:t>
            </w:r>
          </w:p>
        </w:tc>
        <w:tc>
          <w:tcPr>
            <w:tcW w:w="4535" w:type="dxa"/>
            <w:vAlign w:val="center"/>
          </w:tcPr>
          <w:p>
            <w:pPr>
              <w:pStyle w:val="15"/>
            </w:pPr>
            <w:r>
              <w:t>支出总计</w:t>
            </w:r>
          </w:p>
        </w:tc>
        <w:tc>
          <w:tcPr>
            <w:tcW w:w="2126" w:type="dxa"/>
            <w:vAlign w:val="center"/>
          </w:tcPr>
          <w:p>
            <w:pPr>
              <w:pStyle w:val="16"/>
            </w:pPr>
            <w:r>
              <w:t>1259.17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1259.17</w:t>
            </w:r>
          </w:p>
        </w:tc>
        <w:tc>
          <w:tcPr>
            <w:tcW w:w="1134" w:type="dxa"/>
            <w:vAlign w:val="center"/>
          </w:tcPr>
          <w:p>
            <w:pPr>
              <w:pStyle w:val="16"/>
            </w:pPr>
            <w:r>
              <w:t>1259.17</w:t>
            </w:r>
          </w:p>
        </w:tc>
        <w:tc>
          <w:tcPr>
            <w:tcW w:w="1134" w:type="dxa"/>
            <w:vAlign w:val="center"/>
          </w:tcPr>
          <w:p>
            <w:pPr>
              <w:pStyle w:val="16"/>
            </w:pPr>
            <w:r>
              <w:t>1259.17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125.76</w:t>
            </w:r>
          </w:p>
        </w:tc>
        <w:tc>
          <w:tcPr>
            <w:tcW w:w="1134" w:type="dxa"/>
            <w:vAlign w:val="center"/>
          </w:tcPr>
          <w:p>
            <w:pPr>
              <w:pStyle w:val="12"/>
            </w:pPr>
            <w:r>
              <w:t>125.76</w:t>
            </w:r>
          </w:p>
        </w:tc>
        <w:tc>
          <w:tcPr>
            <w:tcW w:w="1134" w:type="dxa"/>
            <w:vAlign w:val="center"/>
          </w:tcPr>
          <w:p>
            <w:pPr>
              <w:pStyle w:val="12"/>
            </w:pPr>
            <w:r>
              <w:t>125.76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123.64</w:t>
            </w:r>
          </w:p>
        </w:tc>
        <w:tc>
          <w:tcPr>
            <w:tcW w:w="1134" w:type="dxa"/>
            <w:vAlign w:val="center"/>
          </w:tcPr>
          <w:p>
            <w:pPr>
              <w:pStyle w:val="12"/>
            </w:pPr>
            <w:r>
              <w:t>123.64</w:t>
            </w:r>
          </w:p>
        </w:tc>
        <w:tc>
          <w:tcPr>
            <w:tcW w:w="1134" w:type="dxa"/>
            <w:vAlign w:val="center"/>
          </w:tcPr>
          <w:p>
            <w:pPr>
              <w:pStyle w:val="12"/>
            </w:pPr>
            <w:r>
              <w:t>123.64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22.61</w:t>
            </w:r>
          </w:p>
        </w:tc>
        <w:tc>
          <w:tcPr>
            <w:tcW w:w="1134" w:type="dxa"/>
            <w:vAlign w:val="center"/>
          </w:tcPr>
          <w:p>
            <w:pPr>
              <w:pStyle w:val="12"/>
            </w:pPr>
            <w:r>
              <w:t>22.61</w:t>
            </w:r>
          </w:p>
        </w:tc>
        <w:tc>
          <w:tcPr>
            <w:tcW w:w="1134" w:type="dxa"/>
            <w:vAlign w:val="center"/>
          </w:tcPr>
          <w:p>
            <w:pPr>
              <w:pStyle w:val="12"/>
            </w:pPr>
            <w:r>
              <w:t>22.61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88.64</w:t>
            </w:r>
          </w:p>
        </w:tc>
        <w:tc>
          <w:tcPr>
            <w:tcW w:w="1134" w:type="dxa"/>
            <w:vAlign w:val="center"/>
          </w:tcPr>
          <w:p>
            <w:pPr>
              <w:pStyle w:val="12"/>
            </w:pPr>
            <w:r>
              <w:t>88.64</w:t>
            </w:r>
          </w:p>
        </w:tc>
        <w:tc>
          <w:tcPr>
            <w:tcW w:w="1134" w:type="dxa"/>
            <w:vAlign w:val="center"/>
          </w:tcPr>
          <w:p>
            <w:pPr>
              <w:pStyle w:val="12"/>
            </w:pPr>
            <w:r>
              <w:t>88.64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12.39</w:t>
            </w:r>
          </w:p>
        </w:tc>
        <w:tc>
          <w:tcPr>
            <w:tcW w:w="1134" w:type="dxa"/>
            <w:vAlign w:val="center"/>
          </w:tcPr>
          <w:p>
            <w:pPr>
              <w:pStyle w:val="12"/>
            </w:pPr>
            <w:r>
              <w:t>12.39</w:t>
            </w:r>
          </w:p>
        </w:tc>
        <w:tc>
          <w:tcPr>
            <w:tcW w:w="1134" w:type="dxa"/>
            <w:vAlign w:val="center"/>
          </w:tcPr>
          <w:p>
            <w:pPr>
              <w:pStyle w:val="12"/>
            </w:pPr>
            <w:r>
              <w:t>12.39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29.24</w:t>
            </w:r>
          </w:p>
        </w:tc>
        <w:tc>
          <w:tcPr>
            <w:tcW w:w="1134" w:type="dxa"/>
            <w:vAlign w:val="center"/>
          </w:tcPr>
          <w:p>
            <w:pPr>
              <w:pStyle w:val="12"/>
            </w:pPr>
            <w:r>
              <w:t>29.24</w:t>
            </w:r>
          </w:p>
        </w:tc>
        <w:tc>
          <w:tcPr>
            <w:tcW w:w="1134" w:type="dxa"/>
            <w:vAlign w:val="center"/>
          </w:tcPr>
          <w:p>
            <w:pPr>
              <w:pStyle w:val="12"/>
            </w:pPr>
            <w:r>
              <w:t>29.24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14.83</w:t>
            </w:r>
          </w:p>
        </w:tc>
        <w:tc>
          <w:tcPr>
            <w:tcW w:w="1134" w:type="dxa"/>
            <w:vAlign w:val="center"/>
          </w:tcPr>
          <w:p>
            <w:pPr>
              <w:pStyle w:val="12"/>
            </w:pPr>
            <w:r>
              <w:t>14.83</w:t>
            </w:r>
          </w:p>
        </w:tc>
        <w:tc>
          <w:tcPr>
            <w:tcW w:w="1134" w:type="dxa"/>
            <w:vAlign w:val="center"/>
          </w:tcPr>
          <w:p>
            <w:pPr>
              <w:pStyle w:val="12"/>
            </w:pPr>
            <w:r>
              <w:t>14.83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217</w:t>
            </w:r>
          </w:p>
        </w:tc>
        <w:tc>
          <w:tcPr>
            <w:tcW w:w="1559" w:type="dxa"/>
            <w:vAlign w:val="center"/>
          </w:tcPr>
          <w:p>
            <w:pPr>
              <w:pStyle w:val="13"/>
            </w:pPr>
            <w:r>
              <w:t>金融支出</w:t>
            </w:r>
          </w:p>
        </w:tc>
        <w:tc>
          <w:tcPr>
            <w:tcW w:w="1134" w:type="dxa"/>
            <w:vAlign w:val="center"/>
          </w:tcPr>
          <w:p>
            <w:pPr>
              <w:pStyle w:val="12"/>
            </w:pPr>
            <w:r>
              <w:t>1000.07</w:t>
            </w:r>
          </w:p>
        </w:tc>
        <w:tc>
          <w:tcPr>
            <w:tcW w:w="1134" w:type="dxa"/>
            <w:vAlign w:val="center"/>
          </w:tcPr>
          <w:p>
            <w:pPr>
              <w:pStyle w:val="12"/>
            </w:pPr>
            <w:r>
              <w:t>1000.07</w:t>
            </w:r>
          </w:p>
        </w:tc>
        <w:tc>
          <w:tcPr>
            <w:tcW w:w="1134" w:type="dxa"/>
            <w:vAlign w:val="center"/>
          </w:tcPr>
          <w:p>
            <w:pPr>
              <w:pStyle w:val="12"/>
            </w:pPr>
            <w:r>
              <w:t>1000.07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21701</w:t>
            </w:r>
          </w:p>
        </w:tc>
        <w:tc>
          <w:tcPr>
            <w:tcW w:w="1559" w:type="dxa"/>
            <w:vAlign w:val="center"/>
          </w:tcPr>
          <w:p>
            <w:pPr>
              <w:pStyle w:val="13"/>
            </w:pPr>
            <w:r>
              <w:t>金融部门行政支出</w:t>
            </w:r>
          </w:p>
        </w:tc>
        <w:tc>
          <w:tcPr>
            <w:tcW w:w="1134" w:type="dxa"/>
            <w:vAlign w:val="center"/>
          </w:tcPr>
          <w:p>
            <w:pPr>
              <w:pStyle w:val="12"/>
            </w:pPr>
            <w:r>
              <w:t>990.07</w:t>
            </w:r>
          </w:p>
        </w:tc>
        <w:tc>
          <w:tcPr>
            <w:tcW w:w="1134" w:type="dxa"/>
            <w:vAlign w:val="center"/>
          </w:tcPr>
          <w:p>
            <w:pPr>
              <w:pStyle w:val="12"/>
            </w:pPr>
            <w:r>
              <w:t>990.07</w:t>
            </w:r>
          </w:p>
        </w:tc>
        <w:tc>
          <w:tcPr>
            <w:tcW w:w="1134" w:type="dxa"/>
            <w:vAlign w:val="center"/>
          </w:tcPr>
          <w:p>
            <w:pPr>
              <w:pStyle w:val="12"/>
            </w:pPr>
            <w:r>
              <w:t>990.07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2170101</w:t>
            </w:r>
          </w:p>
        </w:tc>
        <w:tc>
          <w:tcPr>
            <w:tcW w:w="1559" w:type="dxa"/>
            <w:vAlign w:val="center"/>
          </w:tcPr>
          <w:p>
            <w:pPr>
              <w:pStyle w:val="13"/>
            </w:pPr>
            <w:r>
              <w:t>行政运行</w:t>
            </w:r>
          </w:p>
        </w:tc>
        <w:tc>
          <w:tcPr>
            <w:tcW w:w="1134" w:type="dxa"/>
            <w:vAlign w:val="center"/>
          </w:tcPr>
          <w:p>
            <w:pPr>
              <w:pStyle w:val="12"/>
            </w:pPr>
            <w:r>
              <w:t>855.34</w:t>
            </w:r>
          </w:p>
        </w:tc>
        <w:tc>
          <w:tcPr>
            <w:tcW w:w="1134" w:type="dxa"/>
            <w:vAlign w:val="center"/>
          </w:tcPr>
          <w:p>
            <w:pPr>
              <w:pStyle w:val="12"/>
            </w:pPr>
            <w:r>
              <w:t>855.34</w:t>
            </w:r>
          </w:p>
        </w:tc>
        <w:tc>
          <w:tcPr>
            <w:tcW w:w="1134" w:type="dxa"/>
            <w:vAlign w:val="center"/>
          </w:tcPr>
          <w:p>
            <w:pPr>
              <w:pStyle w:val="12"/>
            </w:pPr>
            <w:r>
              <w:t>855.34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2170102</w:t>
            </w:r>
          </w:p>
        </w:tc>
        <w:tc>
          <w:tcPr>
            <w:tcW w:w="1559" w:type="dxa"/>
            <w:vAlign w:val="center"/>
          </w:tcPr>
          <w:p>
            <w:pPr>
              <w:pStyle w:val="13"/>
            </w:pPr>
            <w:r>
              <w:t>一般行政管理事务</w:t>
            </w:r>
          </w:p>
        </w:tc>
        <w:tc>
          <w:tcPr>
            <w:tcW w:w="1134" w:type="dxa"/>
            <w:vAlign w:val="center"/>
          </w:tcPr>
          <w:p>
            <w:pPr>
              <w:pStyle w:val="12"/>
            </w:pPr>
            <w:r>
              <w:t>134.73</w:t>
            </w:r>
          </w:p>
        </w:tc>
        <w:tc>
          <w:tcPr>
            <w:tcW w:w="1134" w:type="dxa"/>
            <w:vAlign w:val="center"/>
          </w:tcPr>
          <w:p>
            <w:pPr>
              <w:pStyle w:val="12"/>
            </w:pPr>
            <w:r>
              <w:t>134.73</w:t>
            </w:r>
          </w:p>
        </w:tc>
        <w:tc>
          <w:tcPr>
            <w:tcW w:w="1134" w:type="dxa"/>
            <w:vAlign w:val="center"/>
          </w:tcPr>
          <w:p>
            <w:pPr>
              <w:pStyle w:val="12"/>
            </w:pPr>
            <w:r>
              <w:t>134.73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21702</w:t>
            </w:r>
          </w:p>
        </w:tc>
        <w:tc>
          <w:tcPr>
            <w:tcW w:w="1559" w:type="dxa"/>
            <w:vAlign w:val="center"/>
          </w:tcPr>
          <w:p>
            <w:pPr>
              <w:pStyle w:val="13"/>
            </w:pPr>
            <w:r>
              <w:t>金融部门监管支出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2170299</w:t>
            </w:r>
          </w:p>
        </w:tc>
        <w:tc>
          <w:tcPr>
            <w:tcW w:w="1559" w:type="dxa"/>
            <w:vAlign w:val="center"/>
          </w:tcPr>
          <w:p>
            <w:pPr>
              <w:pStyle w:val="13"/>
            </w:pPr>
            <w:r>
              <w:t>金融部门其他监管支出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1259.17</w:t>
            </w:r>
          </w:p>
        </w:tc>
        <w:tc>
          <w:tcPr>
            <w:tcW w:w="1361" w:type="dxa"/>
            <w:vAlign w:val="center"/>
          </w:tcPr>
          <w:p>
            <w:pPr>
              <w:pStyle w:val="16"/>
            </w:pPr>
            <w:r>
              <w:t>1114.44</w:t>
            </w:r>
          </w:p>
        </w:tc>
        <w:tc>
          <w:tcPr>
            <w:tcW w:w="1361" w:type="dxa"/>
            <w:vAlign w:val="center"/>
          </w:tcPr>
          <w:p>
            <w:pPr>
              <w:pStyle w:val="16"/>
            </w:pPr>
            <w:r>
              <w:t>144.73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125.76</w:t>
            </w:r>
          </w:p>
        </w:tc>
        <w:tc>
          <w:tcPr>
            <w:tcW w:w="1361" w:type="dxa"/>
            <w:vAlign w:val="center"/>
          </w:tcPr>
          <w:p>
            <w:pPr>
              <w:pStyle w:val="12"/>
            </w:pPr>
            <w:r>
              <w:t>125.76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123.64</w:t>
            </w:r>
          </w:p>
        </w:tc>
        <w:tc>
          <w:tcPr>
            <w:tcW w:w="1361" w:type="dxa"/>
            <w:vAlign w:val="center"/>
          </w:tcPr>
          <w:p>
            <w:pPr>
              <w:pStyle w:val="12"/>
            </w:pPr>
            <w:r>
              <w:t>123.64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22.61</w:t>
            </w:r>
          </w:p>
        </w:tc>
        <w:tc>
          <w:tcPr>
            <w:tcW w:w="1361" w:type="dxa"/>
            <w:vAlign w:val="center"/>
          </w:tcPr>
          <w:p>
            <w:pPr>
              <w:pStyle w:val="12"/>
            </w:pPr>
            <w:r>
              <w:t>22.61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88.64</w:t>
            </w:r>
          </w:p>
        </w:tc>
        <w:tc>
          <w:tcPr>
            <w:tcW w:w="1361" w:type="dxa"/>
            <w:vAlign w:val="center"/>
          </w:tcPr>
          <w:p>
            <w:pPr>
              <w:pStyle w:val="12"/>
            </w:pPr>
            <w:r>
              <w:t>88.64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12.39</w:t>
            </w:r>
          </w:p>
        </w:tc>
        <w:tc>
          <w:tcPr>
            <w:tcW w:w="1361" w:type="dxa"/>
            <w:vAlign w:val="center"/>
          </w:tcPr>
          <w:p>
            <w:pPr>
              <w:pStyle w:val="12"/>
            </w:pPr>
            <w:r>
              <w:t>12.39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2.12</w:t>
            </w:r>
          </w:p>
        </w:tc>
        <w:tc>
          <w:tcPr>
            <w:tcW w:w="1361" w:type="dxa"/>
            <w:vAlign w:val="center"/>
          </w:tcPr>
          <w:p>
            <w:pPr>
              <w:pStyle w:val="12"/>
            </w:pPr>
            <w:r>
              <w:t>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2.12</w:t>
            </w:r>
          </w:p>
        </w:tc>
        <w:tc>
          <w:tcPr>
            <w:tcW w:w="1361" w:type="dxa"/>
            <w:vAlign w:val="center"/>
          </w:tcPr>
          <w:p>
            <w:pPr>
              <w:pStyle w:val="12"/>
            </w:pPr>
            <w:r>
              <w:t>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44.07</w:t>
            </w:r>
          </w:p>
        </w:tc>
        <w:tc>
          <w:tcPr>
            <w:tcW w:w="1361" w:type="dxa"/>
            <w:vAlign w:val="center"/>
          </w:tcPr>
          <w:p>
            <w:pPr>
              <w:pStyle w:val="12"/>
            </w:pPr>
            <w:r>
              <w:t>44.07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44.07</w:t>
            </w:r>
          </w:p>
        </w:tc>
        <w:tc>
          <w:tcPr>
            <w:tcW w:w="1361" w:type="dxa"/>
            <w:vAlign w:val="center"/>
          </w:tcPr>
          <w:p>
            <w:pPr>
              <w:pStyle w:val="12"/>
            </w:pPr>
            <w:r>
              <w:t>44.07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29.24</w:t>
            </w:r>
          </w:p>
        </w:tc>
        <w:tc>
          <w:tcPr>
            <w:tcW w:w="1361" w:type="dxa"/>
            <w:vAlign w:val="center"/>
          </w:tcPr>
          <w:p>
            <w:pPr>
              <w:pStyle w:val="12"/>
            </w:pPr>
            <w:r>
              <w:t>29.24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14.83</w:t>
            </w:r>
          </w:p>
        </w:tc>
        <w:tc>
          <w:tcPr>
            <w:tcW w:w="1361" w:type="dxa"/>
            <w:vAlign w:val="center"/>
          </w:tcPr>
          <w:p>
            <w:pPr>
              <w:pStyle w:val="12"/>
            </w:pPr>
            <w:r>
              <w:t>14.83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217</w:t>
            </w:r>
          </w:p>
        </w:tc>
        <w:tc>
          <w:tcPr>
            <w:tcW w:w="4535" w:type="dxa"/>
            <w:vAlign w:val="center"/>
          </w:tcPr>
          <w:p>
            <w:pPr>
              <w:pStyle w:val="13"/>
            </w:pPr>
            <w:r>
              <w:t>金融支出</w:t>
            </w:r>
          </w:p>
        </w:tc>
        <w:tc>
          <w:tcPr>
            <w:tcW w:w="1361" w:type="dxa"/>
            <w:vAlign w:val="center"/>
          </w:tcPr>
          <w:p>
            <w:pPr>
              <w:pStyle w:val="12"/>
            </w:pPr>
            <w:r>
              <w:t>1000.07</w:t>
            </w:r>
          </w:p>
        </w:tc>
        <w:tc>
          <w:tcPr>
            <w:tcW w:w="1361" w:type="dxa"/>
            <w:vAlign w:val="center"/>
          </w:tcPr>
          <w:p>
            <w:pPr>
              <w:pStyle w:val="12"/>
            </w:pPr>
            <w:r>
              <w:t>855.34</w:t>
            </w:r>
          </w:p>
        </w:tc>
        <w:tc>
          <w:tcPr>
            <w:tcW w:w="1361" w:type="dxa"/>
            <w:vAlign w:val="center"/>
          </w:tcPr>
          <w:p>
            <w:pPr>
              <w:pStyle w:val="12"/>
            </w:pPr>
            <w:r>
              <w:t>144.73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21701</w:t>
            </w:r>
          </w:p>
        </w:tc>
        <w:tc>
          <w:tcPr>
            <w:tcW w:w="4535" w:type="dxa"/>
            <w:vAlign w:val="center"/>
          </w:tcPr>
          <w:p>
            <w:pPr>
              <w:pStyle w:val="13"/>
            </w:pPr>
            <w:r>
              <w:t>金融部门行政支出</w:t>
            </w:r>
          </w:p>
        </w:tc>
        <w:tc>
          <w:tcPr>
            <w:tcW w:w="1361" w:type="dxa"/>
            <w:vAlign w:val="center"/>
          </w:tcPr>
          <w:p>
            <w:pPr>
              <w:pStyle w:val="12"/>
            </w:pPr>
            <w:r>
              <w:t>990.07</w:t>
            </w:r>
          </w:p>
        </w:tc>
        <w:tc>
          <w:tcPr>
            <w:tcW w:w="1361" w:type="dxa"/>
            <w:vAlign w:val="center"/>
          </w:tcPr>
          <w:p>
            <w:pPr>
              <w:pStyle w:val="12"/>
            </w:pPr>
            <w:r>
              <w:t>855.34</w:t>
            </w: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2170101</w:t>
            </w:r>
          </w:p>
        </w:tc>
        <w:tc>
          <w:tcPr>
            <w:tcW w:w="4535" w:type="dxa"/>
            <w:vAlign w:val="center"/>
          </w:tcPr>
          <w:p>
            <w:pPr>
              <w:pStyle w:val="13"/>
            </w:pPr>
            <w:r>
              <w:t>行政运行</w:t>
            </w:r>
          </w:p>
        </w:tc>
        <w:tc>
          <w:tcPr>
            <w:tcW w:w="1361" w:type="dxa"/>
            <w:vAlign w:val="center"/>
          </w:tcPr>
          <w:p>
            <w:pPr>
              <w:pStyle w:val="12"/>
            </w:pPr>
            <w:r>
              <w:t>855.34</w:t>
            </w:r>
          </w:p>
        </w:tc>
        <w:tc>
          <w:tcPr>
            <w:tcW w:w="1361" w:type="dxa"/>
            <w:vAlign w:val="center"/>
          </w:tcPr>
          <w:p>
            <w:pPr>
              <w:pStyle w:val="12"/>
            </w:pPr>
            <w:r>
              <w:t>855.34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2170102</w:t>
            </w:r>
          </w:p>
        </w:tc>
        <w:tc>
          <w:tcPr>
            <w:tcW w:w="4535" w:type="dxa"/>
            <w:vAlign w:val="center"/>
          </w:tcPr>
          <w:p>
            <w:pPr>
              <w:pStyle w:val="13"/>
            </w:pPr>
            <w:r>
              <w:t>一般行政管理事务</w:t>
            </w: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21702</w:t>
            </w:r>
          </w:p>
        </w:tc>
        <w:tc>
          <w:tcPr>
            <w:tcW w:w="4535" w:type="dxa"/>
            <w:vAlign w:val="center"/>
          </w:tcPr>
          <w:p>
            <w:pPr>
              <w:pStyle w:val="13"/>
            </w:pPr>
            <w:r>
              <w:t>金融部门监管支出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2170299</w:t>
            </w:r>
          </w:p>
        </w:tc>
        <w:tc>
          <w:tcPr>
            <w:tcW w:w="4535" w:type="dxa"/>
            <w:vAlign w:val="center"/>
          </w:tcPr>
          <w:p>
            <w:pPr>
              <w:pStyle w:val="13"/>
            </w:pPr>
            <w:r>
              <w:t>金融部门其他监管支出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1259.17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125.76</w:t>
            </w:r>
          </w:p>
        </w:tc>
        <w:tc>
          <w:tcPr>
            <w:tcW w:w="1474" w:type="dxa"/>
            <w:vAlign w:val="center"/>
          </w:tcPr>
          <w:p>
            <w:pPr>
              <w:pStyle w:val="12"/>
            </w:pPr>
            <w:r>
              <w:t>125.76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44.07</w:t>
            </w:r>
          </w:p>
        </w:tc>
        <w:tc>
          <w:tcPr>
            <w:tcW w:w="1474" w:type="dxa"/>
            <w:vAlign w:val="center"/>
          </w:tcPr>
          <w:p>
            <w:pPr>
              <w:pStyle w:val="12"/>
            </w:pPr>
            <w:r>
              <w:t>44.07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r>
              <w:t>1000.07</w:t>
            </w:r>
          </w:p>
        </w:tc>
        <w:tc>
          <w:tcPr>
            <w:tcW w:w="1474" w:type="dxa"/>
            <w:vAlign w:val="center"/>
          </w:tcPr>
          <w:p>
            <w:pPr>
              <w:pStyle w:val="12"/>
            </w:pPr>
            <w:r>
              <w:t>1000.07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89.27</w:t>
            </w:r>
          </w:p>
        </w:tc>
        <w:tc>
          <w:tcPr>
            <w:tcW w:w="1474" w:type="dxa"/>
            <w:vAlign w:val="center"/>
          </w:tcPr>
          <w:p>
            <w:pPr>
              <w:pStyle w:val="12"/>
            </w:pPr>
            <w:r>
              <w:t>89.27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1259.17</w:t>
            </w:r>
          </w:p>
        </w:tc>
        <w:tc>
          <w:tcPr>
            <w:tcW w:w="3402" w:type="dxa"/>
            <w:vAlign w:val="center"/>
          </w:tcPr>
          <w:p>
            <w:pPr>
              <w:pStyle w:val="15"/>
            </w:pPr>
            <w:r>
              <w:t>本年支出合计</w:t>
            </w:r>
          </w:p>
        </w:tc>
        <w:tc>
          <w:tcPr>
            <w:tcW w:w="1474" w:type="dxa"/>
            <w:vAlign w:val="center"/>
          </w:tcPr>
          <w:p>
            <w:pPr>
              <w:pStyle w:val="16"/>
            </w:pPr>
            <w:r>
              <w:t>1259.17</w:t>
            </w:r>
          </w:p>
        </w:tc>
        <w:tc>
          <w:tcPr>
            <w:tcW w:w="1474" w:type="dxa"/>
            <w:vAlign w:val="center"/>
          </w:tcPr>
          <w:p>
            <w:pPr>
              <w:pStyle w:val="16"/>
            </w:pPr>
            <w:r>
              <w:t>1259.17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1259.17</w:t>
            </w:r>
          </w:p>
        </w:tc>
        <w:tc>
          <w:tcPr>
            <w:tcW w:w="3402" w:type="dxa"/>
            <w:vAlign w:val="center"/>
          </w:tcPr>
          <w:p>
            <w:pPr>
              <w:pStyle w:val="15"/>
            </w:pPr>
            <w:r>
              <w:t>支出总计</w:t>
            </w:r>
          </w:p>
        </w:tc>
        <w:tc>
          <w:tcPr>
            <w:tcW w:w="1474" w:type="dxa"/>
            <w:vAlign w:val="center"/>
          </w:tcPr>
          <w:p>
            <w:pPr>
              <w:pStyle w:val="16"/>
            </w:pPr>
            <w:r>
              <w:t>1259.17</w:t>
            </w:r>
          </w:p>
        </w:tc>
        <w:tc>
          <w:tcPr>
            <w:tcW w:w="1474" w:type="dxa"/>
            <w:vAlign w:val="center"/>
          </w:tcPr>
          <w:p>
            <w:pPr>
              <w:pStyle w:val="16"/>
            </w:pPr>
            <w:r>
              <w:t>1259.17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1259.17</w:t>
            </w:r>
          </w:p>
        </w:tc>
        <w:tc>
          <w:tcPr>
            <w:tcW w:w="2551" w:type="dxa"/>
            <w:vAlign w:val="center"/>
          </w:tcPr>
          <w:p>
            <w:pPr>
              <w:pStyle w:val="16"/>
            </w:pPr>
            <w:r>
              <w:t>1114.44</w:t>
            </w:r>
          </w:p>
        </w:tc>
        <w:tc>
          <w:tcPr>
            <w:tcW w:w="2551" w:type="dxa"/>
            <w:vAlign w:val="center"/>
          </w:tcPr>
          <w:p>
            <w:pPr>
              <w:pStyle w:val="16"/>
            </w:pPr>
            <w:r>
              <w:t>144.73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125.76</w:t>
            </w:r>
          </w:p>
        </w:tc>
        <w:tc>
          <w:tcPr>
            <w:tcW w:w="2551" w:type="dxa"/>
            <w:vAlign w:val="center"/>
          </w:tcPr>
          <w:p>
            <w:pPr>
              <w:pStyle w:val="12"/>
            </w:pPr>
            <w:r>
              <w:t>125.76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123.64</w:t>
            </w:r>
          </w:p>
        </w:tc>
        <w:tc>
          <w:tcPr>
            <w:tcW w:w="2551" w:type="dxa"/>
            <w:vAlign w:val="center"/>
          </w:tcPr>
          <w:p>
            <w:pPr>
              <w:pStyle w:val="12"/>
            </w:pPr>
            <w:r>
              <w:t>123.64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22.61</w:t>
            </w:r>
          </w:p>
        </w:tc>
        <w:tc>
          <w:tcPr>
            <w:tcW w:w="2551" w:type="dxa"/>
            <w:vAlign w:val="center"/>
          </w:tcPr>
          <w:p>
            <w:pPr>
              <w:pStyle w:val="12"/>
            </w:pPr>
            <w:r>
              <w:t>22.61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88.64</w:t>
            </w:r>
          </w:p>
        </w:tc>
        <w:tc>
          <w:tcPr>
            <w:tcW w:w="2551" w:type="dxa"/>
            <w:vAlign w:val="center"/>
          </w:tcPr>
          <w:p>
            <w:pPr>
              <w:pStyle w:val="12"/>
            </w:pPr>
            <w:r>
              <w:t>88.64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12.39</w:t>
            </w:r>
          </w:p>
        </w:tc>
        <w:tc>
          <w:tcPr>
            <w:tcW w:w="2551" w:type="dxa"/>
            <w:vAlign w:val="center"/>
          </w:tcPr>
          <w:p>
            <w:pPr>
              <w:pStyle w:val="12"/>
            </w:pPr>
            <w:r>
              <w:t>12.39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44.07</w:t>
            </w:r>
          </w:p>
        </w:tc>
        <w:tc>
          <w:tcPr>
            <w:tcW w:w="2551" w:type="dxa"/>
            <w:vAlign w:val="center"/>
          </w:tcPr>
          <w:p>
            <w:pPr>
              <w:pStyle w:val="12"/>
            </w:pPr>
            <w:r>
              <w:t>44.07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44.07</w:t>
            </w:r>
          </w:p>
        </w:tc>
        <w:tc>
          <w:tcPr>
            <w:tcW w:w="2551" w:type="dxa"/>
            <w:vAlign w:val="center"/>
          </w:tcPr>
          <w:p>
            <w:pPr>
              <w:pStyle w:val="12"/>
            </w:pPr>
            <w:r>
              <w:t>44.07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29.24</w:t>
            </w:r>
          </w:p>
        </w:tc>
        <w:tc>
          <w:tcPr>
            <w:tcW w:w="2551" w:type="dxa"/>
            <w:vAlign w:val="center"/>
          </w:tcPr>
          <w:p>
            <w:pPr>
              <w:pStyle w:val="12"/>
            </w:pPr>
            <w:r>
              <w:t>29.24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14.83</w:t>
            </w:r>
          </w:p>
        </w:tc>
        <w:tc>
          <w:tcPr>
            <w:tcW w:w="2551" w:type="dxa"/>
            <w:vAlign w:val="center"/>
          </w:tcPr>
          <w:p>
            <w:pPr>
              <w:pStyle w:val="12"/>
            </w:pPr>
            <w:r>
              <w:t>14.83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217</w:t>
            </w:r>
          </w:p>
        </w:tc>
        <w:tc>
          <w:tcPr>
            <w:tcW w:w="4535" w:type="dxa"/>
            <w:vAlign w:val="center"/>
          </w:tcPr>
          <w:p>
            <w:pPr>
              <w:pStyle w:val="13"/>
            </w:pPr>
            <w:r>
              <w:t>金融支出</w:t>
            </w:r>
          </w:p>
        </w:tc>
        <w:tc>
          <w:tcPr>
            <w:tcW w:w="2551" w:type="dxa"/>
            <w:vAlign w:val="center"/>
          </w:tcPr>
          <w:p>
            <w:pPr>
              <w:pStyle w:val="12"/>
            </w:pPr>
            <w:r>
              <w:t>1000.07</w:t>
            </w:r>
          </w:p>
        </w:tc>
        <w:tc>
          <w:tcPr>
            <w:tcW w:w="2551" w:type="dxa"/>
            <w:vAlign w:val="center"/>
          </w:tcPr>
          <w:p>
            <w:pPr>
              <w:pStyle w:val="12"/>
            </w:pPr>
            <w:r>
              <w:t>855.34</w:t>
            </w:r>
          </w:p>
        </w:tc>
        <w:tc>
          <w:tcPr>
            <w:tcW w:w="2551" w:type="dxa"/>
            <w:vAlign w:val="center"/>
          </w:tcPr>
          <w:p>
            <w:pPr>
              <w:pStyle w:val="12"/>
            </w:pPr>
            <w:r>
              <w:t>144.73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21701</w:t>
            </w:r>
          </w:p>
        </w:tc>
        <w:tc>
          <w:tcPr>
            <w:tcW w:w="4535" w:type="dxa"/>
            <w:vAlign w:val="center"/>
          </w:tcPr>
          <w:p>
            <w:pPr>
              <w:pStyle w:val="13"/>
            </w:pPr>
            <w:r>
              <w:t>金融部门行政支出</w:t>
            </w:r>
          </w:p>
        </w:tc>
        <w:tc>
          <w:tcPr>
            <w:tcW w:w="2551" w:type="dxa"/>
            <w:vAlign w:val="center"/>
          </w:tcPr>
          <w:p>
            <w:pPr>
              <w:pStyle w:val="12"/>
            </w:pPr>
            <w:r>
              <w:t>990.07</w:t>
            </w:r>
          </w:p>
        </w:tc>
        <w:tc>
          <w:tcPr>
            <w:tcW w:w="2551" w:type="dxa"/>
            <w:vAlign w:val="center"/>
          </w:tcPr>
          <w:p>
            <w:pPr>
              <w:pStyle w:val="12"/>
            </w:pPr>
            <w:r>
              <w:t>855.34</w:t>
            </w:r>
          </w:p>
        </w:tc>
        <w:tc>
          <w:tcPr>
            <w:tcW w:w="2551" w:type="dxa"/>
            <w:vAlign w:val="center"/>
          </w:tcPr>
          <w:p>
            <w:pPr>
              <w:pStyle w:val="12"/>
            </w:pPr>
            <w:r>
              <w:t>134.73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2170101</w:t>
            </w:r>
          </w:p>
        </w:tc>
        <w:tc>
          <w:tcPr>
            <w:tcW w:w="4535" w:type="dxa"/>
            <w:vAlign w:val="center"/>
          </w:tcPr>
          <w:p>
            <w:pPr>
              <w:pStyle w:val="13"/>
            </w:pPr>
            <w:r>
              <w:t>行政运行</w:t>
            </w:r>
          </w:p>
        </w:tc>
        <w:tc>
          <w:tcPr>
            <w:tcW w:w="2551" w:type="dxa"/>
            <w:vAlign w:val="center"/>
          </w:tcPr>
          <w:p>
            <w:pPr>
              <w:pStyle w:val="12"/>
            </w:pPr>
            <w:r>
              <w:t>855.34</w:t>
            </w:r>
          </w:p>
        </w:tc>
        <w:tc>
          <w:tcPr>
            <w:tcW w:w="2551" w:type="dxa"/>
            <w:vAlign w:val="center"/>
          </w:tcPr>
          <w:p>
            <w:pPr>
              <w:pStyle w:val="12"/>
            </w:pPr>
            <w:r>
              <w:t>855.34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2170102</w:t>
            </w:r>
          </w:p>
        </w:tc>
        <w:tc>
          <w:tcPr>
            <w:tcW w:w="4535" w:type="dxa"/>
            <w:vAlign w:val="center"/>
          </w:tcPr>
          <w:p>
            <w:pPr>
              <w:pStyle w:val="13"/>
            </w:pPr>
            <w:r>
              <w:t>一般行政管理事务</w:t>
            </w:r>
          </w:p>
        </w:tc>
        <w:tc>
          <w:tcPr>
            <w:tcW w:w="2551" w:type="dxa"/>
            <w:vAlign w:val="center"/>
          </w:tcPr>
          <w:p>
            <w:pPr>
              <w:pStyle w:val="12"/>
            </w:pPr>
            <w:r>
              <w:t>134.73</w:t>
            </w:r>
          </w:p>
        </w:tc>
        <w:tc>
          <w:tcPr>
            <w:tcW w:w="2551" w:type="dxa"/>
            <w:vAlign w:val="center"/>
          </w:tcPr>
          <w:p>
            <w:pPr>
              <w:pStyle w:val="12"/>
            </w:pPr>
          </w:p>
        </w:tc>
        <w:tc>
          <w:tcPr>
            <w:tcW w:w="2551" w:type="dxa"/>
            <w:vAlign w:val="center"/>
          </w:tcPr>
          <w:p>
            <w:pPr>
              <w:pStyle w:val="12"/>
            </w:pPr>
            <w:r>
              <w:t>134.73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21702</w:t>
            </w:r>
          </w:p>
        </w:tc>
        <w:tc>
          <w:tcPr>
            <w:tcW w:w="4535" w:type="dxa"/>
            <w:vAlign w:val="center"/>
          </w:tcPr>
          <w:p>
            <w:pPr>
              <w:pStyle w:val="13"/>
            </w:pPr>
            <w:r>
              <w:t>金融部门监管支出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2170299</w:t>
            </w:r>
          </w:p>
        </w:tc>
        <w:tc>
          <w:tcPr>
            <w:tcW w:w="4535" w:type="dxa"/>
            <w:vAlign w:val="center"/>
          </w:tcPr>
          <w:p>
            <w:pPr>
              <w:pStyle w:val="13"/>
            </w:pPr>
            <w:r>
              <w:t>金融部门其他监管支出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1114.44</w:t>
            </w:r>
          </w:p>
        </w:tc>
        <w:tc>
          <w:tcPr>
            <w:tcW w:w="2551" w:type="dxa"/>
            <w:vAlign w:val="center"/>
          </w:tcPr>
          <w:p>
            <w:pPr>
              <w:pStyle w:val="16"/>
            </w:pPr>
            <w:r>
              <w:t>990.50</w:t>
            </w:r>
          </w:p>
        </w:tc>
        <w:tc>
          <w:tcPr>
            <w:tcW w:w="2551" w:type="dxa"/>
            <w:vAlign w:val="center"/>
          </w:tcPr>
          <w:p>
            <w:pPr>
              <w:pStyle w:val="16"/>
            </w:pPr>
            <w:r>
              <w:t>123.94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937.66</w:t>
            </w:r>
          </w:p>
        </w:tc>
        <w:tc>
          <w:tcPr>
            <w:tcW w:w="2551" w:type="dxa"/>
            <w:vAlign w:val="center"/>
          </w:tcPr>
          <w:p>
            <w:pPr>
              <w:pStyle w:val="12"/>
            </w:pPr>
            <w:r>
              <w:t>937.66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254.42</w:t>
            </w:r>
          </w:p>
        </w:tc>
        <w:tc>
          <w:tcPr>
            <w:tcW w:w="2551" w:type="dxa"/>
            <w:vAlign w:val="center"/>
          </w:tcPr>
          <w:p>
            <w:pPr>
              <w:pStyle w:val="12"/>
            </w:pPr>
            <w:r>
              <w:t>254.42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196.94</w:t>
            </w:r>
          </w:p>
        </w:tc>
        <w:tc>
          <w:tcPr>
            <w:tcW w:w="2551" w:type="dxa"/>
            <w:vAlign w:val="center"/>
          </w:tcPr>
          <w:p>
            <w:pPr>
              <w:pStyle w:val="12"/>
            </w:pPr>
            <w:r>
              <w:t>196.94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221.10</w:t>
            </w:r>
          </w:p>
        </w:tc>
        <w:tc>
          <w:tcPr>
            <w:tcW w:w="2551" w:type="dxa"/>
            <w:vAlign w:val="center"/>
          </w:tcPr>
          <w:p>
            <w:pPr>
              <w:pStyle w:val="12"/>
            </w:pPr>
            <w:r>
              <w:t>221.10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88.64</w:t>
            </w:r>
          </w:p>
        </w:tc>
        <w:tc>
          <w:tcPr>
            <w:tcW w:w="2551" w:type="dxa"/>
            <w:vAlign w:val="center"/>
          </w:tcPr>
          <w:p>
            <w:pPr>
              <w:pStyle w:val="12"/>
            </w:pPr>
            <w:r>
              <w:t>88.64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12.39</w:t>
            </w:r>
          </w:p>
        </w:tc>
        <w:tc>
          <w:tcPr>
            <w:tcW w:w="2551" w:type="dxa"/>
            <w:vAlign w:val="center"/>
          </w:tcPr>
          <w:p>
            <w:pPr>
              <w:pStyle w:val="12"/>
            </w:pPr>
            <w:r>
              <w:t>12.39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29.24</w:t>
            </w:r>
          </w:p>
        </w:tc>
        <w:tc>
          <w:tcPr>
            <w:tcW w:w="2551" w:type="dxa"/>
            <w:vAlign w:val="center"/>
          </w:tcPr>
          <w:p>
            <w:pPr>
              <w:pStyle w:val="12"/>
            </w:pPr>
            <w:r>
              <w:t>29.24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14.83</w:t>
            </w:r>
          </w:p>
        </w:tc>
        <w:tc>
          <w:tcPr>
            <w:tcW w:w="2551" w:type="dxa"/>
            <w:vAlign w:val="center"/>
          </w:tcPr>
          <w:p>
            <w:pPr>
              <w:pStyle w:val="12"/>
            </w:pPr>
            <w:r>
              <w:t>14.83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28.71</w:t>
            </w:r>
          </w:p>
        </w:tc>
        <w:tc>
          <w:tcPr>
            <w:tcW w:w="2551" w:type="dxa"/>
            <w:vAlign w:val="center"/>
          </w:tcPr>
          <w:p>
            <w:pPr>
              <w:pStyle w:val="12"/>
            </w:pPr>
            <w:r>
              <w:t>28.71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123.94</w:t>
            </w:r>
          </w:p>
        </w:tc>
        <w:tc>
          <w:tcPr>
            <w:tcW w:w="2551" w:type="dxa"/>
            <w:vAlign w:val="center"/>
          </w:tcPr>
          <w:p>
            <w:pPr>
              <w:pStyle w:val="12"/>
            </w:pPr>
          </w:p>
        </w:tc>
        <w:tc>
          <w:tcPr>
            <w:tcW w:w="2551" w:type="dxa"/>
            <w:vAlign w:val="center"/>
          </w:tcPr>
          <w:p>
            <w:pPr>
              <w:pStyle w:val="12"/>
            </w:pPr>
            <w:r>
              <w:t>123.94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12.73</w:t>
            </w:r>
          </w:p>
        </w:tc>
        <w:tc>
          <w:tcPr>
            <w:tcW w:w="2551" w:type="dxa"/>
            <w:vAlign w:val="center"/>
          </w:tcPr>
          <w:p>
            <w:pPr>
              <w:pStyle w:val="12"/>
            </w:pPr>
          </w:p>
        </w:tc>
        <w:tc>
          <w:tcPr>
            <w:tcW w:w="2551" w:type="dxa"/>
            <w:vAlign w:val="center"/>
          </w:tcPr>
          <w:p>
            <w:pPr>
              <w:pStyle w:val="12"/>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33.39</w:t>
            </w:r>
          </w:p>
        </w:tc>
        <w:tc>
          <w:tcPr>
            <w:tcW w:w="2551" w:type="dxa"/>
            <w:vAlign w:val="center"/>
          </w:tcPr>
          <w:p>
            <w:pPr>
              <w:pStyle w:val="12"/>
            </w:pPr>
          </w:p>
        </w:tc>
        <w:tc>
          <w:tcPr>
            <w:tcW w:w="2551" w:type="dxa"/>
            <w:vAlign w:val="center"/>
          </w:tcPr>
          <w:p>
            <w:pPr>
              <w:pStyle w:val="12"/>
            </w:pPr>
            <w:r>
              <w:t>33.39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21.78</w:t>
            </w:r>
          </w:p>
        </w:tc>
        <w:tc>
          <w:tcPr>
            <w:tcW w:w="2551" w:type="dxa"/>
            <w:vAlign w:val="center"/>
          </w:tcPr>
          <w:p>
            <w:pPr>
              <w:pStyle w:val="12"/>
            </w:pPr>
          </w:p>
        </w:tc>
        <w:tc>
          <w:tcPr>
            <w:tcW w:w="2551" w:type="dxa"/>
            <w:vAlign w:val="center"/>
          </w:tcPr>
          <w:p>
            <w:pPr>
              <w:pStyle w:val="12"/>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3.71</w:t>
            </w:r>
          </w:p>
        </w:tc>
        <w:tc>
          <w:tcPr>
            <w:tcW w:w="2551" w:type="dxa"/>
            <w:vAlign w:val="center"/>
          </w:tcPr>
          <w:p>
            <w:pPr>
              <w:pStyle w:val="12"/>
            </w:pPr>
          </w:p>
        </w:tc>
        <w:tc>
          <w:tcPr>
            <w:tcW w:w="2551"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8.47</w:t>
            </w:r>
          </w:p>
        </w:tc>
        <w:tc>
          <w:tcPr>
            <w:tcW w:w="2551" w:type="dxa"/>
            <w:vAlign w:val="center"/>
          </w:tcPr>
          <w:p>
            <w:pPr>
              <w:pStyle w:val="12"/>
            </w:pPr>
          </w:p>
        </w:tc>
        <w:tc>
          <w:tcPr>
            <w:tcW w:w="2551" w:type="dxa"/>
            <w:vAlign w:val="center"/>
          </w:tcPr>
          <w:p>
            <w:pPr>
              <w:pStyle w:val="12"/>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38.86</w:t>
            </w:r>
          </w:p>
        </w:tc>
        <w:tc>
          <w:tcPr>
            <w:tcW w:w="2551" w:type="dxa"/>
            <w:vAlign w:val="center"/>
          </w:tcPr>
          <w:p>
            <w:pPr>
              <w:pStyle w:val="12"/>
            </w:pPr>
          </w:p>
        </w:tc>
        <w:tc>
          <w:tcPr>
            <w:tcW w:w="2551" w:type="dxa"/>
            <w:vAlign w:val="center"/>
          </w:tcPr>
          <w:p>
            <w:pPr>
              <w:pStyle w:val="12"/>
            </w:pPr>
            <w:r>
              <w:t>38.86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0.85</w:t>
            </w:r>
          </w:p>
        </w:tc>
        <w:tc>
          <w:tcPr>
            <w:tcW w:w="2551" w:type="dxa"/>
            <w:vAlign w:val="center"/>
          </w:tcPr>
          <w:p>
            <w:pPr>
              <w:pStyle w:val="12"/>
            </w:pPr>
          </w:p>
        </w:tc>
        <w:tc>
          <w:tcPr>
            <w:tcW w:w="2551"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52.84</w:t>
            </w:r>
          </w:p>
        </w:tc>
        <w:tc>
          <w:tcPr>
            <w:tcW w:w="2551" w:type="dxa"/>
            <w:vAlign w:val="center"/>
          </w:tcPr>
          <w:p>
            <w:pPr>
              <w:pStyle w:val="12"/>
            </w:pPr>
            <w:r>
              <w:t>52.84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22.61</w:t>
            </w:r>
          </w:p>
        </w:tc>
        <w:tc>
          <w:tcPr>
            <w:tcW w:w="2551" w:type="dxa"/>
            <w:vAlign w:val="center"/>
          </w:tcPr>
          <w:p>
            <w:pPr>
              <w:pStyle w:val="12"/>
            </w:pPr>
            <w:r>
              <w:t>22.61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28.38</w:t>
            </w:r>
          </w:p>
        </w:tc>
        <w:tc>
          <w:tcPr>
            <w:tcW w:w="2551" w:type="dxa"/>
            <w:vAlign w:val="center"/>
          </w:tcPr>
          <w:p>
            <w:pPr>
              <w:pStyle w:val="12"/>
            </w:pPr>
            <w:r>
              <w:t>28.38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1.85</w:t>
            </w:r>
          </w:p>
        </w:tc>
        <w:tc>
          <w:tcPr>
            <w:tcW w:w="2551" w:type="dxa"/>
            <w:vAlign w:val="center"/>
          </w:tcPr>
          <w:p>
            <w:pPr>
              <w:pStyle w:val="12"/>
            </w:pPr>
            <w:r>
              <w:t>1.85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2.71</w:t>
            </w:r>
          </w:p>
        </w:tc>
        <w:tc>
          <w:tcPr>
            <w:tcW w:w="2381" w:type="dxa"/>
            <w:vAlign w:val="center"/>
          </w:tcPr>
          <w:p>
            <w:pPr>
              <w:pStyle w:val="16"/>
            </w:pPr>
            <w:r>
              <w:t>2.71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0.48</w:t>
            </w:r>
          </w:p>
        </w:tc>
        <w:tc>
          <w:tcPr>
            <w:tcW w:w="2381" w:type="dxa"/>
            <w:vAlign w:val="center"/>
          </w:tcPr>
          <w:p>
            <w:pPr>
              <w:pStyle w:val="12"/>
            </w:pPr>
            <w:r>
              <w:t>0.48</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中共石家庄市委金融委员会办公室2026年部门预算信息公开情况说明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中共石家庄市委金融委员会办公室2026年部门预算信息公开情况说明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按照《中华人民共和国预算法》、《地方预决算公开操作规程》和《关于进一步推进预算公开工作的实施意见》规定，现将中共石家庄市委金融委员会办公室2026年部门预算公开如下：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rPr>
          <w:rFonts w:hint="eastAsia"/>
        </w:rPr>
        <w:t>(一)负责组织全市金融安全稳定和改革发展政策研究，拟订全市金融业发展规划和地方金融改革发展意见。(二)负责加强与上级金融管理部门以及银行、保险等金融机构的沟通联系，指导协调市有关部门和各县（市、区）加强与金融机构对接合作，做好金融服务实体经济发展工作。(三)负责加强与上级金融管理部门以及证券、期货、基金、区域性股权市场等金融机构的沟通联系。(四)负责全市地方金融组织监管统筹协调、运行分析研究和数据统计汇总。负责全市小额贷款公司、典当行、融资租赁公司、商业保理公司、地方资产管理公司的监督管理、规范发展相关工作。(五)负责协调推动市有关部门和各县（市、区）配合上级金融管理部门及其派驻机构做好金融领域相关工作。(六)配合上级金融管理部门打击非法金融活动。组织开展防范和处置非法集资工作，开展宣传教育、政策解释和业务指导。（七）负责辖区内地方国有金融企业和非公金融企业党建工作调查研究，拟订工作规划和政策措施并组织实施。指导地方国有金融企业和非公金融企业党的宣传思想文化工作，加强思想政治工作和精神文明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中共石家庄市委金融委员会办公室本级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按照预算管理有关规定，目前我市部门预算的编制实行综合预算管理，即全部收入和支出都反映在预算中。中共石家庄市委金融委员会办公室的收支包含在部门预算中。</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1、收入说明</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反映本部门当年全部收入。中共石家庄市委金融委员会办公室202</w:t>
      </w:r>
      <w:r>
        <w:rPr>
          <w:rFonts w:hint="eastAsia"/>
          <w:lang w:val="en-US" w:eastAsia="zh-CN"/>
        </w:rPr>
        <w:t>6</w:t>
      </w:r>
      <w:r>
        <w:rPr>
          <w:rFonts w:hint="eastAsia"/>
        </w:rPr>
        <w:t>年预算收入1259.17万元，其中：一般公共预算收入1259.17万元，上年结转结余收入0万元,基金预算收入0万元，财政专户收入0万元，其他来源收入0万元。</w:t>
      </w:r>
    </w:p>
    <w:p>
      <w:pPr>
        <w:pStyle w:val="19"/>
        <w:keepNext w:val="0"/>
        <w:keepLines w:val="0"/>
        <w:pageBreakBefore w:val="0"/>
        <w:widowControl/>
        <w:numPr>
          <w:ilvl w:val="0"/>
          <w:numId w:val="1"/>
        </w:numPr>
        <w:kinsoku/>
        <w:wordWrap/>
        <w:overflowPunct/>
        <w:topLinePunct w:val="0"/>
        <w:autoSpaceDE/>
        <w:autoSpaceDN/>
        <w:bidi w:val="0"/>
        <w:adjustRightInd/>
        <w:snapToGrid/>
        <w:spacing w:line="600" w:lineRule="exact"/>
        <w:textAlignment w:val="auto"/>
        <w:rPr>
          <w:rFonts w:hint="eastAsia"/>
        </w:rPr>
      </w:pPr>
      <w:r>
        <w:rPr>
          <w:rFonts w:hint="eastAsia"/>
        </w:rPr>
        <w:t>支出说明</w:t>
      </w:r>
    </w:p>
    <w:p>
      <w:pPr>
        <w:pStyle w:val="19"/>
        <w:keepNext w:val="0"/>
        <w:keepLines w:val="0"/>
        <w:pageBreakBefore w:val="0"/>
        <w:widowControl/>
        <w:numPr>
          <w:numId w:val="0"/>
        </w:numPr>
        <w:kinsoku/>
        <w:wordWrap/>
        <w:overflowPunct/>
        <w:topLinePunct w:val="0"/>
        <w:autoSpaceDE/>
        <w:autoSpaceDN/>
        <w:bidi w:val="0"/>
        <w:adjustRightInd/>
        <w:snapToGrid/>
        <w:spacing w:line="600" w:lineRule="exact"/>
        <w:ind w:firstLine="560" w:firstLineChars="200"/>
        <w:textAlignment w:val="auto"/>
        <w:rPr>
          <w:rFonts w:hint="default" w:eastAsia="方正仿宋_GBK"/>
          <w:lang w:val="en-US" w:eastAsia="zh-CN"/>
        </w:rPr>
      </w:pPr>
      <w:r>
        <w:rPr>
          <w:rFonts w:hint="eastAsia"/>
        </w:rPr>
        <w:t>收支预算总表支出栏、基本支出表、项目支出表按经济分类和支出功能分类科目编制，反映中共石家庄市委金融委员会办公室年度部门预算支出的总体情况。202</w:t>
      </w:r>
      <w:r>
        <w:rPr>
          <w:rFonts w:hint="eastAsia"/>
          <w:lang w:val="en-US" w:eastAsia="zh-CN"/>
        </w:rPr>
        <w:t>6</w:t>
      </w:r>
      <w:r>
        <w:rPr>
          <w:rFonts w:hint="eastAsia"/>
        </w:rPr>
        <w:t>年支出预算1259.17万元，其中基本支出1114.44万元，包括人员经费990.50万元和公用经费123.94万元；项目支出144.73万元，主要为地方金融监管专项经费、</w:t>
      </w:r>
      <w:r>
        <w:t>防范和处置金融风险案件专项经费</w:t>
      </w:r>
      <w:r>
        <w:rPr>
          <w:rFonts w:hint="eastAsia"/>
        </w:rPr>
        <w:t>、防范和处置金融风险宣传专项经费等经费支出</w:t>
      </w:r>
      <w:r>
        <w:rPr>
          <w:rFonts w:hint="eastAsia"/>
          <w:lang w:eastAsia="zh-CN"/>
        </w:rPr>
        <w:t>。委托业务费共计安排</w:t>
      </w:r>
      <w:r>
        <w:rPr>
          <w:rFonts w:hint="eastAsia"/>
          <w:lang w:val="en-US" w:eastAsia="zh-CN"/>
        </w:rPr>
        <w:t>7.62万元，主要用于因技术原因确需对外委托的辅助性工作和确有必要对外委托开展咨询、评审、规划等工作。</w:t>
      </w:r>
    </w:p>
    <w:p>
      <w:pPr>
        <w:pStyle w:val="19"/>
        <w:keepNext w:val="0"/>
        <w:keepLines w:val="0"/>
        <w:pageBreakBefore w:val="0"/>
        <w:widowControl/>
        <w:numPr>
          <w:numId w:val="0"/>
        </w:numPr>
        <w:kinsoku/>
        <w:wordWrap/>
        <w:overflowPunct/>
        <w:topLinePunct w:val="0"/>
        <w:autoSpaceDE/>
        <w:autoSpaceDN/>
        <w:bidi w:val="0"/>
        <w:adjustRightInd/>
        <w:snapToGrid/>
        <w:spacing w:line="600" w:lineRule="exact"/>
        <w:ind w:firstLine="560" w:firstLineChars="200"/>
        <w:textAlignment w:val="auto"/>
        <w:rPr>
          <w:rFonts w:hint="eastAsia"/>
        </w:rPr>
      </w:pPr>
      <w:r>
        <w:rPr>
          <w:rFonts w:hint="eastAsia"/>
        </w:rPr>
        <w:t>3、比上年增减情况</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val="en-US" w:eastAsia="zh-CN"/>
        </w:rPr>
        <w:t>2026</w:t>
      </w:r>
      <w:r>
        <w:rPr>
          <w:rFonts w:hint="eastAsia"/>
        </w:rPr>
        <w:t>年预算收支安排1259.17万元，较202</w:t>
      </w:r>
      <w:r>
        <w:rPr>
          <w:rFonts w:hint="eastAsia"/>
          <w:lang w:val="en-US" w:eastAsia="zh-CN"/>
        </w:rPr>
        <w:t>5</w:t>
      </w:r>
      <w:r>
        <w:rPr>
          <w:rFonts w:hint="eastAsia"/>
        </w:rPr>
        <w:t>年预算减少</w:t>
      </w:r>
      <w:r>
        <w:rPr>
          <w:rFonts w:hint="eastAsia"/>
          <w:lang w:val="en-US" w:eastAsia="zh-CN"/>
        </w:rPr>
        <w:t>328.14</w:t>
      </w:r>
      <w:r>
        <w:rPr>
          <w:rFonts w:hint="eastAsia"/>
        </w:rPr>
        <w:t>万元，其中：基本支出</w:t>
      </w:r>
      <w:r>
        <w:rPr>
          <w:rFonts w:hint="eastAsia"/>
          <w:lang w:eastAsia="zh-CN"/>
        </w:rPr>
        <w:t>增加</w:t>
      </w:r>
      <w:r>
        <w:rPr>
          <w:rFonts w:hint="eastAsia"/>
          <w:lang w:val="en-US" w:eastAsia="zh-CN"/>
        </w:rPr>
        <w:t>19.38</w:t>
      </w:r>
      <w:r>
        <w:rPr>
          <w:rFonts w:hint="eastAsia"/>
        </w:rPr>
        <w:t>万元，</w:t>
      </w:r>
      <w:r>
        <w:rPr>
          <w:rFonts w:hint="eastAsia"/>
          <w:color w:val="000000" w:themeColor="text1"/>
          <w:highlight w:val="none"/>
          <w:shd w:val="clear" w:color="auto" w:fill="auto"/>
          <w14:textFill>
            <w14:solidFill>
              <w14:schemeClr w14:val="tx1"/>
            </w14:solidFill>
          </w14:textFill>
        </w:rPr>
        <w:t>主要</w:t>
      </w:r>
      <w:r>
        <w:rPr>
          <w:rFonts w:hint="eastAsia"/>
          <w:color w:val="000000" w:themeColor="text1"/>
          <w:highlight w:val="none"/>
          <w:shd w:val="clear" w:color="auto" w:fill="auto"/>
          <w:lang w:eastAsia="zh-CN"/>
          <w14:textFill>
            <w14:solidFill>
              <w14:schemeClr w14:val="tx1"/>
            </w14:solidFill>
          </w14:textFill>
        </w:rPr>
        <w:t>为人员经费增加</w:t>
      </w:r>
      <w:r>
        <w:rPr>
          <w:rFonts w:hint="eastAsia"/>
          <w:color w:val="000000" w:themeColor="text1"/>
          <w:highlight w:val="none"/>
          <w:shd w:val="clear" w:color="auto" w:fill="auto"/>
          <w14:textFill>
            <w14:solidFill>
              <w14:schemeClr w14:val="tx1"/>
            </w14:solidFill>
          </w14:textFill>
        </w:rPr>
        <w:t>；</w:t>
      </w:r>
      <w:r>
        <w:rPr>
          <w:rFonts w:hint="eastAsia"/>
        </w:rPr>
        <w:t>项目支出减少</w:t>
      </w:r>
      <w:r>
        <w:rPr>
          <w:rFonts w:hint="eastAsia"/>
          <w:lang w:val="en-US" w:eastAsia="zh-CN"/>
        </w:rPr>
        <w:t>347.52</w:t>
      </w:r>
      <w:r>
        <w:rPr>
          <w:rFonts w:hint="eastAsia"/>
        </w:rPr>
        <w:t>万元，主要为奖补政策的调整变化。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w:t>
      </w:r>
      <w:r>
        <w:rPr>
          <w:rFonts w:hint="eastAsia"/>
          <w:lang w:val="en-US" w:eastAsia="zh-CN"/>
        </w:rPr>
        <w:t>6</w:t>
      </w:r>
      <w:r>
        <w:rPr>
          <w:rFonts w:hint="eastAsia"/>
        </w:rPr>
        <w:t>年，我部门机关运行经费共计安排</w:t>
      </w:r>
      <w:r>
        <w:rPr>
          <w:rFonts w:hint="eastAsia"/>
          <w:lang w:val="en-US" w:eastAsia="zh-CN"/>
        </w:rPr>
        <w:t>123.94</w:t>
      </w:r>
      <w:r>
        <w:rPr>
          <w:rFonts w:hint="eastAsia"/>
        </w:rPr>
        <w:t>万元，主要用于保证机关正常运转的办公费及邮电费、差旅费、会议费、培训费、福利费、公务用车运行维护费等支出。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w:t>
      </w:r>
      <w:r>
        <w:rPr>
          <w:rFonts w:hint="eastAsia"/>
          <w:lang w:val="en-US" w:eastAsia="zh-CN"/>
        </w:rPr>
        <w:t>6</w:t>
      </w:r>
      <w:r>
        <w:rPr>
          <w:rFonts w:hint="eastAsia"/>
        </w:rPr>
        <w:t>年，我部门财政拨款“三公”经费预算安排2.7</w:t>
      </w:r>
      <w:r>
        <w:rPr>
          <w:rFonts w:hint="eastAsia"/>
          <w:lang w:val="en-US" w:eastAsia="zh-CN"/>
        </w:rPr>
        <w:t>1</w:t>
      </w:r>
      <w:r>
        <w:rPr>
          <w:rFonts w:hint="eastAsia"/>
        </w:rPr>
        <w:t>万元，其中因公出国（境）费0万元；公务接待费0.48万元；公务用车购置及运行维护费2.</w:t>
      </w:r>
      <w:r>
        <w:rPr>
          <w:rFonts w:hint="eastAsia"/>
          <w:lang w:val="en-US" w:eastAsia="zh-CN"/>
        </w:rPr>
        <w:t>23</w:t>
      </w:r>
      <w:r>
        <w:rPr>
          <w:rFonts w:hint="eastAsia"/>
        </w:rPr>
        <w:t>万元（其中：公务用车购置费0万元，公务用车运维费2.</w:t>
      </w:r>
      <w:r>
        <w:rPr>
          <w:rFonts w:hint="eastAsia"/>
          <w:lang w:val="en-US" w:eastAsia="zh-CN"/>
        </w:rPr>
        <w:t>23</w:t>
      </w:r>
      <w:r>
        <w:rPr>
          <w:rFonts w:hint="eastAsia"/>
        </w:rPr>
        <w:t>万元），与202</w:t>
      </w:r>
      <w:r>
        <w:rPr>
          <w:rFonts w:hint="eastAsia"/>
          <w:lang w:val="en-US" w:eastAsia="zh-CN"/>
        </w:rPr>
        <w:t>5</w:t>
      </w:r>
      <w:r>
        <w:rPr>
          <w:rFonts w:hint="eastAsia"/>
        </w:rPr>
        <w:t>年相比减少0.</w:t>
      </w:r>
      <w:r>
        <w:rPr>
          <w:rFonts w:hint="eastAsia"/>
          <w:lang w:val="en-US" w:eastAsia="zh-CN"/>
        </w:rPr>
        <w:t>07</w:t>
      </w:r>
      <w:r>
        <w:rPr>
          <w:rFonts w:hint="eastAsia"/>
        </w:rPr>
        <w:t>万元，原因为厉行节约原则控制经费。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我办将紧扣“防风险、强监管、促发展”工作主线，继续统筹推进服务实体经济、防控金融风险、强化地方金融监管等工作，凝聚全市金融力量，完善扶持政策，优化金融资源配置，激发金融机构主体活力，推动金融服务提质、监管提效、产业提级，为推动高质量发展提供更加坚实有力的金融支撑，助力加快建设现代化国际化美丽省会城市。</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1.加强地方金融监管工作</w:t>
      </w:r>
    </w:p>
    <w:p>
      <w:pPr>
        <w:pStyle w:val="23"/>
      </w:pPr>
      <w:r>
        <w:t>绩效目标：进一步做好典当行、小额贷款公司等地方金融组织的年审工作，积极开展相关检查，引导督促地方金融组织合法合规经营，规范地方金融组织行业发展。</w:t>
      </w:r>
    </w:p>
    <w:p>
      <w:pPr>
        <w:pStyle w:val="23"/>
      </w:pPr>
      <w:r>
        <w:t>绩效指标：检查地方金融组织数量不少于10家。</w:t>
      </w:r>
    </w:p>
    <w:p>
      <w:pPr>
        <w:pStyle w:val="23"/>
      </w:pPr>
      <w:r>
        <w:t>2.加大金融风险防范宣传力度</w:t>
      </w:r>
    </w:p>
    <w:p>
      <w:pPr>
        <w:pStyle w:val="23"/>
      </w:pPr>
      <w:r>
        <w:t>绩效目标：做好防范非法集资宣传工作，营造抵制非法集资的舆论氛围；注重与新闻媒体的沟通协作，在市电视台开设财经类节目《金融界》，积极宣传金融知识，普及防范非法集资知识，进一步提升广大市民金融素养，公众风险防范意识和能力。</w:t>
      </w:r>
    </w:p>
    <w:p>
      <w:pPr>
        <w:pStyle w:val="23"/>
      </w:pPr>
      <w:r>
        <w:t>绩效指标：组织开展集中宣传活动不少于1次，《金融界》播出次数不少于18期。</w:t>
      </w:r>
    </w:p>
    <w:p>
      <w:pPr>
        <w:pStyle w:val="23"/>
      </w:pPr>
      <w:r>
        <w:t>3.加大金融风险防范化解力度</w:t>
      </w:r>
    </w:p>
    <w:p>
      <w:pPr>
        <w:pStyle w:val="23"/>
      </w:pPr>
      <w:r>
        <w:t>绩效目标：做好非法集资案件处置、其他金融风险及非法集资案件化解工作，及时有效处置金融风险，维护全市金融稳定。。</w:t>
      </w:r>
    </w:p>
    <w:p>
      <w:pPr>
        <w:pStyle w:val="23"/>
      </w:pPr>
      <w:r>
        <w:t>绩效指标：参与处理的金融风险案件不少于2件。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1.完善制度保障。进一步完善预算绩效管理制度，搭建绩效管理高效运行体系，科学设定绩效指标和目标。健全各类资金使用和管理办法，确保资金支出有序进行，为全年预算绩效目标的实现奠定制度基础。</w:t>
      </w:r>
    </w:p>
    <w:p>
      <w:pPr>
        <w:pStyle w:val="24"/>
      </w:pPr>
      <w:r>
        <w:t>2.加强支出管理。合理设定支出结构，做细做实预算编制，使支出执行有章可循；压实资金使用科室责任，提前谋划，科学安排，落实资金支出计划，保障项目顺利实施。</w:t>
      </w:r>
    </w:p>
    <w:p>
      <w:pPr>
        <w:pStyle w:val="24"/>
      </w:pPr>
      <w:r>
        <w:t>3.严格绩效监控。全程开展绩效运行监控，跟踪预算执行进度，及时发现执行过程中的问题与不足，采取有效举措，保证绩效目标高质量完成。</w:t>
      </w:r>
    </w:p>
    <w:p>
      <w:pPr>
        <w:pStyle w:val="24"/>
      </w:pPr>
      <w:r>
        <w:t>4.做好绩效自评。积极开展年度部门预算绩效自评工作，发现问题并及时整改，提高财政资金使用效益。</w:t>
      </w:r>
    </w:p>
    <w:p>
      <w:pPr>
        <w:pStyle w:val="24"/>
      </w:pPr>
      <w:r>
        <w:t>5.强化内部监督。注重内部监督制度建设，对绩效运行情况、重大支出进行督导；落实内部审计制度，配合做好审计、财政监督等外部监督工作，确保财政资金依法高效使用。</w:t>
      </w:r>
    </w:p>
    <w:p>
      <w:pPr>
        <w:pStyle w:val="24"/>
        <w:sectPr>
          <w:pgSz w:w="16840" w:h="11900" w:orient="landscape"/>
          <w:pgMar w:top="1361" w:right="1020" w:bottom="1361" w:left="1020" w:header="720" w:footer="720" w:gutter="0"/>
          <w:cols w:space="720" w:num="1"/>
        </w:sectPr>
      </w:pPr>
      <w:r>
        <w:t>6.营造良好氛围。不断完善崇尚实干、务实担当、加油鼓劲的激励机制，营造干事创业的良好环境。加大综合业绩考核等与工作实绩的关联度。</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default" w:ascii="CESI仿宋-GB2312" w:hAnsi="CESI仿宋-GB2312" w:eastAsia="CESI仿宋-GB2312" w:cs="CESI仿宋-GB2312"/>
          <w:color w:val="000000"/>
          <w:sz w:val="32"/>
          <w:lang w:val="en-US" w:eastAsia="zh-CN"/>
        </w:rPr>
        <w:sectPr>
          <w:pgSz w:w="16840" w:h="11900" w:orient="landscape"/>
          <w:pgMar w:top="1361" w:right="1020" w:bottom="1134" w:left="1020" w:header="720" w:footer="720" w:gutter="0"/>
          <w:cols w:space="720" w:num="1"/>
        </w:sectPr>
      </w:pPr>
      <w:r>
        <w:rPr>
          <w:rFonts w:hint="eastAsia" w:ascii="CESI仿宋-GB2312" w:hAnsi="CESI仿宋-GB2312" w:eastAsia="CESI仿宋-GB2312" w:cs="CESI仿宋-GB2312"/>
          <w:color w:val="000000"/>
          <w:sz w:val="32"/>
          <w:lang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13010026P00971110675U</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w:t>
            </w:r>
          </w:p>
        </w:tc>
        <w:tc>
          <w:tcPr>
            <w:tcW w:w="2835" w:type="dxa"/>
            <w:vAlign w:val="center"/>
          </w:tcPr>
          <w:p>
            <w:pPr>
              <w:pStyle w:val="11"/>
            </w:pPr>
            <w:r>
              <w:t>其中：财政    资金</w:t>
            </w:r>
          </w:p>
        </w:tc>
        <w:tc>
          <w:tcPr>
            <w:tcW w:w="2551" w:type="dxa"/>
            <w:vAlign w:val="center"/>
          </w:tcPr>
          <w:p>
            <w:pPr>
              <w:pStyle w:val="13"/>
            </w:pPr>
            <w:r>
              <w:t>4.11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用于购置党员学习资料，组织参观培训学习等。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1.主要用于购置党员学习资料、组织参观培训学习等。</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≥4次</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实际参加党组织活动人数占应参加人数的比例</w:t>
            </w:r>
          </w:p>
        </w:tc>
        <w:tc>
          <w:tcPr>
            <w:tcW w:w="2268" w:type="dxa"/>
            <w:vAlign w:val="center"/>
          </w:tcPr>
          <w:p>
            <w:pPr>
              <w:pStyle w:val="13"/>
            </w:pPr>
            <w:r>
              <w:t>≥90%</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p>
            <w:pPr>
              <w:pStyle w:val="13"/>
            </w:pPr>
          </w:p>
        </w:tc>
        <w:tc>
          <w:tcPr>
            <w:tcW w:w="2268" w:type="dxa"/>
            <w:vAlign w:val="center"/>
          </w:tcPr>
          <w:p>
            <w:pPr>
              <w:pStyle w:val="13"/>
            </w:pPr>
            <w:r>
              <w:t>每季度至少开展一次</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≤4.11万元</w:t>
            </w:r>
          </w:p>
        </w:tc>
        <w:tc>
          <w:tcPr>
            <w:tcW w:w="1276" w:type="dxa"/>
            <w:vAlign w:val="center"/>
          </w:tcPr>
          <w:p>
            <w:pPr>
              <w:pStyle w:val="13"/>
            </w:pPr>
            <w:r>
              <w:t>预算情况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采纳党员建言献策的数量/建言献策的数量*100%</w:t>
            </w:r>
          </w:p>
        </w:tc>
        <w:tc>
          <w:tcPr>
            <w:tcW w:w="2268" w:type="dxa"/>
            <w:vAlign w:val="center"/>
          </w:tcPr>
          <w:p>
            <w:pPr>
              <w:pStyle w:val="13"/>
            </w:pPr>
            <w:r>
              <w:t>≥90%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≥96%</w:t>
            </w:r>
          </w:p>
        </w:tc>
        <w:tc>
          <w:tcPr>
            <w:tcW w:w="1276" w:type="dxa"/>
            <w:vAlign w:val="center"/>
          </w:tcPr>
          <w:p>
            <w:pPr>
              <w:pStyle w:val="13"/>
            </w:pPr>
            <w:r>
              <w:t>满意度调查问卷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13010026P009935103697</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通过印刷各类资料，更好的开展各项工作，提高工作效率。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1.通过印刷各类资料，更好的开展各项工作，提高工作效率。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印刷金融动态</w:t>
            </w:r>
          </w:p>
        </w:tc>
        <w:tc>
          <w:tcPr>
            <w:tcW w:w="5386" w:type="dxa"/>
            <w:vAlign w:val="center"/>
          </w:tcPr>
          <w:p>
            <w:pPr>
              <w:pStyle w:val="13"/>
            </w:pPr>
            <w:r>
              <w:t>印刷金融动态</w:t>
            </w:r>
          </w:p>
        </w:tc>
        <w:tc>
          <w:tcPr>
            <w:tcW w:w="2268" w:type="dxa"/>
            <w:vAlign w:val="center"/>
          </w:tcPr>
          <w:p>
            <w:pPr>
              <w:pStyle w:val="13"/>
            </w:pPr>
            <w:r>
              <w:t>≥12批次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w:t>
            </w:r>
          </w:p>
        </w:tc>
        <w:tc>
          <w:tcPr>
            <w:tcW w:w="5386" w:type="dxa"/>
            <w:vAlign w:val="center"/>
          </w:tcPr>
          <w:p>
            <w:pPr>
              <w:pStyle w:val="13"/>
            </w:pPr>
            <w:r>
              <w:t>印刷质量合格品数量/印刷总量*100%</w:t>
            </w:r>
          </w:p>
        </w:tc>
        <w:tc>
          <w:tcPr>
            <w:tcW w:w="2268" w:type="dxa"/>
            <w:vAlign w:val="center"/>
          </w:tcPr>
          <w:p>
            <w:pPr>
              <w:pStyle w:val="13"/>
            </w:pPr>
            <w:r>
              <w:t>≥95%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印刷完成及时率</w:t>
            </w:r>
          </w:p>
        </w:tc>
        <w:tc>
          <w:tcPr>
            <w:tcW w:w="5386" w:type="dxa"/>
            <w:vAlign w:val="center"/>
          </w:tcPr>
          <w:p>
            <w:pPr>
              <w:pStyle w:val="13"/>
            </w:pPr>
            <w:r>
              <w:t>文件印刷时限</w:t>
            </w:r>
          </w:p>
        </w:tc>
        <w:tc>
          <w:tcPr>
            <w:tcW w:w="2268" w:type="dxa"/>
            <w:vAlign w:val="center"/>
          </w:tcPr>
          <w:p>
            <w:pPr>
              <w:pStyle w:val="13"/>
            </w:pPr>
            <w:r>
              <w:t>按时完成</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全年印刷总成本</w:t>
            </w:r>
          </w:p>
        </w:tc>
        <w:tc>
          <w:tcPr>
            <w:tcW w:w="2268" w:type="dxa"/>
            <w:vAlign w:val="center"/>
          </w:tcPr>
          <w:p>
            <w:pPr>
              <w:pStyle w:val="13"/>
            </w:pPr>
            <w:r>
              <w:t>≤1.5万元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保障各类文件、材料正常印刷</w:t>
            </w:r>
          </w:p>
        </w:tc>
        <w:tc>
          <w:tcPr>
            <w:tcW w:w="2268" w:type="dxa"/>
            <w:vAlign w:val="center"/>
          </w:tcPr>
          <w:p>
            <w:pPr>
              <w:pStyle w:val="13"/>
            </w:pPr>
            <w:r>
              <w:t>≥96%</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13010026P00007510264U</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提升工作人员业务水平。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1.通过业务培训，提升工作人员业务水平，促进金融工作发展。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组织业务培训场次</w:t>
            </w:r>
          </w:p>
        </w:tc>
        <w:tc>
          <w:tcPr>
            <w:tcW w:w="5386" w:type="dxa"/>
            <w:vAlign w:val="center"/>
          </w:tcPr>
          <w:p>
            <w:pPr>
              <w:pStyle w:val="13"/>
            </w:pPr>
            <w:r>
              <w:t>组织业务培训场次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参加率</w:t>
            </w:r>
          </w:p>
        </w:tc>
        <w:tc>
          <w:tcPr>
            <w:tcW w:w="5386" w:type="dxa"/>
            <w:vAlign w:val="center"/>
          </w:tcPr>
          <w:p>
            <w:pPr>
              <w:pStyle w:val="13"/>
            </w:pPr>
            <w:r>
              <w:t>人员实际参加数量/应参加人员数量*100%</w:t>
            </w:r>
          </w:p>
        </w:tc>
        <w:tc>
          <w:tcPr>
            <w:tcW w:w="2268" w:type="dxa"/>
            <w:vAlign w:val="center"/>
          </w:tcPr>
          <w:p>
            <w:pPr>
              <w:pStyle w:val="13"/>
            </w:pPr>
            <w:r>
              <w:t>≥95%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培训时间在当年度12月底前完成</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培训总成本</w:t>
            </w:r>
          </w:p>
        </w:tc>
        <w:tc>
          <w:tcPr>
            <w:tcW w:w="5386" w:type="dxa"/>
            <w:vAlign w:val="center"/>
          </w:tcPr>
          <w:p>
            <w:pPr>
              <w:pStyle w:val="13"/>
            </w:pPr>
            <w:r>
              <w:t>培训成本控制</w:t>
            </w:r>
          </w:p>
        </w:tc>
        <w:tc>
          <w:tcPr>
            <w:tcW w:w="2268" w:type="dxa"/>
            <w:vAlign w:val="center"/>
          </w:tcPr>
          <w:p>
            <w:pPr>
              <w:pStyle w:val="13"/>
            </w:pPr>
            <w:r>
              <w:t>≤0.5万元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提升参训人员的专项技能</w:t>
            </w:r>
          </w:p>
        </w:tc>
        <w:tc>
          <w:tcPr>
            <w:tcW w:w="5386" w:type="dxa"/>
            <w:vAlign w:val="center"/>
          </w:tcPr>
          <w:p>
            <w:pPr>
              <w:pStyle w:val="13"/>
            </w:pPr>
            <w:r>
              <w:t>通过开展培训，提升人员的专项技能数量</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参加培训人员满意度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13010026P00988010346L</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7.62</w:t>
            </w:r>
          </w:p>
        </w:tc>
        <w:tc>
          <w:tcPr>
            <w:tcW w:w="2835" w:type="dxa"/>
            <w:vAlign w:val="center"/>
          </w:tcPr>
          <w:p>
            <w:pPr>
              <w:pStyle w:val="11"/>
            </w:pPr>
            <w:r>
              <w:t>其中：财政    资金</w:t>
            </w:r>
          </w:p>
        </w:tc>
        <w:tc>
          <w:tcPr>
            <w:tcW w:w="2551" w:type="dxa"/>
            <w:vAlign w:val="center"/>
          </w:tcPr>
          <w:p>
            <w:pPr>
              <w:pStyle w:val="13"/>
            </w:pPr>
            <w:r>
              <w:t>7.62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根据实际工作需要，通过相关委托服务，提升机关工作水平。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1.根据实际工作需要，通过相关委托服务，提升机关工作水平。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委托服务项目数量</w:t>
            </w:r>
          </w:p>
        </w:tc>
        <w:tc>
          <w:tcPr>
            <w:tcW w:w="5386" w:type="dxa"/>
            <w:vAlign w:val="center"/>
          </w:tcPr>
          <w:p>
            <w:pPr>
              <w:pStyle w:val="13"/>
            </w:pPr>
            <w:r>
              <w:t>全年委托服务项目总量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委托服务完成质量合格率</w:t>
            </w:r>
          </w:p>
        </w:tc>
        <w:tc>
          <w:tcPr>
            <w:tcW w:w="5386" w:type="dxa"/>
            <w:vAlign w:val="center"/>
          </w:tcPr>
          <w:p>
            <w:pPr>
              <w:pStyle w:val="13"/>
            </w:pPr>
            <w:r>
              <w:t>合格的委托服务数量/全年委托服务项目数量*100%</w:t>
            </w:r>
          </w:p>
        </w:tc>
        <w:tc>
          <w:tcPr>
            <w:tcW w:w="2268" w:type="dxa"/>
            <w:vAlign w:val="center"/>
          </w:tcPr>
          <w:p>
            <w:pPr>
              <w:pStyle w:val="13"/>
            </w:pPr>
            <w:r>
              <w:t>≥96%</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委托服务完成时间</w:t>
            </w:r>
          </w:p>
        </w:tc>
        <w:tc>
          <w:tcPr>
            <w:tcW w:w="5386" w:type="dxa"/>
            <w:vAlign w:val="center"/>
          </w:tcPr>
          <w:p>
            <w:pPr>
              <w:pStyle w:val="13"/>
            </w:pPr>
            <w:r>
              <w:t>委托服务完成时间</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委托服务成本</w:t>
            </w:r>
          </w:p>
        </w:tc>
        <w:tc>
          <w:tcPr>
            <w:tcW w:w="5386" w:type="dxa"/>
            <w:vAlign w:val="center"/>
          </w:tcPr>
          <w:p>
            <w:pPr>
              <w:pStyle w:val="13"/>
            </w:pPr>
            <w:r>
              <w:t>委托服务成本</w:t>
            </w:r>
          </w:p>
        </w:tc>
        <w:tc>
          <w:tcPr>
            <w:tcW w:w="2268" w:type="dxa"/>
            <w:vAlign w:val="center"/>
          </w:tcPr>
          <w:p>
            <w:pPr>
              <w:pStyle w:val="13"/>
            </w:pPr>
            <w:r>
              <w:t>≤7.62万元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委托服务通过率</w:t>
            </w:r>
          </w:p>
        </w:tc>
        <w:tc>
          <w:tcPr>
            <w:tcW w:w="5386" w:type="dxa"/>
            <w:vAlign w:val="center"/>
          </w:tcPr>
          <w:p>
            <w:pPr>
              <w:pStyle w:val="13"/>
            </w:pPr>
            <w:r>
              <w:t>委托服务项目通过数量/委托服务项目数量*100%</w:t>
            </w:r>
          </w:p>
        </w:tc>
        <w:tc>
          <w:tcPr>
            <w:tcW w:w="2268" w:type="dxa"/>
            <w:vAlign w:val="center"/>
          </w:tcPr>
          <w:p>
            <w:pPr>
              <w:pStyle w:val="13"/>
            </w:pPr>
            <w:r>
              <w:t>100%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委托服务申请科室满意度</w:t>
            </w:r>
          </w:p>
        </w:tc>
        <w:tc>
          <w:tcPr>
            <w:tcW w:w="5386" w:type="dxa"/>
            <w:vAlign w:val="center"/>
          </w:tcPr>
          <w:p>
            <w:pPr>
              <w:pStyle w:val="13"/>
            </w:pPr>
            <w:r>
              <w:t>委托服务申请科室对服务满意度</w:t>
            </w:r>
          </w:p>
        </w:tc>
        <w:tc>
          <w:tcPr>
            <w:tcW w:w="2268" w:type="dxa"/>
            <w:vAlign w:val="center"/>
          </w:tcPr>
          <w:p>
            <w:pPr>
              <w:pStyle w:val="13"/>
            </w:pPr>
            <w:r>
              <w:t>≥98%</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5、地方金融监管专项经费绩效目标表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13010026P00677910004E</w:t>
            </w:r>
          </w:p>
        </w:tc>
        <w:tc>
          <w:tcPr>
            <w:tcW w:w="2835" w:type="dxa"/>
            <w:vAlign w:val="center"/>
          </w:tcPr>
          <w:p>
            <w:pPr>
              <w:pStyle w:val="11"/>
            </w:pPr>
            <w:r>
              <w:t>项目名称</w:t>
            </w:r>
          </w:p>
        </w:tc>
        <w:tc>
          <w:tcPr>
            <w:tcW w:w="6095" w:type="dxa"/>
            <w:gridSpan w:val="3"/>
            <w:vAlign w:val="center"/>
          </w:tcPr>
          <w:p>
            <w:pPr>
              <w:pStyle w:val="13"/>
            </w:pPr>
            <w:r>
              <w:t>地方金融监管专项经费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用于强化地方金融组织监管，规范行业发展。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1.用于强化地方金融组织监管，规范行业发展。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检查企业数量</w:t>
            </w:r>
          </w:p>
        </w:tc>
        <w:tc>
          <w:tcPr>
            <w:tcW w:w="5386" w:type="dxa"/>
            <w:vAlign w:val="center"/>
          </w:tcPr>
          <w:p>
            <w:pPr>
              <w:pStyle w:val="13"/>
            </w:pPr>
            <w:r>
              <w:t>检查的地方金融组织数量</w:t>
            </w:r>
          </w:p>
        </w:tc>
        <w:tc>
          <w:tcPr>
            <w:tcW w:w="2268" w:type="dxa"/>
            <w:vAlign w:val="center"/>
          </w:tcPr>
          <w:p>
            <w:pPr>
              <w:pStyle w:val="13"/>
            </w:pPr>
            <w:r>
              <w:t>≥10家</w:t>
            </w:r>
          </w:p>
        </w:tc>
        <w:tc>
          <w:tcPr>
            <w:tcW w:w="1276" w:type="dxa"/>
            <w:vAlign w:val="center"/>
          </w:tcPr>
          <w:p>
            <w:pPr>
              <w:pStyle w:val="13"/>
            </w:pPr>
            <w:r>
              <w:t>《河北省地方金融监管行政执法程序规定》（冀金监字〔2021〕31号）《河北省地方金融组织规范整治实施方案》（冀金办联〔2024〕1号）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应检查企业覆盖率</w:t>
            </w:r>
          </w:p>
        </w:tc>
        <w:tc>
          <w:tcPr>
            <w:tcW w:w="5386" w:type="dxa"/>
            <w:vAlign w:val="center"/>
          </w:tcPr>
          <w:p>
            <w:pPr>
              <w:pStyle w:val="13"/>
            </w:pPr>
            <w:r>
              <w:t>实际检查企业数量/应检查企业数量*100%</w:t>
            </w:r>
          </w:p>
        </w:tc>
        <w:tc>
          <w:tcPr>
            <w:tcW w:w="2268" w:type="dxa"/>
            <w:vAlign w:val="center"/>
          </w:tcPr>
          <w:p>
            <w:pPr>
              <w:pStyle w:val="13"/>
            </w:pPr>
            <w:r>
              <w:t>100%</w:t>
            </w:r>
          </w:p>
        </w:tc>
        <w:tc>
          <w:tcPr>
            <w:tcW w:w="1276" w:type="dxa"/>
            <w:vAlign w:val="center"/>
          </w:tcPr>
          <w:p>
            <w:pPr>
              <w:pStyle w:val="13"/>
            </w:pPr>
            <w:r>
              <w:t>《河北省地方金融监管行政执法程序规定》（冀金监字〔2021〕31号）《河北省地方金融组织规范整治实施方案》（冀金办联〔2024〕1号）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检查工作完成时间</w:t>
            </w:r>
          </w:p>
        </w:tc>
        <w:tc>
          <w:tcPr>
            <w:tcW w:w="5386" w:type="dxa"/>
            <w:vAlign w:val="center"/>
          </w:tcPr>
          <w:p>
            <w:pPr>
              <w:pStyle w:val="13"/>
            </w:pPr>
            <w:r>
              <w:t>全部检查工作完成时间</w:t>
            </w:r>
          </w:p>
        </w:tc>
        <w:tc>
          <w:tcPr>
            <w:tcW w:w="2268" w:type="dxa"/>
            <w:vAlign w:val="center"/>
          </w:tcPr>
          <w:p>
            <w:pPr>
              <w:pStyle w:val="13"/>
            </w:pPr>
            <w:r>
              <w:t>12月31日前</w:t>
            </w:r>
          </w:p>
        </w:tc>
        <w:tc>
          <w:tcPr>
            <w:tcW w:w="1276" w:type="dxa"/>
            <w:vAlign w:val="center"/>
          </w:tcPr>
          <w:p>
            <w:pPr>
              <w:pStyle w:val="13"/>
            </w:pPr>
            <w:r>
              <w:t>《河北省地方金融监管行政执法程序规定》（冀金监字〔2021〕31号）《河北省地方金融组织规范整治实施方案》（冀金办联〔2024〕1号）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开展检查审查费用</w:t>
            </w:r>
          </w:p>
        </w:tc>
        <w:tc>
          <w:tcPr>
            <w:tcW w:w="5386" w:type="dxa"/>
            <w:vAlign w:val="center"/>
          </w:tcPr>
          <w:p>
            <w:pPr>
              <w:pStyle w:val="13"/>
            </w:pPr>
            <w:r>
              <w:t>风险排查及专项检查费用</w:t>
            </w:r>
          </w:p>
        </w:tc>
        <w:tc>
          <w:tcPr>
            <w:tcW w:w="2268" w:type="dxa"/>
            <w:vAlign w:val="center"/>
          </w:tcPr>
          <w:p>
            <w:pPr>
              <w:pStyle w:val="13"/>
            </w:pPr>
            <w:r>
              <w:t>≤10万元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加强地方金融组织管理</w:t>
            </w:r>
          </w:p>
        </w:tc>
        <w:tc>
          <w:tcPr>
            <w:tcW w:w="5386" w:type="dxa"/>
            <w:vAlign w:val="center"/>
          </w:tcPr>
          <w:p>
            <w:pPr>
              <w:pStyle w:val="13"/>
            </w:pPr>
            <w:r>
              <w:t>有序清理不合规企业数量</w:t>
            </w:r>
          </w:p>
        </w:tc>
        <w:tc>
          <w:tcPr>
            <w:tcW w:w="2268" w:type="dxa"/>
            <w:vAlign w:val="center"/>
          </w:tcPr>
          <w:p>
            <w:pPr>
              <w:pStyle w:val="13"/>
            </w:pPr>
            <w:r>
              <w:t>≥2家</w:t>
            </w:r>
          </w:p>
        </w:tc>
        <w:tc>
          <w:tcPr>
            <w:tcW w:w="1276" w:type="dxa"/>
            <w:vAlign w:val="center"/>
          </w:tcPr>
          <w:p>
            <w:pPr>
              <w:pStyle w:val="13"/>
            </w:pPr>
            <w:r>
              <w:t>《河北省地方金融组织规范整治实施方案》（冀金办联〔2024〕1号）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≥80%</w:t>
            </w:r>
          </w:p>
        </w:tc>
        <w:tc>
          <w:tcPr>
            <w:tcW w:w="1276" w:type="dxa"/>
            <w:vAlign w:val="center"/>
          </w:tcPr>
          <w:p>
            <w:pPr>
              <w:pStyle w:val="13"/>
            </w:pPr>
            <w:r>
              <w:t>企业满意度调查问卷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6、防范和处置金融风险案件专项经费绩效目标表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13010026P00677810007K</w:t>
            </w:r>
          </w:p>
        </w:tc>
        <w:tc>
          <w:tcPr>
            <w:tcW w:w="2835" w:type="dxa"/>
            <w:vAlign w:val="center"/>
          </w:tcPr>
          <w:p>
            <w:pPr>
              <w:pStyle w:val="11"/>
            </w:pPr>
            <w:r>
              <w:t>项目名称</w:t>
            </w:r>
          </w:p>
        </w:tc>
        <w:tc>
          <w:tcPr>
            <w:tcW w:w="6095" w:type="dxa"/>
            <w:gridSpan w:val="3"/>
            <w:vAlign w:val="center"/>
          </w:tcPr>
          <w:p>
            <w:pPr>
              <w:pStyle w:val="13"/>
            </w:pPr>
            <w:r>
              <w:t>防范和处置金融风险案件专项经费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日常办公用品费，委托业务费，差旅费等。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1.做好防范和处置非法集资工作，维护社会金融稳定。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处置的风险案件数量</w:t>
            </w:r>
          </w:p>
        </w:tc>
        <w:tc>
          <w:tcPr>
            <w:tcW w:w="5386" w:type="dxa"/>
            <w:vAlign w:val="center"/>
          </w:tcPr>
          <w:p>
            <w:pPr>
              <w:pStyle w:val="13"/>
            </w:pPr>
            <w:r>
              <w:t>本年度需要处理的金融风险案件数量</w:t>
            </w:r>
          </w:p>
        </w:tc>
        <w:tc>
          <w:tcPr>
            <w:tcW w:w="2268" w:type="dxa"/>
            <w:vAlign w:val="center"/>
          </w:tcPr>
          <w:p>
            <w:pPr>
              <w:pStyle w:val="13"/>
            </w:pPr>
            <w:r>
              <w:t>≥2个</w:t>
            </w:r>
          </w:p>
        </w:tc>
        <w:tc>
          <w:tcPr>
            <w:tcW w:w="1276" w:type="dxa"/>
            <w:vAlign w:val="center"/>
          </w:tcPr>
          <w:p>
            <w:pPr>
              <w:pStyle w:val="13"/>
            </w:pPr>
            <w:r>
              <w:t>工作计划和上级安排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案件处置完成率</w:t>
            </w:r>
          </w:p>
        </w:tc>
        <w:tc>
          <w:tcPr>
            <w:tcW w:w="5386" w:type="dxa"/>
            <w:vAlign w:val="center"/>
          </w:tcPr>
          <w:p>
            <w:pPr>
              <w:pStyle w:val="13"/>
            </w:pPr>
            <w:r>
              <w:t>参与集中性阶段性风险处置工作完成率</w:t>
            </w:r>
          </w:p>
        </w:tc>
        <w:tc>
          <w:tcPr>
            <w:tcW w:w="2268" w:type="dxa"/>
            <w:vAlign w:val="center"/>
          </w:tcPr>
          <w:p>
            <w:pPr>
              <w:pStyle w:val="13"/>
            </w:pPr>
            <w:r>
              <w:t>完成阶段性工作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阶段性工作完成时效</w:t>
            </w:r>
          </w:p>
        </w:tc>
        <w:tc>
          <w:tcPr>
            <w:tcW w:w="5386" w:type="dxa"/>
            <w:vAlign w:val="center"/>
          </w:tcPr>
          <w:p>
            <w:pPr>
              <w:pStyle w:val="13"/>
            </w:pPr>
            <w:r>
              <w:t>集中性阶段性工作完成时间</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案件处置成本</w:t>
            </w:r>
          </w:p>
        </w:tc>
        <w:tc>
          <w:tcPr>
            <w:tcW w:w="5386" w:type="dxa"/>
            <w:vAlign w:val="center"/>
          </w:tcPr>
          <w:p>
            <w:pPr>
              <w:pStyle w:val="13"/>
            </w:pPr>
            <w:r>
              <w:t>防范和处置金融风险案件成本控制</w:t>
            </w:r>
          </w:p>
        </w:tc>
        <w:tc>
          <w:tcPr>
            <w:tcW w:w="2268" w:type="dxa"/>
            <w:vAlign w:val="center"/>
          </w:tcPr>
          <w:p>
            <w:pPr>
              <w:pStyle w:val="13"/>
            </w:pPr>
            <w:r>
              <w:t>≤40万元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金融风险案件处置化解数量</w:t>
            </w:r>
          </w:p>
        </w:tc>
        <w:tc>
          <w:tcPr>
            <w:tcW w:w="5386" w:type="dxa"/>
            <w:vAlign w:val="center"/>
          </w:tcPr>
          <w:p>
            <w:pPr>
              <w:pStyle w:val="13"/>
            </w:pPr>
            <w:r>
              <w:t>化解完成的金融风险案事件</w:t>
            </w:r>
          </w:p>
        </w:tc>
        <w:tc>
          <w:tcPr>
            <w:tcW w:w="2268" w:type="dxa"/>
            <w:vAlign w:val="center"/>
          </w:tcPr>
          <w:p>
            <w:pPr>
              <w:pStyle w:val="13"/>
            </w:pPr>
            <w:r>
              <w:t>≥2个</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涉案群众满意度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7、防范和处置金融风险宣传专项经费绩效目标表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13010026P006778100087</w:t>
            </w:r>
          </w:p>
        </w:tc>
        <w:tc>
          <w:tcPr>
            <w:tcW w:w="2835" w:type="dxa"/>
            <w:vAlign w:val="center"/>
          </w:tcPr>
          <w:p>
            <w:pPr>
              <w:pStyle w:val="11"/>
            </w:pPr>
            <w:r>
              <w:t>项目名称</w:t>
            </w:r>
          </w:p>
        </w:tc>
        <w:tc>
          <w:tcPr>
            <w:tcW w:w="6095" w:type="dxa"/>
            <w:gridSpan w:val="3"/>
            <w:vAlign w:val="center"/>
          </w:tcPr>
          <w:p>
            <w:pPr>
              <w:pStyle w:val="13"/>
            </w:pPr>
            <w:r>
              <w:t>防范和处置金融风险宣传专项经费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81.00</w:t>
            </w:r>
          </w:p>
        </w:tc>
        <w:tc>
          <w:tcPr>
            <w:tcW w:w="2835" w:type="dxa"/>
            <w:vAlign w:val="center"/>
          </w:tcPr>
          <w:p>
            <w:pPr>
              <w:pStyle w:val="11"/>
            </w:pPr>
            <w:r>
              <w:t>其中：财政    资金</w:t>
            </w:r>
          </w:p>
        </w:tc>
        <w:tc>
          <w:tcPr>
            <w:tcW w:w="2551" w:type="dxa"/>
            <w:vAlign w:val="center"/>
          </w:tcPr>
          <w:p>
            <w:pPr>
              <w:pStyle w:val="13"/>
            </w:pPr>
            <w:r>
              <w:t>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开展防范非法集资宣传和金融知识普及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1.开展防范非法集资宣传和金融知识普及，提升公众风险防范意识和能力。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开展集中宣传场次</w:t>
            </w:r>
          </w:p>
        </w:tc>
        <w:tc>
          <w:tcPr>
            <w:tcW w:w="5386" w:type="dxa"/>
            <w:vAlign w:val="center"/>
          </w:tcPr>
          <w:p>
            <w:pPr>
              <w:pStyle w:val="13"/>
            </w:pPr>
            <w:r>
              <w:t>开展集中宣传场次</w:t>
            </w:r>
          </w:p>
        </w:tc>
        <w:tc>
          <w:tcPr>
            <w:tcW w:w="2268" w:type="dxa"/>
            <w:vAlign w:val="center"/>
          </w:tcPr>
          <w:p>
            <w:pPr>
              <w:pStyle w:val="13"/>
            </w:pPr>
            <w:r>
              <w:t>≥1场</w:t>
            </w:r>
          </w:p>
        </w:tc>
        <w:tc>
          <w:tcPr>
            <w:tcW w:w="1276" w:type="dxa"/>
            <w:vAlign w:val="center"/>
          </w:tcPr>
          <w:p>
            <w:pPr>
              <w:pStyle w:val="13"/>
            </w:pPr>
            <w:r>
              <w:t>《防范和处置非法集资条例》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节目播放总量</w:t>
            </w:r>
          </w:p>
        </w:tc>
        <w:tc>
          <w:tcPr>
            <w:tcW w:w="5386" w:type="dxa"/>
            <w:vAlign w:val="center"/>
          </w:tcPr>
          <w:p>
            <w:pPr>
              <w:pStyle w:val="13"/>
            </w:pPr>
            <w:r>
              <w:t>《金融界》播出次数</w:t>
            </w:r>
          </w:p>
        </w:tc>
        <w:tc>
          <w:tcPr>
            <w:tcW w:w="2268" w:type="dxa"/>
            <w:vAlign w:val="center"/>
          </w:tcPr>
          <w:p>
            <w:pPr>
              <w:pStyle w:val="13"/>
            </w:pPr>
            <w:r>
              <w:t>≥18期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节目质量</w:t>
            </w:r>
          </w:p>
        </w:tc>
        <w:tc>
          <w:tcPr>
            <w:tcW w:w="5386" w:type="dxa"/>
            <w:vAlign w:val="center"/>
          </w:tcPr>
          <w:p>
            <w:pPr>
              <w:pStyle w:val="13"/>
            </w:pPr>
            <w:r>
              <w:t>节目审核通过数量/节目素材提供数量*100%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集中宣传活动完成时间</w:t>
            </w:r>
          </w:p>
        </w:tc>
        <w:tc>
          <w:tcPr>
            <w:tcW w:w="5386" w:type="dxa"/>
            <w:vAlign w:val="center"/>
          </w:tcPr>
          <w:p>
            <w:pPr>
              <w:pStyle w:val="13"/>
            </w:pPr>
            <w:r>
              <w:t>开展集中宣传活动完成时间</w:t>
            </w:r>
          </w:p>
        </w:tc>
        <w:tc>
          <w:tcPr>
            <w:tcW w:w="2268" w:type="dxa"/>
            <w:vAlign w:val="center"/>
          </w:tcPr>
          <w:p>
            <w:pPr>
              <w:pStyle w:val="13"/>
            </w:pPr>
            <w:r>
              <w:t>12月31日前</w:t>
            </w:r>
          </w:p>
        </w:tc>
        <w:tc>
          <w:tcPr>
            <w:tcW w:w="1276" w:type="dxa"/>
            <w:vAlign w:val="center"/>
          </w:tcPr>
          <w:p>
            <w:pPr>
              <w:pStyle w:val="13"/>
            </w:pPr>
            <w: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宣传专项经费</w:t>
            </w:r>
          </w:p>
        </w:tc>
        <w:tc>
          <w:tcPr>
            <w:tcW w:w="5386" w:type="dxa"/>
            <w:vAlign w:val="center"/>
          </w:tcPr>
          <w:p>
            <w:pPr>
              <w:pStyle w:val="13"/>
            </w:pPr>
            <w:r>
              <w:t>宣传专项经费成本控制</w:t>
            </w:r>
          </w:p>
        </w:tc>
        <w:tc>
          <w:tcPr>
            <w:tcW w:w="2268" w:type="dxa"/>
            <w:vAlign w:val="center"/>
          </w:tcPr>
          <w:p>
            <w:pPr>
              <w:pStyle w:val="13"/>
            </w:pPr>
            <w:r>
              <w:t>≤81万元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提升广大群众防范金融诈骗和非法集资意识</w:t>
            </w:r>
          </w:p>
        </w:tc>
        <w:tc>
          <w:tcPr>
            <w:tcW w:w="5386" w:type="dxa"/>
            <w:vAlign w:val="center"/>
          </w:tcPr>
          <w:p>
            <w:pPr>
              <w:pStyle w:val="13"/>
            </w:pPr>
            <w:r>
              <w:t>短视频融媒体播放涵盖月份</w:t>
            </w:r>
          </w:p>
        </w:tc>
        <w:tc>
          <w:tcPr>
            <w:tcW w:w="2268" w:type="dxa"/>
            <w:vAlign w:val="center"/>
          </w:tcPr>
          <w:p>
            <w:pPr>
              <w:pStyle w:val="13"/>
            </w:pPr>
            <w:r>
              <w:t>每月播放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参与活动的群众满意度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8.85</w:t>
            </w:r>
          </w:p>
        </w:tc>
        <w:tc>
          <w:tcPr>
            <w:tcW w:w="964" w:type="dxa"/>
            <w:vAlign w:val="center"/>
          </w:tcPr>
          <w:p>
            <w:pPr>
              <w:pStyle w:val="16"/>
            </w:pPr>
            <w:r>
              <w:t>8.85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中共石家庄市委金融委员会办公室本级小计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8.85</w:t>
            </w:r>
          </w:p>
        </w:tc>
        <w:tc>
          <w:tcPr>
            <w:tcW w:w="964" w:type="dxa"/>
            <w:vAlign w:val="center"/>
          </w:tcPr>
          <w:p>
            <w:pPr>
              <w:pStyle w:val="16"/>
            </w:pPr>
            <w:r>
              <w:t>8.85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72</w:t>
            </w:r>
          </w:p>
        </w:tc>
        <w:tc>
          <w:tcPr>
            <w:tcW w:w="850" w:type="dxa"/>
            <w:vAlign w:val="center"/>
          </w:tcPr>
          <w:p>
            <w:pPr>
              <w:pStyle w:val="12"/>
            </w:pPr>
            <w:r>
              <w:t>0.02</w:t>
            </w:r>
          </w:p>
        </w:tc>
        <w:tc>
          <w:tcPr>
            <w:tcW w:w="964" w:type="dxa"/>
            <w:vAlign w:val="center"/>
          </w:tcPr>
          <w:p>
            <w:pPr>
              <w:pStyle w:val="12"/>
            </w:pPr>
            <w:r>
              <w:t>1.27</w:t>
            </w:r>
          </w:p>
        </w:tc>
        <w:tc>
          <w:tcPr>
            <w:tcW w:w="964" w:type="dxa"/>
            <w:vAlign w:val="center"/>
          </w:tcPr>
          <w:p>
            <w:pPr>
              <w:pStyle w:val="12"/>
            </w:pPr>
            <w:r>
              <w:t>1.27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党组织活动经费</w:t>
            </w:r>
          </w:p>
        </w:tc>
        <w:tc>
          <w:tcPr>
            <w:tcW w:w="964" w:type="dxa"/>
            <w:vAlign w:val="center"/>
          </w:tcPr>
          <w:p>
            <w:pPr>
              <w:pStyle w:val="12"/>
            </w:pPr>
            <w:r>
              <w:t>4.11</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1.50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防范和处置金融风险案件专项经费</w:t>
            </w:r>
          </w:p>
        </w:tc>
        <w:tc>
          <w:tcPr>
            <w:tcW w:w="964" w:type="dxa"/>
            <w:vAlign w:val="center"/>
          </w:tcPr>
          <w:p>
            <w:pPr>
              <w:pStyle w:val="12"/>
            </w:pPr>
            <w:r>
              <w:t>40.00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1.48</w:t>
            </w:r>
          </w:p>
        </w:tc>
        <w:tc>
          <w:tcPr>
            <w:tcW w:w="964" w:type="dxa"/>
            <w:vAlign w:val="center"/>
          </w:tcPr>
          <w:p>
            <w:pPr>
              <w:pStyle w:val="12"/>
            </w:pPr>
            <w:r>
              <w:t>1.48</w:t>
            </w:r>
          </w:p>
        </w:tc>
        <w:tc>
          <w:tcPr>
            <w:tcW w:w="964" w:type="dxa"/>
            <w:vAlign w:val="center"/>
          </w:tcPr>
          <w:p>
            <w:pPr>
              <w:pStyle w:val="12"/>
            </w:pPr>
            <w:r>
              <w:t>1.48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防范和处置金融风险案件专项经费</w:t>
            </w:r>
          </w:p>
        </w:tc>
        <w:tc>
          <w:tcPr>
            <w:tcW w:w="964" w:type="dxa"/>
            <w:vAlign w:val="center"/>
          </w:tcPr>
          <w:p>
            <w:pPr>
              <w:pStyle w:val="12"/>
            </w:pPr>
            <w:r>
              <w:t>40.00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中共石家庄市委金融委员会办公室（含所属单位）上年末固定资产金额为</w:t>
      </w:r>
      <w:r>
        <w:rPr>
          <w:rFonts w:hint="eastAsia" w:eastAsia="方正仿宋_GBK" w:cs="Times New Roman"/>
          <w:b w:val="0"/>
          <w:color w:val="000000"/>
          <w:sz w:val="28"/>
          <w:lang w:val="en-US" w:eastAsia="zh-CN"/>
        </w:rPr>
        <w:t>173.9368</w:t>
      </w:r>
      <w:r>
        <w:rPr>
          <w:rFonts w:ascii="Times New Roman" w:hAnsi="Times New Roman" w:eastAsia="方正仿宋_GBK" w:cs="Times New Roman"/>
          <w:b w:val="0"/>
          <w:color w:val="000000"/>
          <w:sz w:val="28"/>
        </w:rPr>
        <w:t>万元（详见下表）。本年度拟购置固定资产总额为0万元，详见政府采购预算表。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资产总额</w:t>
            </w:r>
          </w:p>
        </w:tc>
        <w:tc>
          <w:tcPr>
            <w:tcW w:w="2835" w:type="dxa"/>
            <w:vAlign w:val="center"/>
          </w:tcPr>
          <w:p>
            <w:pPr>
              <w:pStyle w:val="14"/>
              <w:rPr>
                <w:rFonts w:hint="default" w:eastAsia="方正书宋_GBK"/>
                <w:lang w:val="en-US" w:eastAsia="zh-CN"/>
              </w:rPr>
            </w:pPr>
            <w:r>
              <w:rPr>
                <w:rFonts w:hint="eastAsia"/>
                <w:lang w:val="en-US" w:eastAsia="zh-CN"/>
              </w:rPr>
              <w:t>428</w:t>
            </w:r>
          </w:p>
        </w:tc>
        <w:tc>
          <w:tcPr>
            <w:tcW w:w="2835" w:type="dxa"/>
            <w:vAlign w:val="center"/>
          </w:tcPr>
          <w:p>
            <w:pPr>
              <w:pStyle w:val="12"/>
              <w:rPr>
                <w:rFonts w:hint="default" w:eastAsia="方正书宋_GBK"/>
                <w:lang w:val="en-US" w:eastAsia="zh-CN"/>
              </w:rPr>
            </w:pPr>
            <w:r>
              <w:rPr>
                <w:rFonts w:hint="eastAsia"/>
                <w:lang w:val="en-US" w:eastAsia="zh-CN"/>
              </w:rPr>
              <w:t>173.9368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rPr>
                <w:rFonts w:hint="eastAsia"/>
              </w:rPr>
              <w:t>1.房屋（平方米）</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其中办公用房</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default" w:eastAsia="方正书宋_GBK"/>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3.单价在20万元以上的设备</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rPr>
                <w:rFonts w:hint="default" w:eastAsia="方正书宋_GBK"/>
                <w:lang w:val="en-US" w:eastAsia="zh-CN"/>
              </w:rPr>
            </w:pPr>
            <w:r>
              <w:rPr>
                <w:rFonts w:hint="eastAsia"/>
                <w:lang w:val="en-US" w:eastAsia="zh-CN"/>
              </w:rPr>
              <w:t>4.其他固定资产</w:t>
            </w:r>
          </w:p>
        </w:tc>
        <w:tc>
          <w:tcPr>
            <w:tcW w:w="2835" w:type="dxa"/>
            <w:vAlign w:val="center"/>
          </w:tcPr>
          <w:p>
            <w:pPr>
              <w:pStyle w:val="14"/>
              <w:rPr>
                <w:rFonts w:hint="default" w:eastAsia="方正书宋_GBK"/>
                <w:lang w:val="en-US" w:eastAsia="zh-CN"/>
              </w:rPr>
            </w:pPr>
            <w:r>
              <w:rPr>
                <w:rFonts w:hint="eastAsia"/>
                <w:lang w:val="en-US" w:eastAsia="zh-CN"/>
              </w:rPr>
              <w:t>427</w:t>
            </w:r>
          </w:p>
        </w:tc>
        <w:tc>
          <w:tcPr>
            <w:tcW w:w="2835" w:type="dxa"/>
            <w:vAlign w:val="center"/>
          </w:tcPr>
          <w:p>
            <w:pPr>
              <w:pStyle w:val="12"/>
              <w:rPr>
                <w:rFonts w:hint="default" w:eastAsia="方正书宋_GBK"/>
                <w:lang w:val="en-US" w:eastAsia="zh-CN"/>
              </w:rPr>
            </w:pPr>
            <w:r>
              <w:rPr>
                <w:rFonts w:hint="eastAsia"/>
                <w:lang w:val="en-US" w:eastAsia="zh-CN"/>
              </w:rPr>
              <w:t>155.9568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altName w:val="方正黑体_GBK"/>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 w:name="Arial">
    <w:altName w:val="Nimbus Roman No9 L"/>
    <w:panose1 w:val="00000000000000000000"/>
    <w:charset w:val="00"/>
    <w:family w:val="auto"/>
    <w:pitch w:val="default"/>
    <w:sig w:usb0="00000000" w:usb1="00000000" w:usb2="00000000" w:usb3="00000000" w:csb0="00000000" w:csb1="00000000"/>
  </w:font>
  <w:font w:name="CESI仿宋-GB2312">
    <w:panose1 w:val="02000500000000000000"/>
    <w:charset w:val="86"/>
    <w:family w:val="auto"/>
    <w:pitch w:val="default"/>
    <w:sig w:usb0="800002AF" w:usb1="084F6CF8"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FD3A70"/>
    <w:multiLevelType w:val="singleLevel"/>
    <w:tmpl w:val="3FFD3A70"/>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0FA65DBB"/>
    <w:rsid w:val="1CFE3394"/>
    <w:rsid w:val="372B535E"/>
    <w:rsid w:val="3F5DFB8C"/>
    <w:rsid w:val="5FA96C98"/>
    <w:rsid w:val="62FEEC84"/>
    <w:rsid w:val="67FE72D8"/>
    <w:rsid w:val="6AFDD052"/>
    <w:rsid w:val="6F8F57D1"/>
    <w:rsid w:val="719F9467"/>
    <w:rsid w:val="767F729F"/>
    <w:rsid w:val="79EB768F"/>
    <w:rsid w:val="7E7777C7"/>
    <w:rsid w:val="7F737982"/>
    <w:rsid w:val="7FFFC365"/>
    <w:rsid w:val="8BF9412D"/>
    <w:rsid w:val="DFFD83F8"/>
    <w:rsid w:val="DFFDC62D"/>
    <w:rsid w:val="F0AFDD56"/>
    <w:rsid w:val="F7FE49B6"/>
    <w:rsid w:val="FD965E74"/>
    <w:rsid w:val="FDDF3E2D"/>
    <w:rsid w:val="FED7465A"/>
    <w:rsid w:val="FFDFF3A9"/>
    <w:rsid w:val="FFF6B012"/>
    <w:rsid w:val="FFFD23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50</TotalTime>
  <ScaleCrop>false</ScaleCrop>
  <LinksUpToDate>false</LinksUpToDate>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2026-02-09T23:42:00Z</dcterms:created>
  <dc:creator>uos</dc:creator>
  <cp:lastModifiedBy>uos</cp:lastModifiedBy>
  <cp:lastPrinted>2026-02-09T23:54:05Z</cp:lastPrinted>
  <dcterms:modified xsi:type="dcterms:W3CDTF">2026-02-09T17:09:32Z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