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39</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41</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41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42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5009.21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3612.67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100.00</w:t>
            </w: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1109.86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141.54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245.14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5109.21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5127.76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18.55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5127.76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5127.76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5127.76</w:t>
            </w:r>
          </w:p>
        </w:tc>
        <w:tc>
          <w:tcPr>
            <w:tcW w:w="1134" w:type="dxa"/>
            <w:vAlign w:val="center"/>
          </w:tcPr>
          <w:p>
            <w:pPr>
              <w:pStyle w:val="单元格样式7"/>
            </w:pPr>
            <w:r>
              <w:t xml:space="preserve">5109.21</w:t>
            </w:r>
          </w:p>
        </w:tc>
        <w:tc>
          <w:tcPr>
            <w:tcW w:w="1134" w:type="dxa"/>
            <w:vAlign w:val="center"/>
          </w:tcPr>
          <w:p>
            <w:pPr>
              <w:pStyle w:val="单元格样式7"/>
            </w:pPr>
            <w:r>
              <w:t xml:space="preserve">5009.21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100.00</w:t>
            </w:r>
          </w:p>
        </w:tc>
        <w:tc>
          <w:tcPr>
            <w:tcW w:w="1134" w:type="dxa"/>
            <w:vAlign w:val="center"/>
          </w:tcPr>
          <w:p>
            <w:pPr>
              <w:pStyle w:val="单元格样式7"/>
            </w:pPr>
            <w:r>
              <w:t xml:space="preserve">18.55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3612.67</w:t>
            </w:r>
          </w:p>
        </w:tc>
        <w:tc>
          <w:tcPr>
            <w:tcW w:w="1134" w:type="dxa"/>
            <w:vAlign w:val="center"/>
          </w:tcPr>
          <w:p>
            <w:pPr>
              <w:pStyle w:val="单元格样式4"/>
            </w:pPr>
            <w:r>
              <w:t xml:space="preserve">3612.67</w:t>
            </w:r>
          </w:p>
        </w:tc>
        <w:tc>
          <w:tcPr>
            <w:tcW w:w="1134" w:type="dxa"/>
            <w:vAlign w:val="center"/>
          </w:tcPr>
          <w:p>
            <w:pPr>
              <w:pStyle w:val="单元格样式4"/>
            </w:pPr>
            <w:r>
              <w:t xml:space="preserve">3512.67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3612.67</w:t>
            </w:r>
          </w:p>
        </w:tc>
        <w:tc>
          <w:tcPr>
            <w:tcW w:w="1134" w:type="dxa"/>
            <w:vAlign w:val="center"/>
          </w:tcPr>
          <w:p>
            <w:pPr>
              <w:pStyle w:val="单元格样式4"/>
            </w:pPr>
            <w:r>
              <w:t xml:space="preserve">3612.67</w:t>
            </w:r>
          </w:p>
        </w:tc>
        <w:tc>
          <w:tcPr>
            <w:tcW w:w="1134" w:type="dxa"/>
            <w:vAlign w:val="center"/>
          </w:tcPr>
          <w:p>
            <w:pPr>
              <w:pStyle w:val="单元格样式4"/>
            </w:pPr>
            <w:r>
              <w:t xml:space="preserve">3512.67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2713.82</w:t>
            </w:r>
          </w:p>
        </w:tc>
        <w:tc>
          <w:tcPr>
            <w:tcW w:w="1134" w:type="dxa"/>
            <w:vAlign w:val="center"/>
          </w:tcPr>
          <w:p>
            <w:pPr>
              <w:pStyle w:val="单元格样式4"/>
            </w:pPr>
            <w:r>
              <w:t xml:space="preserve">2713.82</w:t>
            </w:r>
          </w:p>
        </w:tc>
        <w:tc>
          <w:tcPr>
            <w:tcW w:w="1134" w:type="dxa"/>
            <w:vAlign w:val="center"/>
          </w:tcPr>
          <w:p>
            <w:pPr>
              <w:pStyle w:val="单元格样式4"/>
            </w:pPr>
            <w:r>
              <w:t xml:space="preserve">2713.82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785.60</w:t>
            </w:r>
          </w:p>
        </w:tc>
        <w:tc>
          <w:tcPr>
            <w:tcW w:w="1134" w:type="dxa"/>
            <w:vAlign w:val="center"/>
          </w:tcPr>
          <w:p>
            <w:pPr>
              <w:pStyle w:val="单元格样式4"/>
            </w:pPr>
            <w:r>
              <w:t xml:space="preserve">785.60</w:t>
            </w:r>
          </w:p>
        </w:tc>
        <w:tc>
          <w:tcPr>
            <w:tcW w:w="1134" w:type="dxa"/>
            <w:vAlign w:val="center"/>
          </w:tcPr>
          <w:p>
            <w:pPr>
              <w:pStyle w:val="单元格样式4"/>
            </w:pPr>
            <w:r>
              <w:t xml:space="preserve">685.60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2010805</w:t>
            </w:r>
          </w:p>
        </w:tc>
        <w:tc>
          <w:tcPr>
            <w:tcW w:w="1559" w:type="dxa"/>
            <w:vAlign w:val="center"/>
          </w:tcPr>
          <w:p>
            <w:pPr>
              <w:pStyle w:val="单元格样式2"/>
            </w:pPr>
            <w:r>
              <w:t xml:space="preserve">审计管理</w:t>
            </w:r>
          </w:p>
        </w:tc>
        <w:tc>
          <w:tcPr>
            <w:tcW w:w="1134" w:type="dxa"/>
            <w:vAlign w:val="center"/>
          </w:tcPr>
          <w:p>
            <w:pPr>
              <w:pStyle w:val="单元格样式4"/>
            </w:pPr>
            <w:r>
              <w:t xml:space="preserve">82.25</w:t>
            </w:r>
          </w:p>
        </w:tc>
        <w:tc>
          <w:tcPr>
            <w:tcW w:w="1134" w:type="dxa"/>
            <w:vAlign w:val="center"/>
          </w:tcPr>
          <w:p>
            <w:pPr>
              <w:pStyle w:val="单元格样式4"/>
            </w:pPr>
            <w:r>
              <w:t xml:space="preserve">82.25</w:t>
            </w:r>
          </w:p>
        </w:tc>
        <w:tc>
          <w:tcPr>
            <w:tcW w:w="1134" w:type="dxa"/>
            <w:vAlign w:val="center"/>
          </w:tcPr>
          <w:p>
            <w:pPr>
              <w:pStyle w:val="单元格样式4"/>
            </w:pPr>
            <w:r>
              <w:t xml:space="preserve">82.25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2010806</w:t>
            </w:r>
          </w:p>
        </w:tc>
        <w:tc>
          <w:tcPr>
            <w:tcW w:w="1559" w:type="dxa"/>
            <w:vAlign w:val="center"/>
          </w:tcPr>
          <w:p>
            <w:pPr>
              <w:pStyle w:val="单元格样式2"/>
            </w:pPr>
            <w:r>
              <w:t xml:space="preserve">信息化建设</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2010899</w:t>
            </w:r>
          </w:p>
        </w:tc>
        <w:tc>
          <w:tcPr>
            <w:tcW w:w="1559" w:type="dxa"/>
            <w:vAlign w:val="center"/>
          </w:tcPr>
          <w:p>
            <w:pPr>
              <w:pStyle w:val="单元格样式2"/>
            </w:pPr>
            <w:r>
              <w:t xml:space="preserve">其他审计事务支出</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1109.86</w:t>
            </w:r>
          </w:p>
        </w:tc>
        <w:tc>
          <w:tcPr>
            <w:tcW w:w="1134" w:type="dxa"/>
            <w:vAlign w:val="center"/>
          </w:tcPr>
          <w:p>
            <w:pPr>
              <w:pStyle w:val="单元格样式4"/>
            </w:pPr>
            <w:r>
              <w:t xml:space="preserve">1109.86</w:t>
            </w:r>
          </w:p>
        </w:tc>
        <w:tc>
          <w:tcPr>
            <w:tcW w:w="1134" w:type="dxa"/>
            <w:vAlign w:val="center"/>
          </w:tcPr>
          <w:p>
            <w:pPr>
              <w:pStyle w:val="单元格样式4"/>
            </w:pPr>
            <w:r>
              <w:t xml:space="preserve">1109.86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1103.06</w:t>
            </w:r>
          </w:p>
        </w:tc>
        <w:tc>
          <w:tcPr>
            <w:tcW w:w="1134" w:type="dxa"/>
            <w:vAlign w:val="center"/>
          </w:tcPr>
          <w:p>
            <w:pPr>
              <w:pStyle w:val="单元格样式4"/>
            </w:pPr>
            <w:r>
              <w:t xml:space="preserve">1103.06</w:t>
            </w:r>
          </w:p>
        </w:tc>
        <w:tc>
          <w:tcPr>
            <w:tcW w:w="1134" w:type="dxa"/>
            <w:vAlign w:val="center"/>
          </w:tcPr>
          <w:p>
            <w:pPr>
              <w:pStyle w:val="单元格样式4"/>
            </w:pPr>
            <w:r>
              <w:t xml:space="preserve">1103.06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719.92</w:t>
            </w:r>
          </w:p>
        </w:tc>
        <w:tc>
          <w:tcPr>
            <w:tcW w:w="1134" w:type="dxa"/>
            <w:vAlign w:val="center"/>
          </w:tcPr>
          <w:p>
            <w:pPr>
              <w:pStyle w:val="单元格样式4"/>
            </w:pPr>
            <w:r>
              <w:t xml:space="preserve">719.92</w:t>
            </w:r>
          </w:p>
        </w:tc>
        <w:tc>
          <w:tcPr>
            <w:tcW w:w="1134" w:type="dxa"/>
            <w:vAlign w:val="center"/>
          </w:tcPr>
          <w:p>
            <w:pPr>
              <w:pStyle w:val="单元格样式4"/>
            </w:pPr>
            <w:r>
              <w:t xml:space="preserve">719.92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283.14</w:t>
            </w:r>
          </w:p>
        </w:tc>
        <w:tc>
          <w:tcPr>
            <w:tcW w:w="1134" w:type="dxa"/>
            <w:vAlign w:val="center"/>
          </w:tcPr>
          <w:p>
            <w:pPr>
              <w:pStyle w:val="单元格样式4"/>
            </w:pPr>
            <w:r>
              <w:t xml:space="preserve">283.14</w:t>
            </w:r>
          </w:p>
        </w:tc>
        <w:tc>
          <w:tcPr>
            <w:tcW w:w="1134" w:type="dxa"/>
            <w:vAlign w:val="center"/>
          </w:tcPr>
          <w:p>
            <w:pPr>
              <w:pStyle w:val="单元格样式4"/>
            </w:pPr>
            <w:r>
              <w:t xml:space="preserve">283.14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93.91</w:t>
            </w:r>
          </w:p>
        </w:tc>
        <w:tc>
          <w:tcPr>
            <w:tcW w:w="1134" w:type="dxa"/>
            <w:vAlign w:val="center"/>
          </w:tcPr>
          <w:p>
            <w:pPr>
              <w:pStyle w:val="单元格样式4"/>
            </w:pPr>
            <w:r>
              <w:t xml:space="preserve">93.91</w:t>
            </w:r>
          </w:p>
        </w:tc>
        <w:tc>
          <w:tcPr>
            <w:tcW w:w="1134" w:type="dxa"/>
            <w:vAlign w:val="center"/>
          </w:tcPr>
          <w:p>
            <w:pPr>
              <w:pStyle w:val="单元格样式4"/>
            </w:pPr>
            <w:r>
              <w:t xml:space="preserve">93.91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47.63</w:t>
            </w:r>
          </w:p>
        </w:tc>
        <w:tc>
          <w:tcPr>
            <w:tcW w:w="1134" w:type="dxa"/>
            <w:vAlign w:val="center"/>
          </w:tcPr>
          <w:p>
            <w:pPr>
              <w:pStyle w:val="单元格样式4"/>
            </w:pPr>
            <w:r>
              <w:t xml:space="preserve">47.63</w:t>
            </w:r>
          </w:p>
        </w:tc>
        <w:tc>
          <w:tcPr>
            <w:tcW w:w="1134" w:type="dxa"/>
            <w:vAlign w:val="center"/>
          </w:tcPr>
          <w:p>
            <w:pPr>
              <w:pStyle w:val="单元格样式4"/>
            </w:pPr>
            <w:r>
              <w:t xml:space="preserve">47.63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215</w:t>
            </w:r>
          </w:p>
        </w:tc>
        <w:tc>
          <w:tcPr>
            <w:tcW w:w="1559" w:type="dxa"/>
            <w:vAlign w:val="center"/>
          </w:tcPr>
          <w:p>
            <w:pPr>
              <w:pStyle w:val="单元格样式2"/>
            </w:pPr>
            <w:r>
              <w:t xml:space="preserve">资源勘探工业信息等支出</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21502</w:t>
            </w:r>
          </w:p>
        </w:tc>
        <w:tc>
          <w:tcPr>
            <w:tcW w:w="1559" w:type="dxa"/>
            <w:vAlign w:val="center"/>
          </w:tcPr>
          <w:p>
            <w:pPr>
              <w:pStyle w:val="单元格样式2"/>
            </w:pPr>
            <w:r>
              <w:t xml:space="preserve">制造业</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2150207</w:t>
            </w:r>
          </w:p>
        </w:tc>
        <w:tc>
          <w:tcPr>
            <w:tcW w:w="1559" w:type="dxa"/>
            <w:vAlign w:val="center"/>
          </w:tcPr>
          <w:p>
            <w:pPr>
              <w:pStyle w:val="单元格样式2"/>
            </w:pPr>
            <w:r>
              <w:t xml:space="preserve">通信设备、计算机及其他电子设备制造业</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5127.76</w:t>
            </w:r>
          </w:p>
        </w:tc>
        <w:tc>
          <w:tcPr>
            <w:tcW w:w="1361" w:type="dxa"/>
            <w:vAlign w:val="center"/>
          </w:tcPr>
          <w:p>
            <w:pPr>
              <w:pStyle w:val="单元格样式7"/>
            </w:pPr>
            <w:r>
              <w:t xml:space="preserve">4210.36</w:t>
            </w:r>
          </w:p>
        </w:tc>
        <w:tc>
          <w:tcPr>
            <w:tcW w:w="1361" w:type="dxa"/>
            <w:vAlign w:val="center"/>
          </w:tcPr>
          <w:p>
            <w:pPr>
              <w:pStyle w:val="单元格样式7"/>
            </w:pPr>
            <w:r>
              <w:t xml:space="preserve">917.40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3612.67</w:t>
            </w:r>
          </w:p>
        </w:tc>
        <w:tc>
          <w:tcPr>
            <w:tcW w:w="1361" w:type="dxa"/>
            <w:vAlign w:val="center"/>
          </w:tcPr>
          <w:p>
            <w:pPr>
              <w:pStyle w:val="单元格样式4"/>
            </w:pPr>
            <w:r>
              <w:t xml:space="preserve">2713.82</w:t>
            </w:r>
          </w:p>
        </w:tc>
        <w:tc>
          <w:tcPr>
            <w:tcW w:w="1361" w:type="dxa"/>
            <w:vAlign w:val="center"/>
          </w:tcPr>
          <w:p>
            <w:pPr>
              <w:pStyle w:val="单元格样式4"/>
            </w:pPr>
            <w:r>
              <w:t xml:space="preserve">898.85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3612.67</w:t>
            </w:r>
          </w:p>
        </w:tc>
        <w:tc>
          <w:tcPr>
            <w:tcW w:w="1361" w:type="dxa"/>
            <w:vAlign w:val="center"/>
          </w:tcPr>
          <w:p>
            <w:pPr>
              <w:pStyle w:val="单元格样式4"/>
            </w:pPr>
            <w:r>
              <w:t xml:space="preserve">2713.82</w:t>
            </w:r>
          </w:p>
        </w:tc>
        <w:tc>
          <w:tcPr>
            <w:tcW w:w="1361" w:type="dxa"/>
            <w:vAlign w:val="center"/>
          </w:tcPr>
          <w:p>
            <w:pPr>
              <w:pStyle w:val="单元格样式4"/>
            </w:pPr>
            <w:r>
              <w:t xml:space="preserve">898.85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2713.82</w:t>
            </w:r>
          </w:p>
        </w:tc>
        <w:tc>
          <w:tcPr>
            <w:tcW w:w="1361" w:type="dxa"/>
            <w:vAlign w:val="center"/>
          </w:tcPr>
          <w:p>
            <w:pPr>
              <w:pStyle w:val="单元格样式4"/>
            </w:pPr>
            <w:r>
              <w:t xml:space="preserve">2713.82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785.60</w:t>
            </w:r>
          </w:p>
        </w:tc>
        <w:tc>
          <w:tcPr>
            <w:tcW w:w="1361" w:type="dxa"/>
            <w:vAlign w:val="center"/>
          </w:tcPr>
          <w:p>
            <w:pPr>
              <w:pStyle w:val="单元格样式4"/>
            </w:pPr>
          </w:p>
        </w:tc>
        <w:tc>
          <w:tcPr>
            <w:tcW w:w="1361" w:type="dxa"/>
            <w:vAlign w:val="center"/>
          </w:tcPr>
          <w:p>
            <w:pPr>
              <w:pStyle w:val="单元格样式4"/>
            </w:pPr>
            <w:r>
              <w:t xml:space="preserve">785.60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1361" w:type="dxa"/>
            <w:vAlign w:val="center"/>
          </w:tcPr>
          <w:p>
            <w:pPr>
              <w:pStyle w:val="单元格样式4"/>
            </w:pPr>
            <w:r>
              <w:t xml:space="preserve">82.25</w:t>
            </w:r>
          </w:p>
        </w:tc>
        <w:tc>
          <w:tcPr>
            <w:tcW w:w="1361" w:type="dxa"/>
            <w:vAlign w:val="center"/>
          </w:tcPr>
          <w:p>
            <w:pPr>
              <w:pStyle w:val="单元格样式4"/>
            </w:pPr>
          </w:p>
        </w:tc>
        <w:tc>
          <w:tcPr>
            <w:tcW w:w="1361" w:type="dxa"/>
            <w:vAlign w:val="center"/>
          </w:tcPr>
          <w:p>
            <w:pPr>
              <w:pStyle w:val="单元格样式4"/>
            </w:pPr>
            <w:r>
              <w:t xml:space="preserve">82.25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2010899</w:t>
            </w:r>
          </w:p>
        </w:tc>
        <w:tc>
          <w:tcPr>
            <w:tcW w:w="4535" w:type="dxa"/>
            <w:vAlign w:val="center"/>
          </w:tcPr>
          <w:p>
            <w:pPr>
              <w:pStyle w:val="单元格样式2"/>
            </w:pPr>
            <w:r>
              <w:t xml:space="preserve">其他审计事务支出</w:t>
            </w: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1109.86</w:t>
            </w:r>
          </w:p>
        </w:tc>
        <w:tc>
          <w:tcPr>
            <w:tcW w:w="1361" w:type="dxa"/>
            <w:vAlign w:val="center"/>
          </w:tcPr>
          <w:p>
            <w:pPr>
              <w:pStyle w:val="单元格样式4"/>
            </w:pPr>
            <w:r>
              <w:t xml:space="preserve">1109.86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1103.06</w:t>
            </w:r>
          </w:p>
        </w:tc>
        <w:tc>
          <w:tcPr>
            <w:tcW w:w="1361" w:type="dxa"/>
            <w:vAlign w:val="center"/>
          </w:tcPr>
          <w:p>
            <w:pPr>
              <w:pStyle w:val="单元格样式4"/>
            </w:pPr>
            <w:r>
              <w:t xml:space="preserve">1103.06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719.92</w:t>
            </w:r>
          </w:p>
        </w:tc>
        <w:tc>
          <w:tcPr>
            <w:tcW w:w="1361" w:type="dxa"/>
            <w:vAlign w:val="center"/>
          </w:tcPr>
          <w:p>
            <w:pPr>
              <w:pStyle w:val="单元格样式4"/>
            </w:pPr>
            <w:r>
              <w:t xml:space="preserve">719.92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283.14</w:t>
            </w:r>
          </w:p>
        </w:tc>
        <w:tc>
          <w:tcPr>
            <w:tcW w:w="1361" w:type="dxa"/>
            <w:vAlign w:val="center"/>
          </w:tcPr>
          <w:p>
            <w:pPr>
              <w:pStyle w:val="单元格样式4"/>
            </w:pPr>
            <w:r>
              <w:t xml:space="preserve">283.14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100.00</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6.80</w:t>
            </w:r>
          </w:p>
        </w:tc>
        <w:tc>
          <w:tcPr>
            <w:tcW w:w="1361" w:type="dxa"/>
            <w:vAlign w:val="center"/>
          </w:tcPr>
          <w:p>
            <w:pPr>
              <w:pStyle w:val="单元格样式4"/>
            </w:pPr>
            <w:r>
              <w:t xml:space="preserve">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6.80</w:t>
            </w:r>
          </w:p>
        </w:tc>
        <w:tc>
          <w:tcPr>
            <w:tcW w:w="1361" w:type="dxa"/>
            <w:vAlign w:val="center"/>
          </w:tcPr>
          <w:p>
            <w:pPr>
              <w:pStyle w:val="单元格样式4"/>
            </w:pPr>
            <w:r>
              <w:t xml:space="preserve">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141.54</w:t>
            </w:r>
          </w:p>
        </w:tc>
        <w:tc>
          <w:tcPr>
            <w:tcW w:w="1361" w:type="dxa"/>
            <w:vAlign w:val="center"/>
          </w:tcPr>
          <w:p>
            <w:pPr>
              <w:pStyle w:val="单元格样式4"/>
            </w:pPr>
            <w:r>
              <w:t xml:space="preserve">141.54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141.54</w:t>
            </w:r>
          </w:p>
        </w:tc>
        <w:tc>
          <w:tcPr>
            <w:tcW w:w="1361" w:type="dxa"/>
            <w:vAlign w:val="center"/>
          </w:tcPr>
          <w:p>
            <w:pPr>
              <w:pStyle w:val="单元格样式4"/>
            </w:pPr>
            <w:r>
              <w:t xml:space="preserve">141.54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93.91</w:t>
            </w:r>
          </w:p>
        </w:tc>
        <w:tc>
          <w:tcPr>
            <w:tcW w:w="1361" w:type="dxa"/>
            <w:vAlign w:val="center"/>
          </w:tcPr>
          <w:p>
            <w:pPr>
              <w:pStyle w:val="单元格样式4"/>
            </w:pPr>
            <w:r>
              <w:t xml:space="preserve">93.91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47.63</w:t>
            </w:r>
          </w:p>
        </w:tc>
        <w:tc>
          <w:tcPr>
            <w:tcW w:w="1361" w:type="dxa"/>
            <w:vAlign w:val="center"/>
          </w:tcPr>
          <w:p>
            <w:pPr>
              <w:pStyle w:val="单元格样式4"/>
            </w:pPr>
            <w:r>
              <w:t xml:space="preserve">47.63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215</w:t>
            </w:r>
          </w:p>
        </w:tc>
        <w:tc>
          <w:tcPr>
            <w:tcW w:w="4535" w:type="dxa"/>
            <w:vAlign w:val="center"/>
          </w:tcPr>
          <w:p>
            <w:pPr>
              <w:pStyle w:val="单元格样式2"/>
            </w:pPr>
            <w:r>
              <w:t xml:space="preserve">资源勘探工业信息等支出</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21502</w:t>
            </w:r>
          </w:p>
        </w:tc>
        <w:tc>
          <w:tcPr>
            <w:tcW w:w="4535" w:type="dxa"/>
            <w:vAlign w:val="center"/>
          </w:tcPr>
          <w:p>
            <w:pPr>
              <w:pStyle w:val="单元格样式2"/>
            </w:pPr>
            <w:r>
              <w:t xml:space="preserve">制造业</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2150207</w:t>
            </w:r>
          </w:p>
        </w:tc>
        <w:tc>
          <w:tcPr>
            <w:tcW w:w="4535" w:type="dxa"/>
            <w:vAlign w:val="center"/>
          </w:tcPr>
          <w:p>
            <w:pPr>
              <w:pStyle w:val="单元格样式2"/>
            </w:pPr>
            <w:r>
              <w:t xml:space="preserve">通信设备、计算机及其他电子设备制造业</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5009.21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3512.67</w:t>
            </w:r>
          </w:p>
        </w:tc>
        <w:tc>
          <w:tcPr>
            <w:tcW w:w="1474" w:type="dxa"/>
            <w:vAlign w:val="center"/>
          </w:tcPr>
          <w:p>
            <w:pPr>
              <w:pStyle w:val="单元格样式4"/>
            </w:pPr>
            <w:r>
              <w:t xml:space="preserve">3512.67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1109.86</w:t>
            </w:r>
          </w:p>
        </w:tc>
        <w:tc>
          <w:tcPr>
            <w:tcW w:w="1474" w:type="dxa"/>
            <w:vAlign w:val="center"/>
          </w:tcPr>
          <w:p>
            <w:pPr>
              <w:pStyle w:val="单元格样式4"/>
            </w:pPr>
            <w:r>
              <w:t xml:space="preserve">1109.86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141.54</w:t>
            </w:r>
          </w:p>
        </w:tc>
        <w:tc>
          <w:tcPr>
            <w:tcW w:w="1474" w:type="dxa"/>
            <w:vAlign w:val="center"/>
          </w:tcPr>
          <w:p>
            <w:pPr>
              <w:pStyle w:val="单元格样式4"/>
            </w:pPr>
            <w:r>
              <w:t xml:space="preserve">141.54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r>
              <w:t xml:space="preserve">18.55</w:t>
            </w:r>
          </w:p>
        </w:tc>
        <w:tc>
          <w:tcPr>
            <w:tcW w:w="1474" w:type="dxa"/>
            <w:vAlign w:val="center"/>
          </w:tcPr>
          <w:p>
            <w:pPr>
              <w:pStyle w:val="单元格样式4"/>
            </w:pPr>
            <w:r>
              <w:t xml:space="preserve">18.55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245.14</w:t>
            </w:r>
          </w:p>
        </w:tc>
        <w:tc>
          <w:tcPr>
            <w:tcW w:w="1474" w:type="dxa"/>
            <w:vAlign w:val="center"/>
          </w:tcPr>
          <w:p>
            <w:pPr>
              <w:pStyle w:val="单元格样式4"/>
            </w:pPr>
            <w:r>
              <w:t xml:space="preserve">245.14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5009.21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5027.76</w:t>
            </w:r>
          </w:p>
        </w:tc>
        <w:tc>
          <w:tcPr>
            <w:tcW w:w="1474" w:type="dxa"/>
            <w:vAlign w:val="center"/>
          </w:tcPr>
          <w:p>
            <w:pPr>
              <w:pStyle w:val="单元格样式7"/>
            </w:pPr>
            <w:r>
              <w:t xml:space="preserve">5027.76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18.55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18.55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5027.76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5027.76</w:t>
            </w:r>
          </w:p>
        </w:tc>
        <w:tc>
          <w:tcPr>
            <w:tcW w:w="1474" w:type="dxa"/>
            <w:vAlign w:val="center"/>
          </w:tcPr>
          <w:p>
            <w:pPr>
              <w:pStyle w:val="单元格样式7"/>
            </w:pPr>
            <w:r>
              <w:t xml:space="preserve">5027.76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5027.76</w:t>
            </w:r>
          </w:p>
        </w:tc>
        <w:tc>
          <w:tcPr>
            <w:tcW w:w="2551" w:type="dxa"/>
            <w:vAlign w:val="center"/>
          </w:tcPr>
          <w:p>
            <w:pPr>
              <w:pStyle w:val="单元格样式7"/>
            </w:pPr>
            <w:r>
              <w:t xml:space="preserve">4210.36</w:t>
            </w:r>
          </w:p>
        </w:tc>
        <w:tc>
          <w:tcPr>
            <w:tcW w:w="2551" w:type="dxa"/>
            <w:vAlign w:val="center"/>
          </w:tcPr>
          <w:p>
            <w:pPr>
              <w:pStyle w:val="单元格样式7"/>
            </w:pPr>
            <w:r>
              <w:t xml:space="preserve">817.40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3512.67</w:t>
            </w:r>
          </w:p>
        </w:tc>
        <w:tc>
          <w:tcPr>
            <w:tcW w:w="2551" w:type="dxa"/>
            <w:vAlign w:val="center"/>
          </w:tcPr>
          <w:p>
            <w:pPr>
              <w:pStyle w:val="单元格样式4"/>
            </w:pPr>
            <w:r>
              <w:t xml:space="preserve">2713.82</w:t>
            </w:r>
          </w:p>
        </w:tc>
        <w:tc>
          <w:tcPr>
            <w:tcW w:w="2551" w:type="dxa"/>
            <w:vAlign w:val="center"/>
          </w:tcPr>
          <w:p>
            <w:pPr>
              <w:pStyle w:val="单元格样式4"/>
            </w:pPr>
            <w:r>
              <w:t xml:space="preserve">798.85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3512.67</w:t>
            </w:r>
          </w:p>
        </w:tc>
        <w:tc>
          <w:tcPr>
            <w:tcW w:w="2551" w:type="dxa"/>
            <w:vAlign w:val="center"/>
          </w:tcPr>
          <w:p>
            <w:pPr>
              <w:pStyle w:val="单元格样式4"/>
            </w:pPr>
            <w:r>
              <w:t xml:space="preserve">2713.82</w:t>
            </w:r>
          </w:p>
        </w:tc>
        <w:tc>
          <w:tcPr>
            <w:tcW w:w="2551" w:type="dxa"/>
            <w:vAlign w:val="center"/>
          </w:tcPr>
          <w:p>
            <w:pPr>
              <w:pStyle w:val="单元格样式4"/>
            </w:pPr>
            <w:r>
              <w:t xml:space="preserve">798.85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2713.82</w:t>
            </w:r>
          </w:p>
        </w:tc>
        <w:tc>
          <w:tcPr>
            <w:tcW w:w="2551" w:type="dxa"/>
            <w:vAlign w:val="center"/>
          </w:tcPr>
          <w:p>
            <w:pPr>
              <w:pStyle w:val="单元格样式4"/>
            </w:pPr>
            <w:r>
              <w:t xml:space="preserve">2713.82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685.60</w:t>
            </w:r>
          </w:p>
        </w:tc>
        <w:tc>
          <w:tcPr>
            <w:tcW w:w="2551" w:type="dxa"/>
            <w:vAlign w:val="center"/>
          </w:tcPr>
          <w:p>
            <w:pPr>
              <w:pStyle w:val="单元格样式4"/>
            </w:pPr>
          </w:p>
        </w:tc>
        <w:tc>
          <w:tcPr>
            <w:tcW w:w="2551" w:type="dxa"/>
            <w:vAlign w:val="center"/>
          </w:tcPr>
          <w:p>
            <w:pPr>
              <w:pStyle w:val="单元格样式4"/>
            </w:pPr>
            <w:r>
              <w:t xml:space="preserve">685.60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2551" w:type="dxa"/>
            <w:vAlign w:val="center"/>
          </w:tcPr>
          <w:p>
            <w:pPr>
              <w:pStyle w:val="单元格样式4"/>
            </w:pPr>
            <w:r>
              <w:t xml:space="preserve">82.25</w:t>
            </w:r>
          </w:p>
        </w:tc>
        <w:tc>
          <w:tcPr>
            <w:tcW w:w="2551" w:type="dxa"/>
            <w:vAlign w:val="center"/>
          </w:tcPr>
          <w:p>
            <w:pPr>
              <w:pStyle w:val="单元格样式4"/>
            </w:pPr>
          </w:p>
        </w:tc>
        <w:tc>
          <w:tcPr>
            <w:tcW w:w="2551" w:type="dxa"/>
            <w:vAlign w:val="center"/>
          </w:tcPr>
          <w:p>
            <w:pPr>
              <w:pStyle w:val="单元格样式4"/>
            </w:pPr>
            <w:r>
              <w:t xml:space="preserve">82.25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2010899</w:t>
            </w:r>
          </w:p>
        </w:tc>
        <w:tc>
          <w:tcPr>
            <w:tcW w:w="4535" w:type="dxa"/>
            <w:vAlign w:val="center"/>
          </w:tcPr>
          <w:p>
            <w:pPr>
              <w:pStyle w:val="单元格样式2"/>
            </w:pPr>
            <w:r>
              <w:t xml:space="preserve">其他审计事务支出</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1109.86</w:t>
            </w:r>
          </w:p>
        </w:tc>
        <w:tc>
          <w:tcPr>
            <w:tcW w:w="2551" w:type="dxa"/>
            <w:vAlign w:val="center"/>
          </w:tcPr>
          <w:p>
            <w:pPr>
              <w:pStyle w:val="单元格样式4"/>
            </w:pPr>
            <w:r>
              <w:t xml:space="preserve">1109.86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1103.06</w:t>
            </w:r>
          </w:p>
        </w:tc>
        <w:tc>
          <w:tcPr>
            <w:tcW w:w="2551" w:type="dxa"/>
            <w:vAlign w:val="center"/>
          </w:tcPr>
          <w:p>
            <w:pPr>
              <w:pStyle w:val="单元格样式4"/>
            </w:pPr>
            <w:r>
              <w:t xml:space="preserve">1103.06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719.92</w:t>
            </w:r>
          </w:p>
        </w:tc>
        <w:tc>
          <w:tcPr>
            <w:tcW w:w="2551" w:type="dxa"/>
            <w:vAlign w:val="center"/>
          </w:tcPr>
          <w:p>
            <w:pPr>
              <w:pStyle w:val="单元格样式4"/>
            </w:pPr>
            <w:r>
              <w:t xml:space="preserve">719.92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283.14</w:t>
            </w:r>
          </w:p>
        </w:tc>
        <w:tc>
          <w:tcPr>
            <w:tcW w:w="2551" w:type="dxa"/>
            <w:vAlign w:val="center"/>
          </w:tcPr>
          <w:p>
            <w:pPr>
              <w:pStyle w:val="单元格样式4"/>
            </w:pPr>
            <w:r>
              <w:t xml:space="preserve">283.14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141.54</w:t>
            </w:r>
          </w:p>
        </w:tc>
        <w:tc>
          <w:tcPr>
            <w:tcW w:w="2551" w:type="dxa"/>
            <w:vAlign w:val="center"/>
          </w:tcPr>
          <w:p>
            <w:pPr>
              <w:pStyle w:val="单元格样式4"/>
            </w:pPr>
            <w:r>
              <w:t xml:space="preserve">141.54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141.54</w:t>
            </w:r>
          </w:p>
        </w:tc>
        <w:tc>
          <w:tcPr>
            <w:tcW w:w="2551" w:type="dxa"/>
            <w:vAlign w:val="center"/>
          </w:tcPr>
          <w:p>
            <w:pPr>
              <w:pStyle w:val="单元格样式4"/>
            </w:pPr>
            <w:r>
              <w:t xml:space="preserve">141.54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93.91</w:t>
            </w:r>
          </w:p>
        </w:tc>
        <w:tc>
          <w:tcPr>
            <w:tcW w:w="2551" w:type="dxa"/>
            <w:vAlign w:val="center"/>
          </w:tcPr>
          <w:p>
            <w:pPr>
              <w:pStyle w:val="单元格样式4"/>
            </w:pPr>
            <w:r>
              <w:t xml:space="preserve">93.91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47.63</w:t>
            </w:r>
          </w:p>
        </w:tc>
        <w:tc>
          <w:tcPr>
            <w:tcW w:w="2551" w:type="dxa"/>
            <w:vAlign w:val="center"/>
          </w:tcPr>
          <w:p>
            <w:pPr>
              <w:pStyle w:val="单元格样式4"/>
            </w:pPr>
            <w:r>
              <w:t xml:space="preserve">47.63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215</w:t>
            </w:r>
          </w:p>
        </w:tc>
        <w:tc>
          <w:tcPr>
            <w:tcW w:w="4535" w:type="dxa"/>
            <w:vAlign w:val="center"/>
          </w:tcPr>
          <w:p>
            <w:pPr>
              <w:pStyle w:val="单元格样式2"/>
            </w:pPr>
            <w:r>
              <w:t xml:space="preserve">资源勘探工业信息等支出</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21502</w:t>
            </w:r>
          </w:p>
        </w:tc>
        <w:tc>
          <w:tcPr>
            <w:tcW w:w="4535" w:type="dxa"/>
            <w:vAlign w:val="center"/>
          </w:tcPr>
          <w:p>
            <w:pPr>
              <w:pStyle w:val="单元格样式2"/>
            </w:pPr>
            <w:r>
              <w:t xml:space="preserve">制造业</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2150207</w:t>
            </w:r>
          </w:p>
        </w:tc>
        <w:tc>
          <w:tcPr>
            <w:tcW w:w="4535" w:type="dxa"/>
            <w:vAlign w:val="center"/>
          </w:tcPr>
          <w:p>
            <w:pPr>
              <w:pStyle w:val="单元格样式2"/>
            </w:pPr>
            <w:r>
              <w:t xml:space="preserve">通信设备、计算机及其他电子设备制造业</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4210.36</w:t>
            </w:r>
          </w:p>
        </w:tc>
        <w:tc>
          <w:tcPr>
            <w:tcW w:w="2551" w:type="dxa"/>
            <w:vAlign w:val="center"/>
          </w:tcPr>
          <w:p>
            <w:pPr>
              <w:pStyle w:val="单元格样式7"/>
            </w:pPr>
            <w:r>
              <w:t xml:space="preserve">3867.68</w:t>
            </w:r>
          </w:p>
        </w:tc>
        <w:tc>
          <w:tcPr>
            <w:tcW w:w="2551" w:type="dxa"/>
            <w:vAlign w:val="center"/>
          </w:tcPr>
          <w:p>
            <w:pPr>
              <w:pStyle w:val="单元格样式7"/>
            </w:pPr>
            <w:r>
              <w:t xml:space="preserve">342.68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3090.09</w:t>
            </w:r>
          </w:p>
        </w:tc>
        <w:tc>
          <w:tcPr>
            <w:tcW w:w="2551" w:type="dxa"/>
            <w:vAlign w:val="center"/>
          </w:tcPr>
          <w:p>
            <w:pPr>
              <w:pStyle w:val="单元格样式4"/>
            </w:pPr>
            <w:r>
              <w:t xml:space="preserve">3090.09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820.92</w:t>
            </w:r>
          </w:p>
        </w:tc>
        <w:tc>
          <w:tcPr>
            <w:tcW w:w="2551" w:type="dxa"/>
            <w:vAlign w:val="center"/>
          </w:tcPr>
          <w:p>
            <w:pPr>
              <w:pStyle w:val="单元格样式4"/>
            </w:pPr>
            <w:r>
              <w:t xml:space="preserve">820.92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550.51</w:t>
            </w:r>
          </w:p>
        </w:tc>
        <w:tc>
          <w:tcPr>
            <w:tcW w:w="2551" w:type="dxa"/>
            <w:vAlign w:val="center"/>
          </w:tcPr>
          <w:p>
            <w:pPr>
              <w:pStyle w:val="单元格样式4"/>
            </w:pPr>
            <w:r>
              <w:t xml:space="preserve">550.51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576.67</w:t>
            </w:r>
          </w:p>
        </w:tc>
        <w:tc>
          <w:tcPr>
            <w:tcW w:w="2551" w:type="dxa"/>
            <w:vAlign w:val="center"/>
          </w:tcPr>
          <w:p>
            <w:pPr>
              <w:pStyle w:val="单元格样式4"/>
            </w:pPr>
            <w:r>
              <w:t xml:space="preserve">576.67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238.12</w:t>
            </w:r>
          </w:p>
        </w:tc>
        <w:tc>
          <w:tcPr>
            <w:tcW w:w="2551" w:type="dxa"/>
            <w:vAlign w:val="center"/>
          </w:tcPr>
          <w:p>
            <w:pPr>
              <w:pStyle w:val="单元格样式4"/>
            </w:pPr>
            <w:r>
              <w:t xml:space="preserve">238.12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283.14</w:t>
            </w:r>
          </w:p>
        </w:tc>
        <w:tc>
          <w:tcPr>
            <w:tcW w:w="2551" w:type="dxa"/>
            <w:vAlign w:val="center"/>
          </w:tcPr>
          <w:p>
            <w:pPr>
              <w:pStyle w:val="单元格样式4"/>
            </w:pPr>
            <w:r>
              <w:t xml:space="preserve">283.14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93.91</w:t>
            </w:r>
          </w:p>
        </w:tc>
        <w:tc>
          <w:tcPr>
            <w:tcW w:w="2551" w:type="dxa"/>
            <w:vAlign w:val="center"/>
          </w:tcPr>
          <w:p>
            <w:pPr>
              <w:pStyle w:val="单元格样式4"/>
            </w:pPr>
            <w:r>
              <w:t xml:space="preserve">93.91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47.63</w:t>
            </w:r>
          </w:p>
        </w:tc>
        <w:tc>
          <w:tcPr>
            <w:tcW w:w="2551" w:type="dxa"/>
            <w:vAlign w:val="center"/>
          </w:tcPr>
          <w:p>
            <w:pPr>
              <w:pStyle w:val="单元格样式4"/>
            </w:pPr>
            <w:r>
              <w:t xml:space="preserve">47.63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127.25</w:t>
            </w:r>
          </w:p>
        </w:tc>
        <w:tc>
          <w:tcPr>
            <w:tcW w:w="2551" w:type="dxa"/>
            <w:vAlign w:val="center"/>
          </w:tcPr>
          <w:p>
            <w:pPr>
              <w:pStyle w:val="单元格样式4"/>
            </w:pPr>
            <w:r>
              <w:t xml:space="preserve">127.25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342.68</w:t>
            </w:r>
          </w:p>
        </w:tc>
        <w:tc>
          <w:tcPr>
            <w:tcW w:w="2551" w:type="dxa"/>
            <w:vAlign w:val="center"/>
          </w:tcPr>
          <w:p>
            <w:pPr>
              <w:pStyle w:val="单元格样式4"/>
            </w:pPr>
          </w:p>
        </w:tc>
        <w:tc>
          <w:tcPr>
            <w:tcW w:w="2551" w:type="dxa"/>
            <w:vAlign w:val="center"/>
          </w:tcPr>
          <w:p>
            <w:pPr>
              <w:pStyle w:val="单元格样式4"/>
            </w:pPr>
            <w:r>
              <w:t xml:space="preserve">342.68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36.24</w:t>
            </w:r>
          </w:p>
        </w:tc>
        <w:tc>
          <w:tcPr>
            <w:tcW w:w="2551" w:type="dxa"/>
            <w:vAlign w:val="center"/>
          </w:tcPr>
          <w:p>
            <w:pPr>
              <w:pStyle w:val="单元格样式4"/>
            </w:pPr>
          </w:p>
        </w:tc>
        <w:tc>
          <w:tcPr>
            <w:tcW w:w="2551" w:type="dxa"/>
            <w:vAlign w:val="center"/>
          </w:tcPr>
          <w:p>
            <w:pPr>
              <w:pStyle w:val="单元格样式4"/>
            </w:pPr>
            <w:r>
              <w:t xml:space="preserve">36.24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80.25</w:t>
            </w:r>
          </w:p>
        </w:tc>
        <w:tc>
          <w:tcPr>
            <w:tcW w:w="2551" w:type="dxa"/>
            <w:vAlign w:val="center"/>
          </w:tcPr>
          <w:p>
            <w:pPr>
              <w:pStyle w:val="单元格样式4"/>
            </w:pPr>
          </w:p>
        </w:tc>
        <w:tc>
          <w:tcPr>
            <w:tcW w:w="2551" w:type="dxa"/>
            <w:vAlign w:val="center"/>
          </w:tcPr>
          <w:p>
            <w:pPr>
              <w:pStyle w:val="单元格样式4"/>
            </w:pPr>
            <w:r>
              <w:t xml:space="preserve">80.25</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34.00</w:t>
            </w:r>
          </w:p>
        </w:tc>
        <w:tc>
          <w:tcPr>
            <w:tcW w:w="2551" w:type="dxa"/>
            <w:vAlign w:val="center"/>
          </w:tcPr>
          <w:p>
            <w:pPr>
              <w:pStyle w:val="单元格样式4"/>
            </w:pPr>
          </w:p>
        </w:tc>
        <w:tc>
          <w:tcPr>
            <w:tcW w:w="2551" w:type="dxa"/>
            <w:vAlign w:val="center"/>
          </w:tcPr>
          <w:p>
            <w:pPr>
              <w:pStyle w:val="单元格样式4"/>
            </w:pPr>
            <w:r>
              <w:t xml:space="preserve">34.00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3.63</w:t>
            </w:r>
          </w:p>
        </w:tc>
        <w:tc>
          <w:tcPr>
            <w:tcW w:w="2551" w:type="dxa"/>
            <w:vAlign w:val="center"/>
          </w:tcPr>
          <w:p>
            <w:pPr>
              <w:pStyle w:val="单元格样式4"/>
            </w:pPr>
          </w:p>
        </w:tc>
        <w:tc>
          <w:tcPr>
            <w:tcW w:w="2551" w:type="dxa"/>
            <w:vAlign w:val="center"/>
          </w:tcPr>
          <w:p>
            <w:pPr>
              <w:pStyle w:val="单元格样式4"/>
            </w:pPr>
            <w:r>
              <w:t xml:space="preserve">3.63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8.24</w:t>
            </w:r>
          </w:p>
        </w:tc>
        <w:tc>
          <w:tcPr>
            <w:tcW w:w="2551" w:type="dxa"/>
            <w:vAlign w:val="center"/>
          </w:tcPr>
          <w:p>
            <w:pPr>
              <w:pStyle w:val="单元格样式4"/>
            </w:pPr>
          </w:p>
        </w:tc>
        <w:tc>
          <w:tcPr>
            <w:tcW w:w="2551" w:type="dxa"/>
            <w:vAlign w:val="center"/>
          </w:tcPr>
          <w:p>
            <w:pPr>
              <w:pStyle w:val="单元格样式4"/>
            </w:pPr>
            <w:r>
              <w:t xml:space="preserve">8.24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2.20</w:t>
            </w:r>
          </w:p>
        </w:tc>
        <w:tc>
          <w:tcPr>
            <w:tcW w:w="2551" w:type="dxa"/>
            <w:vAlign w:val="center"/>
          </w:tcPr>
          <w:p>
            <w:pPr>
              <w:pStyle w:val="单元格样式4"/>
            </w:pPr>
          </w:p>
        </w:tc>
        <w:tc>
          <w:tcPr>
            <w:tcW w:w="2551" w:type="dxa"/>
            <w:vAlign w:val="center"/>
          </w:tcPr>
          <w:p>
            <w:pPr>
              <w:pStyle w:val="单元格样式4"/>
            </w:pPr>
            <w:r>
              <w:t xml:space="preserve">2.20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27.20</w:t>
            </w:r>
          </w:p>
        </w:tc>
        <w:tc>
          <w:tcPr>
            <w:tcW w:w="2551" w:type="dxa"/>
            <w:vAlign w:val="center"/>
          </w:tcPr>
          <w:p>
            <w:pPr>
              <w:pStyle w:val="单元格样式4"/>
            </w:pPr>
          </w:p>
        </w:tc>
        <w:tc>
          <w:tcPr>
            <w:tcW w:w="2551" w:type="dxa"/>
            <w:vAlign w:val="center"/>
          </w:tcPr>
          <w:p>
            <w:pPr>
              <w:pStyle w:val="单元格样式4"/>
            </w:pPr>
            <w:r>
              <w:t xml:space="preserve">27.20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8.92</w:t>
            </w:r>
          </w:p>
        </w:tc>
        <w:tc>
          <w:tcPr>
            <w:tcW w:w="2551" w:type="dxa"/>
            <w:vAlign w:val="center"/>
          </w:tcPr>
          <w:p>
            <w:pPr>
              <w:pStyle w:val="单元格样式4"/>
            </w:pPr>
          </w:p>
        </w:tc>
        <w:tc>
          <w:tcPr>
            <w:tcW w:w="2551" w:type="dxa"/>
            <w:vAlign w:val="center"/>
          </w:tcPr>
          <w:p>
            <w:pPr>
              <w:pStyle w:val="单元格样式4"/>
            </w:pPr>
            <w:r>
              <w:t xml:space="preserve">8.92</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99.88</w:t>
            </w:r>
          </w:p>
        </w:tc>
        <w:tc>
          <w:tcPr>
            <w:tcW w:w="2551" w:type="dxa"/>
            <w:vAlign w:val="center"/>
          </w:tcPr>
          <w:p>
            <w:pPr>
              <w:pStyle w:val="单元格样式4"/>
            </w:pPr>
          </w:p>
        </w:tc>
        <w:tc>
          <w:tcPr>
            <w:tcW w:w="2551" w:type="dxa"/>
            <w:vAlign w:val="center"/>
          </w:tcPr>
          <w:p>
            <w:pPr>
              <w:pStyle w:val="单元格样式4"/>
            </w:pPr>
            <w:r>
              <w:t xml:space="preserve">99.88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42.12</w:t>
            </w:r>
          </w:p>
        </w:tc>
        <w:tc>
          <w:tcPr>
            <w:tcW w:w="2551" w:type="dxa"/>
            <w:vAlign w:val="center"/>
          </w:tcPr>
          <w:p>
            <w:pPr>
              <w:pStyle w:val="单元格样式4"/>
            </w:pPr>
          </w:p>
        </w:tc>
        <w:tc>
          <w:tcPr>
            <w:tcW w:w="2551" w:type="dxa"/>
            <w:vAlign w:val="center"/>
          </w:tcPr>
          <w:p>
            <w:pPr>
              <w:pStyle w:val="单元格样式4"/>
            </w:pPr>
            <w:r>
              <w:t xml:space="preserve">42.12</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777.59</w:t>
            </w:r>
          </w:p>
        </w:tc>
        <w:tc>
          <w:tcPr>
            <w:tcW w:w="2551" w:type="dxa"/>
            <w:vAlign w:val="center"/>
          </w:tcPr>
          <w:p>
            <w:pPr>
              <w:pStyle w:val="单元格样式4"/>
            </w:pPr>
            <w:r>
              <w:t xml:space="preserve">777.59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719.92</w:t>
            </w:r>
          </w:p>
        </w:tc>
        <w:tc>
          <w:tcPr>
            <w:tcW w:w="2551" w:type="dxa"/>
            <w:vAlign w:val="center"/>
          </w:tcPr>
          <w:p>
            <w:pPr>
              <w:pStyle w:val="单元格样式4"/>
            </w:pPr>
            <w:r>
              <w:t xml:space="preserve">719.92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6.61</w:t>
            </w:r>
          </w:p>
        </w:tc>
        <w:tc>
          <w:tcPr>
            <w:tcW w:w="2551" w:type="dxa"/>
            <w:vAlign w:val="center"/>
          </w:tcPr>
          <w:p>
            <w:pPr>
              <w:pStyle w:val="单元格样式4"/>
            </w:pPr>
            <w:r>
              <w:t xml:space="preserve">6.61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29.12</w:t>
            </w:r>
          </w:p>
        </w:tc>
        <w:tc>
          <w:tcPr>
            <w:tcW w:w="2381" w:type="dxa"/>
            <w:vAlign w:val="center"/>
          </w:tcPr>
          <w:p>
            <w:pPr>
              <w:pStyle w:val="单元格样式7"/>
            </w:pPr>
            <w:r>
              <w:t xml:space="preserve">29.12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26.92</w:t>
            </w:r>
          </w:p>
        </w:tc>
        <w:tc>
          <w:tcPr>
            <w:tcW w:w="2381" w:type="dxa"/>
            <w:vAlign w:val="center"/>
          </w:tcPr>
          <w:p>
            <w:pPr>
              <w:pStyle w:val="单元格样式4"/>
            </w:pPr>
            <w:r>
              <w:t xml:space="preserve">26.92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r>
              <w:t xml:space="preserve">18.00</w:t>
            </w:r>
          </w:p>
        </w:tc>
        <w:tc>
          <w:tcPr>
            <w:tcW w:w="2381" w:type="dxa"/>
            <w:vAlign w:val="center"/>
          </w:tcPr>
          <w:p>
            <w:pPr>
              <w:pStyle w:val="单元格样式4"/>
            </w:pPr>
            <w:r>
              <w:t xml:space="preserve">18.00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8.92</w:t>
            </w:r>
          </w:p>
        </w:tc>
        <w:tc>
          <w:tcPr>
            <w:tcW w:w="2381" w:type="dxa"/>
            <w:vAlign w:val="center"/>
          </w:tcPr>
          <w:p>
            <w:pPr>
              <w:pStyle w:val="单元格样式4"/>
            </w:pPr>
            <w:r>
              <w:t xml:space="preserve">8.92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2.20</w:t>
            </w:r>
          </w:p>
        </w:tc>
        <w:tc>
          <w:tcPr>
            <w:tcW w:w="2381" w:type="dxa"/>
            <w:vAlign w:val="center"/>
          </w:tcPr>
          <w:p>
            <w:pPr>
              <w:pStyle w:val="单元格样式4"/>
            </w:pPr>
            <w:r>
              <w:t xml:space="preserve">2.20</w:t>
            </w: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石家庄市审计局2026年部门预算信息公开情况说明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石家庄市审计局2026年部门预算信息公开情况说明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按照《中华人民共和国预算法》、《地方预决算公开操作规程》和《关于进一步推进预算公开工作的实施意见》规定，现将石家庄市审计局2026年部门预算公开如下：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坚持以习近平新时代中国特色社会主义思想为指导，全面贯彻党的二十大和二十届历次会议精神，全面落实习近平总书记关于审计工作的重要讲话和重要指示批示精神，解放思想、锐意进取，锚定市委市政府中心工作，依法全面履行审计监督职能，为加快建设现代化、国际化美丽省会城市提供审计保障。</w:t>
      </w:r>
    </w:p>
    <w:p>
      <w:pPr>
        <w:pStyle w:val="插入文本样式-插入总体目标文件"/>
      </w:pPr>
      <w:r>
        <w:t xml:space="preserve">——组织研究全市审计工作2026 年重大事项、工作和改革试点等；</w:t>
      </w:r>
    </w:p>
    <w:p>
      <w:pPr>
        <w:pStyle w:val="插入文本样式-插入总体目标文件"/>
      </w:pPr>
      <w:r>
        <w:t xml:space="preserve">——科学合理制定2026 年审计项目计划，审计项目数量达到50 个以上；</w:t>
      </w:r>
    </w:p>
    <w:p>
      <w:pPr>
        <w:pStyle w:val="插入文本样式-插入总体目标文件"/>
      </w:pPr>
      <w:r>
        <w:t xml:space="preserve">——提出助力全省经济高质量发展、促进被审计单位彻底整改、杜绝屡查屡犯问题等建议，审计要情专报2个以上。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1、聚焦主责主业，忠实履职尽责，全力彰显审计监督硬核担当</w:t>
      </w:r>
    </w:p>
    <w:p>
      <w:pPr>
        <w:pStyle w:val="插入文本样式-插入职责分类绩效目标文件"/>
      </w:pPr>
      <w:r>
        <w:t xml:space="preserve">绩效目标：紧紧围绕全市中心工作，加大审计监督力度，提升审计监督质效，推动市委、市政府各项工作要求落地落实；强化统筹谋划，确保审计计划有效执行，树立审计工作全国“一盘棋”理念，创新审计管理方式和组织方式，推动审计项目的深度融合和“两统筹”；积极构建审计机关审计与被审计单位内审自查自纠相结合的工作机制，监督内部审计职责履行情况，检查内部审计业务质量；优化资源配置，通过向社会购买服务等多种方式，合理运用内部审计和社会审计力量，形成审计监督合力。</w:t>
      </w:r>
    </w:p>
    <w:p>
      <w:pPr>
        <w:pStyle w:val="插入文本样式-插入职责分类绩效目标文件"/>
      </w:pPr>
      <w:r>
        <w:t xml:space="preserve">绩效指标：审计项目数量达到50个以上。</w:t>
      </w:r>
    </w:p>
    <w:p>
      <w:pPr>
        <w:pStyle w:val="插入文本样式-插入职责分类绩效目标文件"/>
      </w:pPr>
      <w:r>
        <w:t xml:space="preserve">2、坚持守正创新，推进体质增效，全力激活审计事业发展新动能</w:t>
      </w:r>
    </w:p>
    <w:p>
      <w:pPr>
        <w:pStyle w:val="插入文本样式-插入职责分类绩效目标文件"/>
      </w:pPr>
      <w:r>
        <w:t xml:space="preserve">绩效目标：以“科学规范提升年”行动为契机，持续加强审计质量控制，不断提升审计工作的科学化、规范化水平。</w:t>
      </w:r>
    </w:p>
    <w:p>
      <w:pPr>
        <w:pStyle w:val="插入文本样式-插入职责分类绩效目标文件"/>
      </w:pPr>
      <w:r>
        <w:t xml:space="preserve">绩效指标：审计计划完成率达到100%，审计通知书按时送达，审计底稿取证合规，审计报告全部征求意见，审计档案及时归档。</w:t>
      </w:r>
    </w:p>
    <w:p>
      <w:pPr>
        <w:pStyle w:val="插入文本样式-插入职责分类绩效目标文件"/>
      </w:pPr>
      <w:r>
        <w:t xml:space="preserve">3、深耕数字赋能促变革，科技强审实现新突破</w:t>
      </w:r>
    </w:p>
    <w:p>
      <w:pPr>
        <w:pStyle w:val="插入文本样式-插入职责分类绩效目标文件"/>
      </w:pPr>
      <w:r>
        <w:t xml:space="preserve">绩效目标：以“金审三期”建设为抓手，持续推动大数据技术与审计业务深度融合，不断提升审计监督穿透力与靶向性。积通过数字化审计方式进行“集中分析、系统研究、发现疑点、分散核实、精准定位”，强化审计分析研究，提升审计效能，防范审计风险；保障审计系统安全运行，保障联网安全通畅，分析数据存储安全、有效应用，推动全市审计信息化建设健康发展。</w:t>
      </w:r>
    </w:p>
    <w:p>
      <w:pPr>
        <w:pStyle w:val="插入文本样式-插入职责分类绩效目标文件"/>
      </w:pPr>
      <w:r>
        <w:t xml:space="preserve">绩效指标：系统运行无故障率达到95%以上，根据审计业务需求新增、修改、删除后数据分析模型的保有量30个以上，预算单位数据采集率达到98%以上，数据转换率达到100%。</w:t>
      </w:r>
    </w:p>
    <w:p>
      <w:pPr>
        <w:pStyle w:val="插入文本样式-插入职责分类绩效目标文件"/>
      </w:pPr>
      <w:r>
        <w:t xml:space="preserve">4、狠抓整改提质增效，闭环管理做实做优</w:t>
      </w:r>
    </w:p>
    <w:p>
      <w:pPr>
        <w:pStyle w:val="插入文本样式-插入职责分类绩效目标文件"/>
      </w:pPr>
      <w:r>
        <w:t xml:space="preserve">绩效目标：坚持“揭示问题”与“整改落实”并重，健全审计整改闭环管理机制，推动审计整改取得实效，加强与纪检监察等部门常态化对接，重点把握审计移送标准，准确界定问题性质，固化取证支撑，提升线索成案率，切实发挥审计反腐利剑作用。</w:t>
      </w:r>
    </w:p>
    <w:p>
      <w:pPr>
        <w:pStyle w:val="插入文本样式-插入职责分类绩效目标文件"/>
      </w:pPr>
      <w:r>
        <w:t xml:space="preserve">绩效指标：审计问题整改率达到85%以上，移送重大案件线索和事项的数量达到5项以上。</w:t>
      </w:r>
    </w:p>
    <w:p>
      <w:pPr>
        <w:pStyle w:val="插入文本样式-插入职责分类绩效目标文件"/>
      </w:pPr>
      <w:r>
        <w:t xml:space="preserve">5、坚持从严从实要求，狠抓机关建设和干部队伍培养</w:t>
      </w:r>
    </w:p>
    <w:p>
      <w:pPr>
        <w:pStyle w:val="插入文本样式-插入职责分类绩效目标文件"/>
      </w:pPr>
      <w:r>
        <w:t xml:space="preserve">绩效目标：加大宣传培训力度，强化运用党的创新理论武装头脑、指导实践、推动工作；加大专业技能培训，强化人才引进和实践锻炼，不断提升审计干部队伍素质，完成审计铁军的建设任务；保障办公环境相对稳定，延续对办公用房的租用，保障正常办公条件；对办公楼进行日常维修、维护，满足审计人员正常办公的需求。</w:t>
      </w:r>
    </w:p>
    <w:p>
      <w:pPr>
        <w:pStyle w:val="插入文本样式-插入职责分类绩效目标文件"/>
      </w:pPr>
      <w:r>
        <w:t xml:space="preserve">绩效指标：全面提升审计人员素质，保障受训人员合格率达到95%以上；办公用房的租赁保障办公时长达2026年一整年；办公楼日常维修能够满足正常办公的需求。</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1、完善制度建设</w:t>
      </w:r>
    </w:p>
    <w:p>
      <w:pPr>
        <w:pStyle w:val="插入文本样式-插入实现年度发展规划目标的保障措施文件"/>
      </w:pPr>
      <w:r>
        <w:t xml:space="preserve">由主管局长任组长，办公室、法规科、人事教育科、机关党委、内审科、整改科数据中心为成员，组成预算绩效工作领导小组。始终把预算绩效工作列入年度工作计划重点，将事前评估、目标管理、运行监控、绩效评价、结果应用等有效融入预算管理全过程。领导小组下设办公室，根据部门职责和项目特点，对照预算文本和设定的绩效目标，制定预算绩效管理具体工作方案，并对预算项目绩效目标和绩效指标的完成情况，进行绩效分析和评价，发现问题及时采取措施，明确责任主体，积极推动完成目标、指标。</w:t>
      </w:r>
    </w:p>
    <w:p>
      <w:pPr>
        <w:pStyle w:val="插入文本样式-插入实现年度发展规划目标的保障措施文件"/>
      </w:pPr>
      <w:r>
        <w:t xml:space="preserve">2、加强内部监督</w:t>
      </w:r>
    </w:p>
    <w:p>
      <w:pPr>
        <w:pStyle w:val="插入文本样式-插入实现年度发展规划目标的保障措施文件"/>
      </w:pPr>
      <w:r>
        <w:t xml:space="preserve">严格执行部门财务管理办法和部门资产管理暂行规定，坚持“统一领导、归口负责、分级管理、责任到人”的财物管理制度；强化内部控制，把资产管理与绩效管理有机结合起来，实现“定项目就要抓绩效”“有资金就要有绩效”，确保绩效与业务工作紧密衔接；设置专职资产管理员，资产购置严格执行“先有预算后支出”的规定，保证资产卡片及时录入、信</w:t>
      </w:r>
    </w:p>
    <w:p>
      <w:pPr>
        <w:pStyle w:val="插入文本样式-插入实现年度发展规划目标的保障措施文件"/>
      </w:pPr>
      <w:r>
        <w:t xml:space="preserve">息完整，定期组织资产清查和盘点，做到账实相符、账账相符；严格按程序审批已毁损或需报废资产。对绩效运行情况、重大支出、资产处置及其他重要经济业务事项经党组研究批准后执行，确保财政资金安全有效。</w:t>
      </w:r>
    </w:p>
    <w:p>
      <w:pPr>
        <w:pStyle w:val="插入文本样式-插入实现年度发展规划目标的保障措施文件"/>
      </w:pPr>
      <w:r>
        <w:t xml:space="preserve">3、加强支出管理</w:t>
      </w:r>
    </w:p>
    <w:p>
      <w:pPr>
        <w:pStyle w:val="插入文本样式-插入实现年度发展规划目标的保障措施文件"/>
      </w:pPr>
      <w:r>
        <w:t xml:space="preserve">优化部门预算支出结构，合理制定支出方式，及时启动预算项目，及时支付资金，加快履行政府采购程序，确保按照时间节点完成支付进度；严格绩效目标考核，更好地发挥财政资金使用效益。</w:t>
      </w:r>
    </w:p>
    <w:p>
      <w:pPr>
        <w:pStyle w:val="插入文本样式-插入实现年度发展规划目标的保障措施文件"/>
      </w:pPr>
      <w:r>
        <w:t xml:space="preserve">4、开展评价工作</w:t>
      </w:r>
    </w:p>
    <w:p>
      <w:pPr>
        <w:pStyle w:val="插入文本样式-插入实现年度发展规划目标的保障措施文件"/>
      </w:pPr>
      <w:r>
        <w:t xml:space="preserve">部门是项目绩效自评工作的责任主体，负责对整个自评工作的组织实施、具体安排、审查核实、总结评价，具体承担项目的各科、中心是项目支出绩效的直接责任主体，要对年度内承担的预算项目进行绩效评价，按要求提交绩效评价报告；局机关成立专门的绩效评价工作小组，对项目资金支出的经济性、效率性以及绩效目标的实现程度进行全方位评价，及时发现存在的问题，并研究解决对策；评价结果最大程度进行公开，通过法律、经济和行政手段，规范、管理和保障预算绩效工作有序推进，切实做到程序规范、方法合理、结果可信。</w:t>
      </w:r>
    </w:p>
    <w:p>
      <w:pPr>
        <w:pStyle w:val="插入文本样式-插入实现年度发展规划目标的保障措施文件"/>
      </w:pPr>
      <w:r>
        <w:t xml:space="preserve">5、加强能力建设</w:t>
      </w:r>
    </w:p>
    <w:p>
      <w:pPr>
        <w:pStyle w:val="插入文本样式-插入实现年度发展规划目标的保障措施文件"/>
      </w:pPr>
      <w:r>
        <w:t xml:space="preserve">通过专题培训、交流考察、集中培训、自我学习等多种形式，对绩效管理岗位上的人员进行业务培训和指导，加大预算绩效管理培训力度；注重运用互联网、自媒体等信息平台，扩大培训范围，树立绩效理念、熟悉绩效管理流程、掌握绩效评价方法、提升绩效管理能力；加大宣传力度，将预算绩效管理的成功经验和先进做法，进行重点宣传；强化“用</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钱必问效，无效必问责”的绩效管理理念，使绩效评价转化为自下而上的自觉行动。</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1、办公设备购置绩效目标表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13010026P00971210677Q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办公设备购置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用于购置设备、家具等，保障新增人员办公、办公环境升级、设备更新等需求，保障工作正常开展。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1.通过购置办公设备，满足设备更新、新增人员办公、办公环境升级需要，保障工作正常开展，提高履职效率。</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采购笔记本数量</w:t>
            </w:r>
          </w:p>
        </w:tc>
        <w:tc>
          <w:tcPr>
            <w:tcW w:w="5386" w:type="dxa"/>
            <w:vAlign w:val="center"/>
          </w:tcPr>
          <w:p>
            <w:pPr>
              <w:pStyle w:val="单元格样式2"/>
            </w:pPr>
            <w:r>
              <w:t xml:space="preserve">采购笔记本数量</w:t>
            </w:r>
          </w:p>
        </w:tc>
        <w:tc>
          <w:tcPr>
            <w:tcW w:w="2268" w:type="dxa"/>
            <w:vAlign w:val="center"/>
          </w:tcPr>
          <w:p>
            <w:pPr>
              <w:pStyle w:val="单元格样式2"/>
            </w:pPr>
            <w:r>
              <w:t xml:space="preserve">≤23台</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采购物品验收合格率</w:t>
            </w:r>
          </w:p>
        </w:tc>
        <w:tc>
          <w:tcPr>
            <w:tcW w:w="5386" w:type="dxa"/>
            <w:vAlign w:val="center"/>
          </w:tcPr>
          <w:p>
            <w:pPr>
              <w:pStyle w:val="单元格样式2"/>
            </w:pPr>
            <w:r>
              <w:t xml:space="preserve">验收合格数量/采购总数量</w:t>
            </w:r>
          </w:p>
        </w:tc>
        <w:tc>
          <w:tcPr>
            <w:tcW w:w="2268" w:type="dxa"/>
            <w:vAlign w:val="center"/>
          </w:tcPr>
          <w:p>
            <w:pPr>
              <w:pStyle w:val="单元格样式2"/>
            </w:pPr>
            <w:r>
              <w:t xml:space="preserve">≥95%</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采购完成时间</w:t>
            </w:r>
          </w:p>
        </w:tc>
        <w:tc>
          <w:tcPr>
            <w:tcW w:w="5386" w:type="dxa"/>
            <w:vAlign w:val="center"/>
          </w:tcPr>
          <w:p>
            <w:pPr>
              <w:pStyle w:val="单元格样式2"/>
            </w:pPr>
            <w:r>
              <w:t xml:space="preserve">采购完成时间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≤11.16万元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提高履职基础</w:t>
            </w:r>
          </w:p>
        </w:tc>
        <w:tc>
          <w:tcPr>
            <w:tcW w:w="5386" w:type="dxa"/>
            <w:vAlign w:val="center"/>
          </w:tcPr>
          <w:p>
            <w:pPr>
              <w:pStyle w:val="单元格样式2"/>
            </w:pPr>
            <w:r>
              <w:t xml:space="preserve">保障工作正常开展，提高履职基础</w:t>
            </w:r>
          </w:p>
        </w:tc>
        <w:tc>
          <w:tcPr>
            <w:tcW w:w="2268" w:type="dxa"/>
            <w:vAlign w:val="center"/>
          </w:tcPr>
          <w:p>
            <w:pPr>
              <w:pStyle w:val="单元格样式2"/>
            </w:pPr>
            <w:r>
              <w:t xml:space="preserve">良好保障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反映采购受益群体对采购认可满意情况。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2、单位运行电费等绩效目标表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13010026P000083103203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单位运行电费等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支付租赁西配楼办公用房水电暖等费用，保障办公正常运行。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1.租赁西配楼部分办公用房，支付水电暖等费用，保障机关正常运行。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保障办公区域水电暖供应面积</w:t>
            </w:r>
          </w:p>
        </w:tc>
        <w:tc>
          <w:tcPr>
            <w:tcW w:w="5386" w:type="dxa"/>
            <w:vAlign w:val="center"/>
          </w:tcPr>
          <w:p>
            <w:pPr>
              <w:pStyle w:val="单元格样式2"/>
            </w:pPr>
            <w:r>
              <w:t xml:space="preserve">反映保障办公区域水电暖供应面积情况</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供水供电供暖达标率</w:t>
            </w:r>
          </w:p>
        </w:tc>
        <w:tc>
          <w:tcPr>
            <w:tcW w:w="5386" w:type="dxa"/>
            <w:vAlign w:val="center"/>
          </w:tcPr>
          <w:p>
            <w:pPr>
              <w:pStyle w:val="单元格样式2"/>
            </w:pPr>
            <w:r>
              <w:t xml:space="preserve">反映办公区域水电暖供应达标情况</w:t>
            </w:r>
          </w:p>
        </w:tc>
        <w:tc>
          <w:tcPr>
            <w:tcW w:w="2268" w:type="dxa"/>
            <w:vAlign w:val="center"/>
          </w:tcPr>
          <w:p>
            <w:pPr>
              <w:pStyle w:val="单元格样式2"/>
            </w:pPr>
            <w:r>
              <w:t xml:space="preserve">供水水质达标率100%；供电电压稳定合格率100%；供暖温度达标18℃以上。</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水电暖持续供应情况</w:t>
            </w:r>
          </w:p>
        </w:tc>
        <w:tc>
          <w:tcPr>
            <w:tcW w:w="5386" w:type="dxa"/>
            <w:vAlign w:val="center"/>
          </w:tcPr>
          <w:p>
            <w:pPr>
              <w:pStyle w:val="单元格样式2"/>
            </w:pPr>
            <w:r>
              <w:t xml:space="preserve">反映每平方米办公用房租赁费用情况。</w:t>
            </w:r>
          </w:p>
        </w:tc>
        <w:tc>
          <w:tcPr>
            <w:tcW w:w="2268" w:type="dxa"/>
            <w:vAlign w:val="center"/>
          </w:tcPr>
          <w:p>
            <w:pPr>
              <w:pStyle w:val="单元格样式2"/>
            </w:pPr>
            <w:r>
              <w:t xml:space="preserve">采暖季供暖；水电一年</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≤2.2万元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办公人员对保障情况满意率</w:t>
            </w:r>
          </w:p>
        </w:tc>
        <w:tc>
          <w:tcPr>
            <w:tcW w:w="2268" w:type="dxa"/>
            <w:vAlign w:val="center"/>
          </w:tcPr>
          <w:p>
            <w:pPr>
              <w:pStyle w:val="单元格样式2"/>
            </w:pPr>
            <w:r>
              <w:t xml:space="preserve">≥90%</w:t>
            </w:r>
          </w:p>
        </w:tc>
        <w:tc>
          <w:tcPr>
            <w:tcW w:w="1276" w:type="dxa"/>
            <w:vAlign w:val="center"/>
          </w:tcPr>
          <w:p>
            <w:pPr>
              <w:pStyle w:val="单元格样式2"/>
            </w:pPr>
            <w:r>
              <w:t xml:space="preserve">电话调查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13010026P009711106773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用于保障组织党员开展各项活动，使基层党组织建设水平全面提高。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1.通过组织党员开展各项活动，使基层党组织建设水平全面提高；通过组织党员干部参观、学习、培训，完成省、市委相关党建工作要求，使制度建设更加规范，作风建设进一步改进，廉政建设成效更加显著。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开展党组织活动次数</w:t>
            </w:r>
          </w:p>
        </w:tc>
        <w:tc>
          <w:tcPr>
            <w:tcW w:w="5386" w:type="dxa"/>
            <w:vAlign w:val="center"/>
          </w:tcPr>
          <w:p>
            <w:pPr>
              <w:pStyle w:val="单元格样式2"/>
            </w:pPr>
            <w:r>
              <w:t xml:space="preserve">全年开展党组织活动次数</w:t>
            </w:r>
          </w:p>
        </w:tc>
        <w:tc>
          <w:tcPr>
            <w:tcW w:w="2268" w:type="dxa"/>
            <w:vAlign w:val="center"/>
          </w:tcPr>
          <w:p>
            <w:pPr>
              <w:pStyle w:val="单元格样式2"/>
            </w:pPr>
            <w:r>
              <w:t xml:space="preserve">≥1次</w:t>
            </w:r>
          </w:p>
        </w:tc>
        <w:tc>
          <w:tcPr>
            <w:tcW w:w="1276" w:type="dxa"/>
            <w:vAlign w:val="center"/>
          </w:tcPr>
          <w:p>
            <w:pPr>
              <w:pStyle w:val="单元格样式2"/>
            </w:pPr>
            <w:r>
              <w:t xml:space="preserve">单位（或部门）党组织活动计划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培训班出勤率</w:t>
            </w:r>
          </w:p>
        </w:tc>
        <w:tc>
          <w:tcPr>
            <w:tcW w:w="5386" w:type="dxa"/>
            <w:vAlign w:val="center"/>
          </w:tcPr>
          <w:p>
            <w:pPr>
              <w:pStyle w:val="单元格样式2"/>
            </w:pPr>
            <w:r>
              <w:t xml:space="preserve">党务工作者培训班出勤率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开展培训、组织党员活动完成时间</w:t>
            </w:r>
          </w:p>
        </w:tc>
        <w:tc>
          <w:tcPr>
            <w:tcW w:w="5386" w:type="dxa"/>
            <w:vAlign w:val="center"/>
          </w:tcPr>
          <w:p>
            <w:pPr>
              <w:pStyle w:val="单元格样式2"/>
            </w:pPr>
            <w:r>
              <w:t xml:space="preserve">开展培训、组织党员活动完成时间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≤12万元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培养忠诚、干净、担当的党员领导干部队伍。</w:t>
            </w:r>
          </w:p>
        </w:tc>
        <w:tc>
          <w:tcPr>
            <w:tcW w:w="5386" w:type="dxa"/>
            <w:vAlign w:val="center"/>
          </w:tcPr>
          <w:p>
            <w:pPr>
              <w:pStyle w:val="单元格样式2"/>
            </w:pPr>
            <w:r>
              <w:t xml:space="preserve">有助于培养忠诚、干净、担当的党员领导干部队伍。</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机关党员干部对党组织活动满意度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4、法律顾问经费绩效目标表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13010026P00924510135K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法律顾问经费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支付法律顾问委托业务费及其他法律相关费用。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1.通过开展法律咨询及其他相关服务，提升审计质量和审计机关法制管理水平。</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提供法律咨询数量</w:t>
            </w:r>
          </w:p>
        </w:tc>
        <w:tc>
          <w:tcPr>
            <w:tcW w:w="5386" w:type="dxa"/>
            <w:vAlign w:val="center"/>
          </w:tcPr>
          <w:p>
            <w:pPr>
              <w:pStyle w:val="单元格样式2"/>
            </w:pPr>
            <w:r>
              <w:t xml:space="preserve">提供法律咨询服务次数</w:t>
            </w:r>
          </w:p>
        </w:tc>
        <w:tc>
          <w:tcPr>
            <w:tcW w:w="2268" w:type="dxa"/>
            <w:vAlign w:val="center"/>
          </w:tcPr>
          <w:p>
            <w:pPr>
              <w:pStyle w:val="单元格样式2"/>
            </w:pPr>
            <w:r>
              <w:t xml:space="preserve">≥3次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服务合格率</w:t>
            </w:r>
          </w:p>
        </w:tc>
        <w:tc>
          <w:tcPr>
            <w:tcW w:w="5386" w:type="dxa"/>
            <w:vAlign w:val="center"/>
          </w:tcPr>
          <w:p>
            <w:pPr>
              <w:pStyle w:val="单元格样式2"/>
            </w:pPr>
            <w:r>
              <w:t xml:space="preserve">展开法律顾问服务合格率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业务服务期限</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≤4.8万元</w:t>
            </w:r>
          </w:p>
        </w:tc>
        <w:tc>
          <w:tcPr>
            <w:tcW w:w="1276" w:type="dxa"/>
            <w:vAlign w:val="center"/>
          </w:tcPr>
          <w:p>
            <w:pPr>
              <w:pStyle w:val="单元格样式2"/>
            </w:pPr>
            <w:r>
              <w:t xml:space="preserve">年初预算文本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服务效果</w:t>
            </w:r>
          </w:p>
        </w:tc>
        <w:tc>
          <w:tcPr>
            <w:tcW w:w="5386" w:type="dxa"/>
            <w:vAlign w:val="center"/>
          </w:tcPr>
          <w:p>
            <w:pPr>
              <w:pStyle w:val="单元格样式2"/>
            </w:pPr>
            <w:r>
              <w:t xml:space="preserve">满足业务咨询需求、提高审计机关业务能力和法制管理水平</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机关单位满意率</w:t>
            </w:r>
          </w:p>
        </w:tc>
        <w:tc>
          <w:tcPr>
            <w:tcW w:w="5386" w:type="dxa"/>
            <w:vAlign w:val="center"/>
          </w:tcPr>
          <w:p>
            <w:pPr>
              <w:pStyle w:val="单元格样式2"/>
            </w:pPr>
            <w:r>
              <w:t xml:space="preserve">工作人员接受法律咨询服务满意率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5、工作场地租赁费绩效目标表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13010026P00912010150N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工作场地租赁费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支付租赁西配楼办公用房租赁费用，保障办公正常运行。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1.租赁西配楼部分办公用房，维护办公环境，保障机关正常运行。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办公用房租赁面积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租用办公用房单位面积租金</w:t>
            </w:r>
          </w:p>
        </w:tc>
        <w:tc>
          <w:tcPr>
            <w:tcW w:w="5386" w:type="dxa"/>
            <w:vAlign w:val="center"/>
          </w:tcPr>
          <w:p>
            <w:pPr>
              <w:pStyle w:val="单元格样式2"/>
            </w:pPr>
            <w:r>
              <w:t xml:space="preserve">反映每平方米办公用房租赁费用情况</w:t>
            </w:r>
          </w:p>
        </w:tc>
        <w:tc>
          <w:tcPr>
            <w:tcW w:w="2268" w:type="dxa"/>
            <w:vAlign w:val="center"/>
          </w:tcPr>
          <w:p>
            <w:pPr>
              <w:pStyle w:val="单元格样式2"/>
            </w:pPr>
            <w:r>
              <w:t xml:space="preserve">≤40元/平方米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租赁时间</w:t>
            </w:r>
          </w:p>
        </w:tc>
        <w:tc>
          <w:tcPr>
            <w:tcW w:w="5386" w:type="dxa"/>
            <w:vAlign w:val="center"/>
          </w:tcPr>
          <w:p>
            <w:pPr>
              <w:pStyle w:val="单元格样式2"/>
            </w:pPr>
            <w:r>
              <w:t xml:space="preserve">办公用房租赁完成时间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≤50.8万元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办公人员对租赁办公用房满意率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6、物业管理费绩效目标表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13010026P00641210464G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支付租赁西配楼办公用房物业费，保障办公正常运行。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1.租赁西配楼部分办公用房，维护办公环境，保障机关正常运行。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物业保障面积</w:t>
            </w:r>
          </w:p>
        </w:tc>
        <w:tc>
          <w:tcPr>
            <w:tcW w:w="5386" w:type="dxa"/>
            <w:vAlign w:val="center"/>
          </w:tcPr>
          <w:p>
            <w:pPr>
              <w:pStyle w:val="单元格样式2"/>
            </w:pPr>
            <w:r>
              <w:t xml:space="preserve">反映物业服务保障办公面积情况</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物业服务及时率</w:t>
            </w:r>
          </w:p>
        </w:tc>
        <w:tc>
          <w:tcPr>
            <w:tcW w:w="5386" w:type="dxa"/>
            <w:vAlign w:val="center"/>
          </w:tcPr>
          <w:p>
            <w:pPr>
              <w:pStyle w:val="单元格样式2"/>
            </w:pPr>
            <w:r>
              <w:t xml:space="preserve">租赁办公用房的物业提供及时服务次数与服务总次数的比率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物业服务时限</w:t>
            </w:r>
          </w:p>
        </w:tc>
        <w:tc>
          <w:tcPr>
            <w:tcW w:w="5386" w:type="dxa"/>
            <w:vAlign w:val="center"/>
          </w:tcPr>
          <w:p>
            <w:pPr>
              <w:pStyle w:val="单元格样式2"/>
            </w:pPr>
            <w:r>
              <w:t xml:space="preserve">反映物业服务持续时间情况</w:t>
            </w:r>
          </w:p>
        </w:tc>
        <w:tc>
          <w:tcPr>
            <w:tcW w:w="2268" w:type="dxa"/>
            <w:vAlign w:val="center"/>
          </w:tcPr>
          <w:p>
            <w:pPr>
              <w:pStyle w:val="单元格样式2"/>
            </w:pPr>
            <w:r>
              <w:t xml:space="preserve">一年</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≤1.29万元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办公人员对物业服务满意率</w:t>
            </w:r>
          </w:p>
        </w:tc>
        <w:tc>
          <w:tcPr>
            <w:tcW w:w="2268" w:type="dxa"/>
            <w:vAlign w:val="center"/>
          </w:tcPr>
          <w:p>
            <w:pPr>
              <w:pStyle w:val="单元格样式2"/>
            </w:pPr>
            <w:r>
              <w:t xml:space="preserve">≥90%</w:t>
            </w:r>
          </w:p>
        </w:tc>
        <w:tc>
          <w:tcPr>
            <w:tcW w:w="1276" w:type="dxa"/>
            <w:vAlign w:val="center"/>
          </w:tcPr>
          <w:p>
            <w:pPr>
              <w:pStyle w:val="单元格样式2"/>
            </w:pPr>
            <w:r>
              <w:t xml:space="preserve">电话调查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7、安可替代专项2025年第二批中央基建投资预算绩效目标表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13010025P002XA0100371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安可替代专项2025年第二批中央基建投资预算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结转资金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1.深化安可替代项目建设，此项目涉密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8、工作用车购置绩效目标表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13010026P006622100281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工作用车购置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购置工作用车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1.保障日常办公用车需求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反映购置数量情况</w:t>
            </w:r>
          </w:p>
        </w:tc>
        <w:tc>
          <w:tcPr>
            <w:tcW w:w="2268" w:type="dxa"/>
            <w:vAlign w:val="center"/>
          </w:tcPr>
          <w:p>
            <w:pPr>
              <w:pStyle w:val="单元格样式2"/>
            </w:pPr>
            <w:r>
              <w:t xml:space="preserve">1辆</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购置合格率</w:t>
            </w:r>
          </w:p>
        </w:tc>
        <w:tc>
          <w:tcPr>
            <w:tcW w:w="5386" w:type="dxa"/>
            <w:vAlign w:val="center"/>
          </w:tcPr>
          <w:p>
            <w:pPr>
              <w:pStyle w:val="单元格样式2"/>
            </w:pPr>
            <w:r>
              <w:t xml:space="preserve">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购置计划按时执行率</w:t>
            </w:r>
          </w:p>
        </w:tc>
        <w:tc>
          <w:tcPr>
            <w:tcW w:w="5386" w:type="dxa"/>
            <w:vAlign w:val="center"/>
          </w:tcPr>
          <w:p>
            <w:pPr>
              <w:pStyle w:val="单元格样式2"/>
            </w:pPr>
            <w:r>
              <w:t xml:space="preserve">反映购置计划按时执行情况</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单位购置成本（元/台、件、辆、套）</w:t>
            </w:r>
          </w:p>
        </w:tc>
        <w:tc>
          <w:tcPr>
            <w:tcW w:w="5386" w:type="dxa"/>
            <w:vAlign w:val="center"/>
          </w:tcPr>
          <w:p>
            <w:pPr>
              <w:pStyle w:val="单元格样式2"/>
            </w:pPr>
            <w:r>
              <w:t xml:space="preserve">反映设备单位购置成本情况</w:t>
            </w:r>
          </w:p>
        </w:tc>
        <w:tc>
          <w:tcPr>
            <w:tcW w:w="2268" w:type="dxa"/>
            <w:vAlign w:val="center"/>
          </w:tcPr>
          <w:p>
            <w:pPr>
              <w:pStyle w:val="单元格样式2"/>
            </w:pPr>
            <w:r>
              <w:t xml:space="preserve">≤18万元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用车保障效能</w:t>
            </w:r>
          </w:p>
        </w:tc>
        <w:tc>
          <w:tcPr>
            <w:tcW w:w="5386" w:type="dxa"/>
            <w:vAlign w:val="center"/>
          </w:tcPr>
          <w:p>
            <w:pPr>
              <w:pStyle w:val="单元格样式2"/>
            </w:pPr>
            <w:r>
              <w:t xml:space="preserve">反映工作出行响应及时率</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节能环保长效性</w:t>
            </w:r>
          </w:p>
        </w:tc>
        <w:tc>
          <w:tcPr>
            <w:tcW w:w="5386" w:type="dxa"/>
            <w:vAlign w:val="center"/>
          </w:tcPr>
          <w:p>
            <w:pPr>
              <w:pStyle w:val="单元格样式2"/>
            </w:pPr>
            <w:r>
              <w:t xml:space="preserve">新能源车占比情况</w:t>
            </w:r>
          </w:p>
        </w:tc>
        <w:tc>
          <w:tcPr>
            <w:tcW w:w="2268" w:type="dxa"/>
            <w:vAlign w:val="center"/>
          </w:tcPr>
          <w:p>
            <w:pPr>
              <w:pStyle w:val="单元格样式2"/>
            </w:pPr>
            <w:r>
              <w:t xml:space="preserve">≥20%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反映用车人员认可满意情况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9、劳动聘用人员经费绩效目标表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13010026P009642104213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劳动聘用人员经费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用于支付劳动聘用人员费用。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1.加强审计力量，根据人社局批复，2026年使用3名劳务聘用人员，协助审计工作人员履行工作职责，提高审计业务质量，按时发放劳务聘用人员工资，提高服务水平。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聘用劳务派遣人员数量</w:t>
            </w:r>
          </w:p>
        </w:tc>
        <w:tc>
          <w:tcPr>
            <w:tcW w:w="5386" w:type="dxa"/>
            <w:vAlign w:val="center"/>
          </w:tcPr>
          <w:p>
            <w:pPr>
              <w:pStyle w:val="单元格样式2"/>
            </w:pPr>
            <w:r>
              <w:t xml:space="preserve">聘用劳务派遣人员数量</w:t>
            </w:r>
          </w:p>
        </w:tc>
        <w:tc>
          <w:tcPr>
            <w:tcW w:w="2268" w:type="dxa"/>
            <w:vAlign w:val="center"/>
          </w:tcPr>
          <w:p>
            <w:pPr>
              <w:pStyle w:val="单元格样式2"/>
            </w:pPr>
            <w:r>
              <w:t xml:space="preserve">≤3人</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聘用人员及时到岗率</w:t>
            </w:r>
          </w:p>
        </w:tc>
        <w:tc>
          <w:tcPr>
            <w:tcW w:w="5386" w:type="dxa"/>
            <w:vAlign w:val="center"/>
          </w:tcPr>
          <w:p>
            <w:pPr>
              <w:pStyle w:val="单元格样式2"/>
            </w:pPr>
            <w:r>
              <w:t xml:space="preserve">聘用人员及时到岗率</w:t>
            </w:r>
          </w:p>
        </w:tc>
        <w:tc>
          <w:tcPr>
            <w:tcW w:w="2268" w:type="dxa"/>
            <w:vAlign w:val="center"/>
          </w:tcPr>
          <w:p>
            <w:pPr>
              <w:pStyle w:val="单元格样式2"/>
            </w:pPr>
            <w:r>
              <w:t xml:space="preserve">≥90%</w:t>
            </w:r>
          </w:p>
        </w:tc>
        <w:tc>
          <w:tcPr>
            <w:tcW w:w="1276" w:type="dxa"/>
            <w:vAlign w:val="center"/>
          </w:tcPr>
          <w:p>
            <w:pPr>
              <w:pStyle w:val="单元格样式2"/>
            </w:pPr>
            <w:r>
              <w:t xml:space="preserve">考勤</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聘用人员时间</w:t>
            </w:r>
          </w:p>
        </w:tc>
        <w:tc>
          <w:tcPr>
            <w:tcW w:w="5386" w:type="dxa"/>
            <w:vAlign w:val="center"/>
          </w:tcPr>
          <w:p>
            <w:pPr>
              <w:pStyle w:val="单元格样式2"/>
            </w:pPr>
            <w:r>
              <w:t xml:space="preserve">聘用人员时间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≤17.6万元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服务效果</w:t>
            </w:r>
          </w:p>
        </w:tc>
        <w:tc>
          <w:tcPr>
            <w:tcW w:w="5386" w:type="dxa"/>
            <w:vAlign w:val="center"/>
          </w:tcPr>
          <w:p>
            <w:pPr>
              <w:pStyle w:val="单元格样式2"/>
            </w:pPr>
            <w:r>
              <w:t xml:space="preserve">按时发放劳务聘用人员工资，提高服务水平</w:t>
            </w:r>
          </w:p>
        </w:tc>
        <w:tc>
          <w:tcPr>
            <w:tcW w:w="2268" w:type="dxa"/>
            <w:vAlign w:val="center"/>
          </w:tcPr>
          <w:p>
            <w:pPr>
              <w:pStyle w:val="单元格样式2"/>
            </w:pPr>
            <w:r>
              <w:t xml:space="preserve">效果良好</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主管部门对聘用人员满意度</w:t>
            </w:r>
          </w:p>
        </w:tc>
        <w:tc>
          <w:tcPr>
            <w:tcW w:w="5386" w:type="dxa"/>
            <w:vAlign w:val="center"/>
          </w:tcPr>
          <w:p>
            <w:pPr>
              <w:pStyle w:val="单元格样式2"/>
            </w:pPr>
            <w:r>
              <w:t xml:space="preserve">使用科室对聘用人员满意度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10、审计执法经费绩效目标表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13010026P00969010004R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审计执法经费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用于支付审计人员差旅费、办公费及使用聘用专业审计人员参与审计劳务费及其他审计相关费用，保证审计项目正常开展。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1.用于支付审计执法办公费、差旅费，劳务费，委托业务费、审计刊物征订、审计宣传、审计培训及其他审计相关费用。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计划完成率</w:t>
            </w:r>
          </w:p>
        </w:tc>
        <w:tc>
          <w:tcPr>
            <w:tcW w:w="5386" w:type="dxa"/>
            <w:vAlign w:val="center"/>
          </w:tcPr>
          <w:p>
            <w:pPr>
              <w:pStyle w:val="单元格样式2"/>
            </w:pPr>
            <w:r>
              <w:t xml:space="preserve">完成审计项目数占全部审计计划的比例</w:t>
            </w:r>
          </w:p>
        </w:tc>
        <w:tc>
          <w:tcPr>
            <w:tcW w:w="2268" w:type="dxa"/>
            <w:vAlign w:val="center"/>
          </w:tcPr>
          <w:p>
            <w:pPr>
              <w:pStyle w:val="单元格样式2"/>
            </w:pPr>
            <w:r>
              <w:t xml:space="preserve">≥90%</w:t>
            </w:r>
          </w:p>
        </w:tc>
        <w:tc>
          <w:tcPr>
            <w:tcW w:w="1276" w:type="dxa"/>
            <w:vAlign w:val="center"/>
          </w:tcPr>
          <w:p>
            <w:pPr>
              <w:pStyle w:val="单元格样式2"/>
            </w:pPr>
            <w:r>
              <w:t xml:space="preserve">2026年审计工作计划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审计程序合规率</w:t>
            </w:r>
          </w:p>
        </w:tc>
        <w:tc>
          <w:tcPr>
            <w:tcW w:w="5386" w:type="dxa"/>
            <w:vAlign w:val="center"/>
          </w:tcPr>
          <w:p>
            <w:pPr>
              <w:pStyle w:val="单元格样式2"/>
            </w:pPr>
            <w:r>
              <w:t xml:space="preserve">反映审计通知书送达、审计底稿取证、审计报告征求意见、审计档案归档等情况</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《中华人民共和国审法》《中华人民共和国审计法实施条例》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审计项目完成时间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≤550万元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移送重大案件线索和事项数量</w:t>
            </w:r>
          </w:p>
        </w:tc>
        <w:tc>
          <w:tcPr>
            <w:tcW w:w="5386" w:type="dxa"/>
            <w:vAlign w:val="center"/>
          </w:tcPr>
          <w:p>
            <w:pPr>
              <w:pStyle w:val="单元格样式2"/>
            </w:pPr>
            <w:r>
              <w:t xml:space="preserve">反映审计移送和提供线索情况</w:t>
            </w:r>
          </w:p>
        </w:tc>
        <w:tc>
          <w:tcPr>
            <w:tcW w:w="2268" w:type="dxa"/>
            <w:vAlign w:val="center"/>
          </w:tcPr>
          <w:p>
            <w:pPr>
              <w:pStyle w:val="单元格样式2"/>
            </w:pPr>
            <w:r>
              <w:t xml:space="preserve">≥2件</w:t>
            </w:r>
          </w:p>
        </w:tc>
        <w:tc>
          <w:tcPr>
            <w:tcW w:w="1276" w:type="dxa"/>
            <w:vAlign w:val="center"/>
          </w:tcPr>
          <w:p>
            <w:pPr>
              <w:pStyle w:val="单元格样式2"/>
            </w:pPr>
            <w:r>
              <w:t xml:space="preserve">审计报告、审计移送处理书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审计建议采纳率</w:t>
            </w:r>
          </w:p>
        </w:tc>
        <w:tc>
          <w:tcPr>
            <w:tcW w:w="5386" w:type="dxa"/>
            <w:vAlign w:val="center"/>
          </w:tcPr>
          <w:p>
            <w:pPr>
              <w:pStyle w:val="单元格样式2"/>
            </w:pPr>
            <w:r>
              <w:t xml:space="preserve">审计报告中提出的建议采纳率</w:t>
            </w:r>
          </w:p>
        </w:tc>
        <w:tc>
          <w:tcPr>
            <w:tcW w:w="2268" w:type="dxa"/>
            <w:vAlign w:val="center"/>
          </w:tcPr>
          <w:p>
            <w:pPr>
              <w:pStyle w:val="单元格样式2"/>
            </w:pPr>
            <w:r>
              <w:t xml:space="preserve">≥90%</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促进增收、挽回损失金额</w:t>
            </w:r>
          </w:p>
        </w:tc>
        <w:tc>
          <w:tcPr>
            <w:tcW w:w="5386" w:type="dxa"/>
            <w:vAlign w:val="center"/>
          </w:tcPr>
          <w:p>
            <w:pPr>
              <w:pStyle w:val="单元格样式2"/>
            </w:pPr>
            <w:r>
              <w:t xml:space="preserve">反映通过审计，促进增收、挽回损失金额</w:t>
            </w:r>
          </w:p>
        </w:tc>
        <w:tc>
          <w:tcPr>
            <w:tcW w:w="2268" w:type="dxa"/>
            <w:vAlign w:val="center"/>
          </w:tcPr>
          <w:p>
            <w:pPr>
              <w:pStyle w:val="单元格样式2"/>
            </w:pPr>
            <w:r>
              <w:t xml:space="preserve">≥5000万元</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审计违纪投诉率</w:t>
            </w:r>
          </w:p>
        </w:tc>
        <w:tc>
          <w:tcPr>
            <w:tcW w:w="5386" w:type="dxa"/>
            <w:vAlign w:val="center"/>
          </w:tcPr>
          <w:p>
            <w:pPr>
              <w:pStyle w:val="单元格样式2"/>
            </w:pPr>
            <w:r>
              <w:t xml:space="preserve">在对审计人员依法审计、廉洁审计、文明审计方面投诉的审计项目数量占合部审计项目的比例</w:t>
            </w:r>
          </w:p>
        </w:tc>
        <w:tc>
          <w:tcPr>
            <w:tcW w:w="2268" w:type="dxa"/>
            <w:vAlign w:val="center"/>
          </w:tcPr>
          <w:p>
            <w:pPr>
              <w:pStyle w:val="单元格样式2"/>
            </w:pPr>
            <w:r>
              <w:t xml:space="preserve">≤5%</w:t>
            </w:r>
          </w:p>
        </w:tc>
        <w:tc>
          <w:tcPr>
            <w:tcW w:w="1276" w:type="dxa"/>
            <w:vAlign w:val="center"/>
          </w:tcPr>
          <w:p>
            <w:pPr>
              <w:pStyle w:val="单元格样式2"/>
            </w:pPr>
            <w:r>
              <w:t xml:space="preserve">驻局纪检组和机关纪委数据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11、数据流量和处理经费绩效目标表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13010026P00969210006C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数据流量和处理经费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用于支付数据流量及数据处理费用，与“金审三期”移动审计支撑系统、设备对接，进行数据传输，共享信息，发布通知等，提取数据进行处理、大数据分析，保障部门0A办公平台办公。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1.购买数据流量和处理服务，与省厅移动审计支撑平台系统、设备对接，传输数据，提取数据进行处理、大数据分析、移动支撑平台办公。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提取数据单位数量</w:t>
            </w:r>
          </w:p>
        </w:tc>
        <w:tc>
          <w:tcPr>
            <w:tcW w:w="5386" w:type="dxa"/>
            <w:vAlign w:val="center"/>
          </w:tcPr>
          <w:p>
            <w:pPr>
              <w:pStyle w:val="单元格样式2"/>
            </w:pPr>
            <w:r>
              <w:t xml:space="preserve">提取数据单位个数</w:t>
            </w:r>
          </w:p>
        </w:tc>
        <w:tc>
          <w:tcPr>
            <w:tcW w:w="2268" w:type="dxa"/>
            <w:vAlign w:val="center"/>
          </w:tcPr>
          <w:p>
            <w:pPr>
              <w:pStyle w:val="单元格样式2"/>
            </w:pPr>
            <w:r>
              <w:t xml:space="preserve">≥800个</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第三方处理数据质量</w:t>
            </w:r>
          </w:p>
        </w:tc>
        <w:tc>
          <w:tcPr>
            <w:tcW w:w="5386" w:type="dxa"/>
            <w:vAlign w:val="center"/>
          </w:tcPr>
          <w:p>
            <w:pPr>
              <w:pStyle w:val="单元格样式2"/>
            </w:pPr>
            <w:r>
              <w:t xml:space="preserve">数据处理准确率</w:t>
            </w:r>
          </w:p>
        </w:tc>
        <w:tc>
          <w:tcPr>
            <w:tcW w:w="2268" w:type="dxa"/>
            <w:vAlign w:val="center"/>
          </w:tcPr>
          <w:p>
            <w:pPr>
              <w:pStyle w:val="单元格样式2"/>
            </w:pPr>
            <w:r>
              <w:t xml:space="preserve">≥90%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数据采集的完成时限</w:t>
            </w:r>
          </w:p>
        </w:tc>
        <w:tc>
          <w:tcPr>
            <w:tcW w:w="5386" w:type="dxa"/>
            <w:vAlign w:val="center"/>
          </w:tcPr>
          <w:p>
            <w:pPr>
              <w:pStyle w:val="单元格样式2"/>
            </w:pPr>
            <w:r>
              <w:t xml:space="preserve">反映数据采集的及时性，预算执行审计数据采集完成的时间。</w:t>
            </w:r>
          </w:p>
        </w:tc>
        <w:tc>
          <w:tcPr>
            <w:tcW w:w="2268" w:type="dxa"/>
            <w:vAlign w:val="center"/>
          </w:tcPr>
          <w:p>
            <w:pPr>
              <w:pStyle w:val="单元格样式2"/>
            </w:pPr>
            <w:r>
              <w:t xml:space="preserve">≤90天</w:t>
            </w:r>
          </w:p>
        </w:tc>
        <w:tc>
          <w:tcPr>
            <w:tcW w:w="1276" w:type="dxa"/>
            <w:vAlign w:val="center"/>
          </w:tcPr>
          <w:p>
            <w:pPr>
              <w:pStyle w:val="单元格样式2"/>
            </w:pPr>
            <w:r>
              <w:t xml:space="preserve">2026年预算执行审计项目启动时间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数据采集率</w:t>
            </w:r>
          </w:p>
        </w:tc>
        <w:tc>
          <w:tcPr>
            <w:tcW w:w="5386" w:type="dxa"/>
            <w:vAlign w:val="center"/>
          </w:tcPr>
          <w:p>
            <w:pPr>
              <w:pStyle w:val="单元格样式2"/>
            </w:pPr>
            <w:r>
              <w:t xml:space="preserve">反映已采集数据的预算单位数量占需采集数据的预算单位数量的比例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数据转换率</w:t>
            </w:r>
          </w:p>
        </w:tc>
        <w:tc>
          <w:tcPr>
            <w:tcW w:w="5386" w:type="dxa"/>
            <w:vAlign w:val="center"/>
          </w:tcPr>
          <w:p>
            <w:pPr>
              <w:pStyle w:val="单元格样式2"/>
            </w:pPr>
            <w:r>
              <w:t xml:space="preserve">反映已转换数据的预算单位数量占已采集数据的预算单位数量的比例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反映审计人员对数据分析结果的满意度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满意度测评表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12、提前下达2026年中央对地方审计人员培训补助经费绩效目标表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13010026P00B9TE10003W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提前下达2026年中央对地方审计人员培训补助经费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用于保障审计人员培训。</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1.通过审计专业知识及案例讲解分析，提升审计队伍业务素质、增强责任意识、提高实际操作水平。</w:t>
            </w:r>
          </w:p>
          <w:p>
            <w:pPr>
              <w:pStyle w:val="单元格样式2"/>
            </w:pPr>
            <w:r>
              <w:t xml:space="preserve">2.进一步加强培训工作，加强能力建设，提高意识水平，提升审计形象，培养造就高素质人才队伍。</w:t>
            </w:r>
          </w:p>
          <w:p>
            <w:pPr>
              <w:pStyle w:val="单元格样式2"/>
            </w:pPr>
            <w:r>
              <w:t xml:space="preserve">3.通过信息化培训，增强审计人员运用大数据进行审计分析的能力，实现科技强审的目标。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组织培训班期数</w:t>
            </w:r>
          </w:p>
        </w:tc>
        <w:tc>
          <w:tcPr>
            <w:tcW w:w="5386" w:type="dxa"/>
            <w:vAlign w:val="center"/>
          </w:tcPr>
          <w:p>
            <w:pPr>
              <w:pStyle w:val="单元格样式2"/>
            </w:pPr>
            <w:r>
              <w:t xml:space="preserve">组织培训班期数</w:t>
            </w:r>
          </w:p>
        </w:tc>
        <w:tc>
          <w:tcPr>
            <w:tcW w:w="2268" w:type="dxa"/>
            <w:vAlign w:val="center"/>
          </w:tcPr>
          <w:p>
            <w:pPr>
              <w:pStyle w:val="单元格样式2"/>
            </w:pPr>
            <w:r>
              <w:t xml:space="preserve">≥2期</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受训人员合格率</w:t>
            </w:r>
          </w:p>
        </w:tc>
        <w:tc>
          <w:tcPr>
            <w:tcW w:w="5386" w:type="dxa"/>
            <w:vAlign w:val="center"/>
          </w:tcPr>
          <w:p>
            <w:pPr>
              <w:pStyle w:val="单元格样式2"/>
            </w:pPr>
            <w:r>
              <w:t xml:space="preserve">受训人员合格率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培训完成情况</w:t>
            </w:r>
          </w:p>
        </w:tc>
        <w:tc>
          <w:tcPr>
            <w:tcW w:w="5386" w:type="dxa"/>
            <w:vAlign w:val="center"/>
          </w:tcPr>
          <w:p>
            <w:pPr>
              <w:pStyle w:val="单元格样式2"/>
            </w:pPr>
            <w:r>
              <w:t xml:space="preserve">培训完成情况</w:t>
            </w:r>
          </w:p>
        </w:tc>
        <w:tc>
          <w:tcPr>
            <w:tcW w:w="2268" w:type="dxa"/>
            <w:vAlign w:val="center"/>
          </w:tcPr>
          <w:p>
            <w:pPr>
              <w:pStyle w:val="单元格样式2"/>
            </w:pPr>
            <w:r>
              <w:t xml:space="preserve">培训计划是否如期完成</w:t>
            </w:r>
          </w:p>
        </w:tc>
        <w:tc>
          <w:tcPr>
            <w:tcW w:w="1276" w:type="dxa"/>
            <w:vAlign w:val="center"/>
          </w:tcPr>
          <w:p>
            <w:pPr>
              <w:pStyle w:val="单元格样式2"/>
            </w:pPr>
            <w:r>
              <w:t xml:space="preserve">培训计划是否如期完成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人均培训成本</w:t>
            </w:r>
          </w:p>
        </w:tc>
        <w:tc>
          <w:tcPr>
            <w:tcW w:w="5386" w:type="dxa"/>
            <w:vAlign w:val="center"/>
          </w:tcPr>
          <w:p>
            <w:pPr>
              <w:pStyle w:val="单元格样式2"/>
            </w:pPr>
            <w:r>
              <w:t xml:space="preserve">人均培训成本</w:t>
            </w:r>
          </w:p>
        </w:tc>
        <w:tc>
          <w:tcPr>
            <w:tcW w:w="2268" w:type="dxa"/>
            <w:vAlign w:val="center"/>
          </w:tcPr>
          <w:p>
            <w:pPr>
              <w:pStyle w:val="单元格样式2"/>
            </w:pPr>
            <w:r>
              <w:t xml:space="preserve">培训费文件规定标准值</w:t>
            </w:r>
          </w:p>
        </w:tc>
        <w:tc>
          <w:tcPr>
            <w:tcW w:w="1276" w:type="dxa"/>
            <w:vAlign w:val="center"/>
          </w:tcPr>
          <w:p>
            <w:pPr>
              <w:pStyle w:val="单元格样式2"/>
            </w:pPr>
            <w:r>
              <w:t xml:space="preserve">培训费文件规定标准值</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提升业务水平</w:t>
            </w:r>
          </w:p>
        </w:tc>
        <w:tc>
          <w:tcPr>
            <w:tcW w:w="5386" w:type="dxa"/>
            <w:vAlign w:val="center"/>
          </w:tcPr>
          <w:p>
            <w:pPr>
              <w:pStyle w:val="单元格样式2"/>
            </w:pPr>
            <w:r>
              <w:t xml:space="preserve">提升审计人员业务水平效果</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受训人员满意度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13、提前下达中央对地方审计信息系统运行维护补助经费绩效目标表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13010026P00B9TE10004G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提前下达中央对地方审计信息系统运行维护补助经费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用于对中西部地区审计机关信息资产和信息系统运行维护的专项补助。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1.确保信息系统的正常运行，提高信息化环境下的大数据分析能力和审计监督能力。</w:t>
            </w:r>
          </w:p>
          <w:p>
            <w:pPr>
              <w:pStyle w:val="单元格样式2"/>
            </w:pPr>
            <w:r>
              <w:t xml:space="preserve">2.通过金审工程终端和应用系统等建设，加强金审工程三期应用推广。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≥85%</w:t>
            </w:r>
          </w:p>
        </w:tc>
        <w:tc>
          <w:tcPr>
            <w:tcW w:w="1276" w:type="dxa"/>
            <w:vAlign w:val="center"/>
          </w:tcPr>
          <w:p>
            <w:pPr>
              <w:pStyle w:val="单元格样式2"/>
            </w:pPr>
            <w:r>
              <w:t xml:space="preserve">预算文本和决算数据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系统运行保障周期</w:t>
            </w:r>
          </w:p>
        </w:tc>
        <w:tc>
          <w:tcPr>
            <w:tcW w:w="5386" w:type="dxa"/>
            <w:vAlign w:val="center"/>
          </w:tcPr>
          <w:p>
            <w:pPr>
              <w:pStyle w:val="单元格样式2"/>
            </w:pPr>
            <w:r>
              <w:t xml:space="preserve">系统运行保障周期</w:t>
            </w:r>
          </w:p>
        </w:tc>
        <w:tc>
          <w:tcPr>
            <w:tcW w:w="2268" w:type="dxa"/>
            <w:vAlign w:val="center"/>
          </w:tcPr>
          <w:p>
            <w:pPr>
              <w:pStyle w:val="单元格样式2"/>
            </w:pPr>
            <w:r>
              <w:t xml:space="preserve">12月</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预算项目控制数</w:t>
            </w:r>
          </w:p>
        </w:tc>
        <w:tc>
          <w:tcPr>
            <w:tcW w:w="5386" w:type="dxa"/>
            <w:vAlign w:val="center"/>
          </w:tcPr>
          <w:p>
            <w:pPr>
              <w:pStyle w:val="单元格样式2"/>
            </w:pPr>
            <w:r>
              <w:t xml:space="preserve">预算项目控制数</w:t>
            </w:r>
          </w:p>
        </w:tc>
        <w:tc>
          <w:tcPr>
            <w:tcW w:w="2268" w:type="dxa"/>
            <w:vAlign w:val="center"/>
          </w:tcPr>
          <w:p>
            <w:pPr>
              <w:pStyle w:val="单元格样式2"/>
            </w:pPr>
            <w:r>
              <w:t xml:space="preserve">≤6万元</w:t>
            </w:r>
          </w:p>
        </w:tc>
        <w:tc>
          <w:tcPr>
            <w:tcW w:w="1276" w:type="dxa"/>
            <w:vAlign w:val="center"/>
          </w:tcPr>
          <w:p>
            <w:pPr>
              <w:pStyle w:val="单元格样式2"/>
            </w:pPr>
            <w:r>
              <w:t xml:space="preserve">预算文本和决算数据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系统运行无故障率</w:t>
            </w:r>
          </w:p>
        </w:tc>
        <w:tc>
          <w:tcPr>
            <w:tcW w:w="5386" w:type="dxa"/>
            <w:vAlign w:val="center"/>
          </w:tcPr>
          <w:p>
            <w:pPr>
              <w:pStyle w:val="单元格样式2"/>
            </w:pPr>
            <w:r>
              <w:t xml:space="preserve">反映数据分析网软、硬件安全无故障运行情况</w:t>
            </w:r>
          </w:p>
        </w:tc>
        <w:tc>
          <w:tcPr>
            <w:tcW w:w="2268" w:type="dxa"/>
            <w:vAlign w:val="center"/>
          </w:tcPr>
          <w:p>
            <w:pPr>
              <w:pStyle w:val="单元格样式2"/>
            </w:pPr>
            <w:r>
              <w:t xml:space="preserve">≥95%</w:t>
            </w:r>
          </w:p>
        </w:tc>
        <w:tc>
          <w:tcPr>
            <w:tcW w:w="1276" w:type="dxa"/>
            <w:vAlign w:val="center"/>
          </w:tcPr>
          <w:p>
            <w:pPr>
              <w:pStyle w:val="单元格样式2"/>
            </w:pPr>
            <w:r>
              <w:t xml:space="preserve">服务协议或合同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审计人员对技术支持的满意度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14、组织地方审计机关审计工作经费绩效目标表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13010026P00869510335N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组织地方审计机关审计工作经费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100.00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保障审计项目开展。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1.中央财政设立的为保证地方审计机关审计项目开展的专项补助资金，及时反映财政金融方面的风险隐患，促进经济发展的质量和效益。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计划完成率</w:t>
            </w:r>
          </w:p>
        </w:tc>
        <w:tc>
          <w:tcPr>
            <w:tcW w:w="5386" w:type="dxa"/>
            <w:vAlign w:val="center"/>
          </w:tcPr>
          <w:p>
            <w:pPr>
              <w:pStyle w:val="单元格样式2"/>
            </w:pPr>
            <w:r>
              <w:t xml:space="preserve">完成审计项目数占全部审计计划的比例</w:t>
            </w:r>
          </w:p>
        </w:tc>
        <w:tc>
          <w:tcPr>
            <w:tcW w:w="2268" w:type="dxa"/>
            <w:vAlign w:val="center"/>
          </w:tcPr>
          <w:p>
            <w:pPr>
              <w:pStyle w:val="单元格样式2"/>
            </w:pPr>
            <w:r>
              <w:t xml:space="preserve">≥90%</w:t>
            </w:r>
          </w:p>
        </w:tc>
        <w:tc>
          <w:tcPr>
            <w:tcW w:w="1276" w:type="dxa"/>
            <w:vAlign w:val="center"/>
          </w:tcPr>
          <w:p>
            <w:pPr>
              <w:pStyle w:val="单元格样式2"/>
            </w:pPr>
            <w:r>
              <w:t xml:space="preserve">2026年审计工作计划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过审率</w:t>
            </w:r>
          </w:p>
        </w:tc>
        <w:tc>
          <w:tcPr>
            <w:tcW w:w="5386" w:type="dxa"/>
            <w:vAlign w:val="center"/>
          </w:tcPr>
          <w:p>
            <w:pPr>
              <w:pStyle w:val="单元格样式2"/>
            </w:pPr>
            <w:r>
              <w:t xml:space="preserve">审计项目报告合格率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《中华人民共和国审法》《中华人民共和国审计法实施条例》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审计项目完成时间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审计项目差旅费成本</w:t>
            </w:r>
          </w:p>
        </w:tc>
        <w:tc>
          <w:tcPr>
            <w:tcW w:w="5386" w:type="dxa"/>
            <w:vAlign w:val="center"/>
          </w:tcPr>
          <w:p>
            <w:pPr>
              <w:pStyle w:val="单元格样式2"/>
            </w:pPr>
            <w:r>
              <w:t xml:space="preserve">控制差旅费支出标准</w:t>
            </w:r>
          </w:p>
        </w:tc>
        <w:tc>
          <w:tcPr>
            <w:tcW w:w="2268" w:type="dxa"/>
            <w:vAlign w:val="center"/>
          </w:tcPr>
          <w:p>
            <w:pPr>
              <w:pStyle w:val="单元格样式2"/>
            </w:pPr>
            <w:r>
              <w:t xml:space="preserve">按差旅费标准支出</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《石家庄市市直机关差旅费管理办法》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审计建议采纳率</w:t>
            </w:r>
          </w:p>
        </w:tc>
        <w:tc>
          <w:tcPr>
            <w:tcW w:w="5386" w:type="dxa"/>
            <w:vAlign w:val="center"/>
          </w:tcPr>
          <w:p>
            <w:pPr>
              <w:pStyle w:val="单元格样式2"/>
            </w:pPr>
            <w:r>
              <w:t xml:space="preserve">审计报告中提出的建议采纳率</w:t>
            </w:r>
          </w:p>
        </w:tc>
        <w:tc>
          <w:tcPr>
            <w:tcW w:w="2268" w:type="dxa"/>
            <w:vAlign w:val="center"/>
          </w:tcPr>
          <w:p>
            <w:pPr>
              <w:pStyle w:val="单元格样式2"/>
            </w:pPr>
            <w:r>
              <w:t xml:space="preserve">≥90%</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审计违纪投诉率</w:t>
            </w:r>
          </w:p>
        </w:tc>
        <w:tc>
          <w:tcPr>
            <w:tcW w:w="5386" w:type="dxa"/>
            <w:vAlign w:val="center"/>
          </w:tcPr>
          <w:p>
            <w:pPr>
              <w:pStyle w:val="单元格样式2"/>
            </w:pPr>
            <w:r>
              <w:t xml:space="preserve">在对审计人员依法审计、廉洁审计、文明审计方面投诉的审计项目数量占合部审计项目的比例</w:t>
            </w:r>
          </w:p>
        </w:tc>
        <w:tc>
          <w:tcPr>
            <w:tcW w:w="2268" w:type="dxa"/>
            <w:vAlign w:val="center"/>
          </w:tcPr>
          <w:p>
            <w:pPr>
              <w:pStyle w:val="单元格样式2"/>
            </w:pPr>
            <w:r>
              <w:t xml:space="preserve">≤5%</w:t>
            </w:r>
          </w:p>
        </w:tc>
        <w:tc>
          <w:tcPr>
            <w:tcW w:w="1276" w:type="dxa"/>
            <w:vAlign w:val="center"/>
          </w:tcPr>
          <w:p>
            <w:pPr>
              <w:pStyle w:val="单元格样式2"/>
            </w:pPr>
            <w:r>
              <w:t xml:space="preserve">驻局纪检组和机关纪委数据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520.63</w:t>
            </w:r>
          </w:p>
        </w:tc>
        <w:tc>
          <w:tcPr>
            <w:tcW w:w="964" w:type="dxa"/>
            <w:vAlign w:val="center"/>
          </w:tcPr>
          <w:p>
            <w:pPr>
              <w:pStyle w:val="单元格样式7"/>
            </w:pPr>
            <w:r>
              <w:t xml:space="preserve">502.08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18.55</w:t>
            </w:r>
          </w:p>
        </w:tc>
        <w:tc>
          <w:tcPr>
            <w:tcW w:w="964" w:type="dxa"/>
            <w:vAlign w:val="center"/>
          </w:tcPr>
          <w:p>
            <w:pPr>
              <w:pStyle w:val="单元格样式7"/>
            </w:pPr>
          </w:p>
        </w:tc>
        <w:tc>
          <w:tcPr>
            <w:tcW w:w="964" w:type="dxa"/>
            <w:vAlign w:val="center"/>
          </w:tcPr>
          <w:p>
            <w:pPr>
              <w:pStyle w:val="单元格样式7"/>
            </w:pPr>
            <w:r>
              <w:t xml:space="preserve">410.47</w:t>
            </w:r>
          </w:p>
        </w:tc>
      </w:tr>
      <w:tr>
        <w:tblPrEx>
          <w:jc w:val="center"/>
          <w:tblLayout w:type="fixed"/>
        </w:tblPrEx>
        <w:trPr>
          <w:jc w:val="center"/>
        </w:trPr>
        <w:tc>
          <w:tcPr>
            <w:tcW w:w="1701" w:type="dxa"/>
            <w:vAlign w:val="center"/>
          </w:tcPr>
          <w:p>
            <w:pPr>
              <w:pStyle w:val="单元格样式6"/>
            </w:pPr>
            <w:r>
              <w:t xml:space="preserve">石家庄市审计局本级小计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520.63</w:t>
            </w:r>
          </w:p>
        </w:tc>
        <w:tc>
          <w:tcPr>
            <w:tcW w:w="964" w:type="dxa"/>
            <w:vAlign w:val="center"/>
          </w:tcPr>
          <w:p>
            <w:pPr>
              <w:pStyle w:val="单元格样式7"/>
            </w:pPr>
            <w:r>
              <w:t xml:space="preserve">502.08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18.55</w:t>
            </w:r>
          </w:p>
        </w:tc>
        <w:tc>
          <w:tcPr>
            <w:tcW w:w="964" w:type="dxa"/>
            <w:vAlign w:val="center"/>
          </w:tcPr>
          <w:p>
            <w:pPr>
              <w:pStyle w:val="单元格样式7"/>
            </w:pPr>
          </w:p>
        </w:tc>
        <w:tc>
          <w:tcPr>
            <w:tcW w:w="964" w:type="dxa"/>
            <w:vAlign w:val="center"/>
          </w:tcPr>
          <w:p>
            <w:pPr>
              <w:pStyle w:val="单元格样式7"/>
            </w:pPr>
            <w:r>
              <w:t xml:space="preserve">410.47</w:t>
            </w: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服务器</w:t>
            </w:r>
          </w:p>
        </w:tc>
        <w:tc>
          <w:tcPr>
            <w:tcW w:w="1134" w:type="dxa"/>
            <w:vAlign w:val="center"/>
          </w:tcPr>
          <w:p>
            <w:pPr>
              <w:pStyle w:val="单元格样式2"/>
            </w:pPr>
            <w:r>
              <w:t xml:space="preserve">A02010104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1.75</w:t>
            </w:r>
          </w:p>
        </w:tc>
        <w:tc>
          <w:tcPr>
            <w:tcW w:w="964" w:type="dxa"/>
            <w:vAlign w:val="center"/>
          </w:tcPr>
          <w:p>
            <w:pPr>
              <w:pStyle w:val="单元格样式4"/>
            </w:pPr>
            <w:r>
              <w:t xml:space="preserve">7.02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7.02</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0.15</w:t>
            </w:r>
          </w:p>
        </w:tc>
        <w:tc>
          <w:tcPr>
            <w:tcW w:w="964" w:type="dxa"/>
            <w:vAlign w:val="center"/>
          </w:tcPr>
          <w:p>
            <w:pPr>
              <w:pStyle w:val="单元格样式4"/>
            </w:pPr>
            <w:r>
              <w:t xml:space="preserve">3.53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3.53</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其他计算机软件</w:t>
            </w:r>
          </w:p>
        </w:tc>
        <w:tc>
          <w:tcPr>
            <w:tcW w:w="1134" w:type="dxa"/>
            <w:vAlign w:val="center"/>
          </w:tcPr>
          <w:p>
            <w:pPr>
              <w:pStyle w:val="单元格样式2"/>
            </w:pPr>
            <w:r>
              <w:t xml:space="preserve">A08060399</w:t>
            </w:r>
          </w:p>
        </w:tc>
        <w:tc>
          <w:tcPr>
            <w:tcW w:w="709" w:type="dxa"/>
            <w:vAlign w:val="center"/>
          </w:tcPr>
          <w:p>
            <w:pPr>
              <w:pStyle w:val="单元格样式3"/>
            </w:pPr>
            <w:r>
              <w:t xml:space="preserve">套</w:t>
            </w:r>
          </w:p>
        </w:tc>
        <w:tc>
          <w:tcPr>
            <w:tcW w:w="850" w:type="dxa"/>
            <w:vAlign w:val="center"/>
          </w:tcPr>
          <w:p>
            <w:pPr>
              <w:pStyle w:val="单元格样式4"/>
            </w:pPr>
            <w:r>
              <w:t xml:space="preserve">25</w:t>
            </w:r>
          </w:p>
        </w:tc>
        <w:tc>
          <w:tcPr>
            <w:tcW w:w="850" w:type="dxa"/>
            <w:vAlign w:val="center"/>
          </w:tcPr>
          <w:p>
            <w:pPr>
              <w:pStyle w:val="单元格样式4"/>
            </w:pPr>
            <w:r>
              <w:t xml:space="preserve">0.32</w:t>
            </w: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9.00</w:t>
            </w:r>
          </w:p>
        </w:tc>
        <w:tc>
          <w:tcPr>
            <w:tcW w:w="964" w:type="dxa"/>
            <w:vAlign w:val="center"/>
          </w:tcPr>
          <w:p>
            <w:pPr>
              <w:pStyle w:val="单元格样式4"/>
            </w:pPr>
            <w:r>
              <w:t xml:space="preserve">9.00</w:t>
            </w:r>
          </w:p>
        </w:tc>
        <w:tc>
          <w:tcPr>
            <w:tcW w:w="964" w:type="dxa"/>
            <w:vAlign w:val="center"/>
          </w:tcPr>
          <w:p>
            <w:pPr>
              <w:pStyle w:val="单元格样式4"/>
            </w:pPr>
            <w:r>
              <w:t xml:space="preserve">9.00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4.42</w:t>
            </w:r>
          </w:p>
        </w:tc>
        <w:tc>
          <w:tcPr>
            <w:tcW w:w="964" w:type="dxa"/>
            <w:vAlign w:val="center"/>
          </w:tcPr>
          <w:p>
            <w:pPr>
              <w:pStyle w:val="单元格样式4"/>
            </w:pPr>
            <w:r>
              <w:t xml:space="preserve">4.42</w:t>
            </w:r>
          </w:p>
        </w:tc>
        <w:tc>
          <w:tcPr>
            <w:tcW w:w="964" w:type="dxa"/>
            <w:vAlign w:val="center"/>
          </w:tcPr>
          <w:p>
            <w:pPr>
              <w:pStyle w:val="单元格样式4"/>
            </w:pPr>
            <w:r>
              <w:t xml:space="preserve">4.42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4.42</w:t>
            </w: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服务器</w:t>
            </w:r>
          </w:p>
        </w:tc>
        <w:tc>
          <w:tcPr>
            <w:tcW w:w="1134" w:type="dxa"/>
            <w:vAlign w:val="center"/>
          </w:tcPr>
          <w:p>
            <w:pPr>
              <w:pStyle w:val="单元格样式2"/>
            </w:pPr>
            <w:r>
              <w:t xml:space="preserve">A02010104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1.45</w:t>
            </w:r>
          </w:p>
        </w:tc>
        <w:tc>
          <w:tcPr>
            <w:tcW w:w="964" w:type="dxa"/>
            <w:vAlign w:val="center"/>
          </w:tcPr>
          <w:p>
            <w:pPr>
              <w:pStyle w:val="单元格样式4"/>
            </w:pPr>
            <w:r>
              <w:t xml:space="preserve">5.78</w:t>
            </w:r>
          </w:p>
        </w:tc>
        <w:tc>
          <w:tcPr>
            <w:tcW w:w="964" w:type="dxa"/>
            <w:vAlign w:val="center"/>
          </w:tcPr>
          <w:p>
            <w:pPr>
              <w:pStyle w:val="单元格样式4"/>
            </w:pPr>
            <w:r>
              <w:t xml:space="preserve">5.78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0.13</w:t>
            </w:r>
          </w:p>
        </w:tc>
        <w:tc>
          <w:tcPr>
            <w:tcW w:w="964" w:type="dxa"/>
            <w:vAlign w:val="center"/>
          </w:tcPr>
          <w:p>
            <w:pPr>
              <w:pStyle w:val="单元格样式4"/>
            </w:pPr>
            <w:r>
              <w:t xml:space="preserve">2.91</w:t>
            </w:r>
          </w:p>
        </w:tc>
        <w:tc>
          <w:tcPr>
            <w:tcW w:w="964" w:type="dxa"/>
            <w:vAlign w:val="center"/>
          </w:tcPr>
          <w:p>
            <w:pPr>
              <w:pStyle w:val="单元格样式4"/>
            </w:pPr>
            <w:r>
              <w:t xml:space="preserve">2.91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其他家具</w:t>
            </w:r>
          </w:p>
        </w:tc>
        <w:tc>
          <w:tcPr>
            <w:tcW w:w="1134" w:type="dxa"/>
            <w:vAlign w:val="center"/>
          </w:tcPr>
          <w:p>
            <w:pPr>
              <w:pStyle w:val="单元格样式2"/>
            </w:pPr>
            <w:r>
              <w:t xml:space="preserve">A05019900</w:t>
            </w:r>
          </w:p>
        </w:tc>
        <w:tc>
          <w:tcPr>
            <w:tcW w:w="709" w:type="dxa"/>
            <w:vAlign w:val="center"/>
          </w:tcPr>
          <w:p>
            <w:pPr>
              <w:pStyle w:val="单元格样式3"/>
            </w:pPr>
            <w:r>
              <w:t xml:space="preserve">件</w:t>
            </w:r>
          </w:p>
        </w:tc>
        <w:tc>
          <w:tcPr>
            <w:tcW w:w="850" w:type="dxa"/>
            <w:vAlign w:val="center"/>
          </w:tcPr>
          <w:p>
            <w:pPr>
              <w:pStyle w:val="单元格样式4"/>
            </w:pPr>
            <w:r>
              <w:t xml:space="preserve">3</w:t>
            </w:r>
          </w:p>
        </w:tc>
        <w:tc>
          <w:tcPr>
            <w:tcW w:w="850" w:type="dxa"/>
            <w:vAlign w:val="center"/>
          </w:tcPr>
          <w:p>
            <w:pPr>
              <w:pStyle w:val="单元格样式4"/>
            </w:pPr>
            <w:r>
              <w:t xml:space="preserve">0.35</w:t>
            </w:r>
          </w:p>
        </w:tc>
        <w:tc>
          <w:tcPr>
            <w:tcW w:w="964" w:type="dxa"/>
            <w:vAlign w:val="center"/>
          </w:tcPr>
          <w:p>
            <w:pPr>
              <w:pStyle w:val="单元格样式4"/>
            </w:pPr>
            <w:r>
              <w:t xml:space="preserve">1.05</w:t>
            </w:r>
          </w:p>
        </w:tc>
        <w:tc>
          <w:tcPr>
            <w:tcW w:w="964" w:type="dxa"/>
            <w:vAlign w:val="center"/>
          </w:tcPr>
          <w:p>
            <w:pPr>
              <w:pStyle w:val="单元格样式4"/>
            </w:pPr>
            <w:r>
              <w:t xml:space="preserve">1.05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1.05</w:t>
            </w: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其他计算机软件</w:t>
            </w:r>
          </w:p>
        </w:tc>
        <w:tc>
          <w:tcPr>
            <w:tcW w:w="1134" w:type="dxa"/>
            <w:vAlign w:val="center"/>
          </w:tcPr>
          <w:p>
            <w:pPr>
              <w:pStyle w:val="单元格样式2"/>
            </w:pPr>
            <w:r>
              <w:t xml:space="preserve">A08060399</w:t>
            </w:r>
          </w:p>
        </w:tc>
        <w:tc>
          <w:tcPr>
            <w:tcW w:w="709" w:type="dxa"/>
            <w:vAlign w:val="center"/>
          </w:tcPr>
          <w:p>
            <w:pPr>
              <w:pStyle w:val="单元格样式3"/>
            </w:pPr>
            <w:r>
              <w:t xml:space="preserve">套</w:t>
            </w:r>
          </w:p>
        </w:tc>
        <w:tc>
          <w:tcPr>
            <w:tcW w:w="850" w:type="dxa"/>
            <w:vAlign w:val="center"/>
          </w:tcPr>
          <w:p>
            <w:pPr>
              <w:pStyle w:val="单元格样式4"/>
            </w:pPr>
            <w:r>
              <w:t xml:space="preserve">25</w:t>
            </w:r>
          </w:p>
        </w:tc>
        <w:tc>
          <w:tcPr>
            <w:tcW w:w="850" w:type="dxa"/>
            <w:vAlign w:val="center"/>
          </w:tcPr>
          <w:p>
            <w:pPr>
              <w:pStyle w:val="单元格样式4"/>
            </w:pPr>
            <w:r>
              <w:t xml:space="preserve">0.06</w:t>
            </w:r>
          </w:p>
        </w:tc>
        <w:tc>
          <w:tcPr>
            <w:tcW w:w="964" w:type="dxa"/>
            <w:vAlign w:val="center"/>
          </w:tcPr>
          <w:p>
            <w:pPr>
              <w:pStyle w:val="单元格样式4"/>
            </w:pPr>
            <w:r>
              <w:t xml:space="preserve">1.42</w:t>
            </w:r>
          </w:p>
        </w:tc>
        <w:tc>
          <w:tcPr>
            <w:tcW w:w="964" w:type="dxa"/>
            <w:vAlign w:val="center"/>
          </w:tcPr>
          <w:p>
            <w:pPr>
              <w:pStyle w:val="单元格样式4"/>
            </w:pPr>
            <w:r>
              <w:t xml:space="preserve">1.42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工作用车购置</w:t>
            </w:r>
          </w:p>
        </w:tc>
        <w:tc>
          <w:tcPr>
            <w:tcW w:w="964" w:type="dxa"/>
            <w:vAlign w:val="center"/>
          </w:tcPr>
          <w:p>
            <w:pPr>
              <w:pStyle w:val="单元格样式4"/>
            </w:pPr>
            <w:r>
              <w:t xml:space="preserve">18.00</w:t>
            </w:r>
          </w:p>
        </w:tc>
        <w:tc>
          <w:tcPr>
            <w:tcW w:w="1134" w:type="dxa"/>
            <w:vAlign w:val="center"/>
          </w:tcPr>
          <w:p>
            <w:pPr>
              <w:pStyle w:val="单元格样式2"/>
            </w:pPr>
            <w:r>
              <w:t xml:space="preserve">其他车辆</w:t>
            </w:r>
          </w:p>
        </w:tc>
        <w:tc>
          <w:tcPr>
            <w:tcW w:w="1134" w:type="dxa"/>
            <w:vAlign w:val="center"/>
          </w:tcPr>
          <w:p>
            <w:pPr>
              <w:pStyle w:val="单元格样式2"/>
            </w:pPr>
            <w:r>
              <w:t xml:space="preserve">A02039900</w:t>
            </w:r>
          </w:p>
        </w:tc>
        <w:tc>
          <w:tcPr>
            <w:tcW w:w="709" w:type="dxa"/>
            <w:vAlign w:val="center"/>
          </w:tcPr>
          <w:p>
            <w:pPr>
              <w:pStyle w:val="单元格样式3"/>
            </w:pPr>
            <w:r>
              <w:t xml:space="preserve">辆</w:t>
            </w:r>
          </w:p>
        </w:tc>
        <w:tc>
          <w:tcPr>
            <w:tcW w:w="850" w:type="dxa"/>
            <w:vAlign w:val="center"/>
          </w:tcPr>
          <w:p>
            <w:pPr>
              <w:pStyle w:val="单元格样式4"/>
            </w:pPr>
            <w:r>
              <w:t xml:space="preserve">1</w:t>
            </w:r>
          </w:p>
        </w:tc>
        <w:tc>
          <w:tcPr>
            <w:tcW w:w="850"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审计执法经费</w:t>
            </w:r>
          </w:p>
        </w:tc>
        <w:tc>
          <w:tcPr>
            <w:tcW w:w="964" w:type="dxa"/>
            <w:vAlign w:val="center"/>
          </w:tcPr>
          <w:p>
            <w:pPr>
              <w:pStyle w:val="单元格样式4"/>
            </w:pPr>
            <w:r>
              <w:t xml:space="preserve">550.00</w:t>
            </w:r>
          </w:p>
        </w:tc>
        <w:tc>
          <w:tcPr>
            <w:tcW w:w="1134" w:type="dxa"/>
            <w:vAlign w:val="center"/>
          </w:tcPr>
          <w:p>
            <w:pPr>
              <w:pStyle w:val="单元格样式2"/>
            </w:pPr>
            <w:r>
              <w:t xml:space="preserve">审计服务</w:t>
            </w:r>
          </w:p>
        </w:tc>
        <w:tc>
          <w:tcPr>
            <w:tcW w:w="1134" w:type="dxa"/>
            <w:vAlign w:val="center"/>
          </w:tcPr>
          <w:p>
            <w:pPr>
              <w:pStyle w:val="单元格样式2"/>
            </w:pPr>
            <w:r>
              <w:t xml:space="preserve">C23030000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350.00</w:t>
            </w:r>
          </w:p>
        </w:tc>
      </w:tr>
      <w:tr>
        <w:tblPrEx>
          <w:jc w:val="center"/>
          <w:tblLayout w:type="fixed"/>
        </w:tblPrEx>
        <w:trPr>
          <w:jc w:val="center"/>
        </w:trPr>
        <w:tc>
          <w:tcPr>
            <w:tcW w:w="1701" w:type="dxa"/>
            <w:vAlign w:val="center"/>
          </w:tcPr>
          <w:p>
            <w:pPr>
              <w:pStyle w:val="单元格样式2"/>
            </w:pPr>
            <w:r>
              <w:t xml:space="preserve">数据流量和处理经费</w:t>
            </w:r>
          </w:p>
        </w:tc>
        <w:tc>
          <w:tcPr>
            <w:tcW w:w="964" w:type="dxa"/>
            <w:vAlign w:val="center"/>
          </w:tcPr>
          <w:p>
            <w:pPr>
              <w:pStyle w:val="单元格样式4"/>
            </w:pPr>
            <w:r>
              <w:t xml:space="preserve">100.00</w:t>
            </w:r>
          </w:p>
        </w:tc>
        <w:tc>
          <w:tcPr>
            <w:tcW w:w="1134" w:type="dxa"/>
            <w:vAlign w:val="center"/>
          </w:tcPr>
          <w:p>
            <w:pPr>
              <w:pStyle w:val="单元格样式2"/>
            </w:pPr>
            <w:r>
              <w:t xml:space="preserve">数据加工处理服务</w:t>
            </w:r>
          </w:p>
        </w:tc>
        <w:tc>
          <w:tcPr>
            <w:tcW w:w="1134" w:type="dxa"/>
            <w:vAlign w:val="center"/>
          </w:tcPr>
          <w:p>
            <w:pPr>
              <w:pStyle w:val="单元格样式2"/>
            </w:pPr>
            <w:r>
              <w:t xml:space="preserve">C16030200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55.00</w:t>
            </w:r>
          </w:p>
        </w:tc>
      </w:tr>
      <w:tr>
        <w:tblPrEx>
          <w:jc w:val="center"/>
          <w:tblLayout w:type="fixed"/>
        </w:tblPrEx>
        <w:trPr>
          <w:jc w:val="center"/>
        </w:trPr>
        <w:tc>
          <w:tcPr>
            <w:tcW w:w="1701" w:type="dxa"/>
            <w:vAlign w:val="center"/>
          </w:tcPr>
          <w:p>
            <w:pPr>
              <w:pStyle w:val="单元格样式2"/>
            </w:pPr>
            <w:r>
              <w:t xml:space="preserve">数据流量和处理经费</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石家庄市审计局（含所属单位）上年末固定资产金额为0.00万元（详见下表）。本年度拟购置固定资产总额为0.00万元，已按要求列入政府采购预算，详见政府采购预算表。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319石家庄市审计局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2026-02-09T23:29:37Z</dcterms:created>
  <dcterms:modified xsi:type="dcterms:W3CDTF">2026-02-09T23:29:37Z</dcterms:modified>
</cp:coreProperties>
</file>