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rFonts w:ascii="方正楷体_GBK" w:hAnsi="方正楷体_GBK" w:eastAsia="方正楷体_GBK" w:cs="方正楷体_GBK"/>
          <w:b/>
          <w:color w:val="000000"/>
          <w:sz w:val="28"/>
        </w:rPr>
        <w:t>部门预算公开表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rPr>
          <w:rFonts w:hint="eastAsia"/>
          <w:lang w:val="en-US" w:eastAsia="zh-CN"/>
        </w:rPr>
        <w:t>1</w:t>
      </w:r>
      <w:r>
        <w:fldChar w:fldCharType="end"/>
      </w:r>
    </w:p>
    <w:p>
      <w:pPr>
        <w:pStyle w:val="2"/>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rPr>
          <w:rFonts w:hint="eastAsia"/>
          <w:lang w:val="en-US" w:eastAsia="zh-CN"/>
        </w:rPr>
        <w:t>3</w:t>
      </w:r>
      <w:r>
        <w:fldChar w:fldCharType="end"/>
      </w:r>
    </w:p>
    <w:p>
      <w:pPr>
        <w:pStyle w:val="2"/>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rPr>
          <w:rFonts w:hint="eastAsia"/>
          <w:lang w:val="en-US" w:eastAsia="zh-CN"/>
        </w:rPr>
        <w:t>5</w:t>
      </w:r>
      <w:r>
        <w:fldChar w:fldCharType="end"/>
      </w:r>
    </w:p>
    <w:p>
      <w:pPr>
        <w:pStyle w:val="2"/>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rPr>
          <w:rFonts w:hint="eastAsia"/>
          <w:lang w:val="en-US" w:eastAsia="zh-CN"/>
        </w:rPr>
        <w:t>7</w:t>
      </w:r>
      <w:r>
        <w:fldChar w:fldCharType="end"/>
      </w:r>
    </w:p>
    <w:p>
      <w:pPr>
        <w:pStyle w:val="2"/>
        <w:tabs>
          <w:tab w:val="right" w:leader="dot" w:pos="14562"/>
        </w:tabs>
        <w:rPr>
          <w:rFonts w:hint="eastAsia" w:eastAsia="方正仿宋_GBK"/>
          <w:lang w:val="en-US" w:eastAsia="zh-CN"/>
        </w:rPr>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0</w:t>
      </w:r>
    </w:p>
    <w:p>
      <w:pPr>
        <w:pStyle w:val="2"/>
        <w:tabs>
          <w:tab w:val="right" w:leader="dot" w:pos="14562"/>
        </w:tabs>
        <w:rPr>
          <w:rFonts w:hint="eastAsia" w:eastAsia="方正仿宋_GBK"/>
          <w:lang w:val="en-US" w:eastAsia="zh-CN"/>
        </w:rPr>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2</w:t>
      </w:r>
    </w:p>
    <w:p>
      <w:pPr>
        <w:pStyle w:val="2"/>
        <w:tabs>
          <w:tab w:val="right" w:leader="dot" w:pos="14562"/>
        </w:tabs>
        <w:rPr>
          <w:rFonts w:hint="eastAsia" w:eastAsia="方正仿宋_GBK"/>
          <w:lang w:val="en-US" w:eastAsia="zh-CN"/>
        </w:rPr>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rPr>
          <w:rFonts w:hint="eastAsia"/>
          <w:lang w:val="en-US" w:eastAsia="zh-CN"/>
        </w:rPr>
        <w:t>1</w:t>
      </w:r>
      <w:r>
        <w:fldChar w:fldCharType="end"/>
      </w:r>
      <w:r>
        <w:rPr>
          <w:rFonts w:hint="eastAsia"/>
          <w:lang w:val="en-US" w:eastAsia="zh-CN"/>
        </w:rPr>
        <w:t>4</w:t>
      </w:r>
    </w:p>
    <w:p>
      <w:pPr>
        <w:pStyle w:val="2"/>
        <w:tabs>
          <w:tab w:val="right" w:leader="dot" w:pos="14562"/>
        </w:tabs>
        <w:rPr>
          <w:rFonts w:hint="eastAsia" w:eastAsia="方正仿宋_GBK"/>
          <w:lang w:val="en-US" w:eastAsia="zh-CN"/>
        </w:rPr>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5</w:t>
      </w:r>
    </w:p>
    <w:p>
      <w:pPr>
        <w:pStyle w:val="2"/>
        <w:tabs>
          <w:tab w:val="right" w:leader="dot" w:pos="14562"/>
        </w:tabs>
        <w:rPr>
          <w:rFonts w:hint="eastAsia" w:eastAsia="方正仿宋_GBK"/>
          <w:lang w:val="en-US" w:eastAsia="zh-CN"/>
        </w:rPr>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6</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p>
    <w:p>
      <w:pPr>
        <w:pStyle w:val="2"/>
        <w:tabs>
          <w:tab w:val="right" w:leader="dot" w:pos="14562"/>
        </w:tabs>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rPr>
          <w:rFonts w:hint="eastAsia"/>
          <w:lang w:val="en-US" w:eastAsia="zh-CN"/>
        </w:rPr>
        <w:t>2</w:t>
      </w:r>
      <w:r>
        <w:fldChar w:fldCharType="end"/>
      </w:r>
    </w:p>
    <w:p>
      <w:pPr>
        <w:pStyle w:val="2"/>
        <w:tabs>
          <w:tab w:val="right" w:leader="dot" w:pos="14562"/>
        </w:tabs>
      </w:pPr>
      <w:r>
        <w:fldChar w:fldCharType="begin"/>
      </w:r>
      <w:r>
        <w:instrText xml:space="preserve">HYPERLINK \l _Toc_3_3_0000000012</w:instrText>
      </w:r>
      <w:r>
        <w:fldChar w:fldCharType="separate"/>
      </w:r>
      <w:r>
        <w:t>三、机关运行经费安排情况</w:t>
      </w:r>
      <w:r>
        <w:tab/>
      </w:r>
      <w:r>
        <w:rPr>
          <w:rFonts w:hint="eastAsia"/>
          <w:lang w:val="en-US" w:eastAsia="zh-CN"/>
        </w:rPr>
        <w:t>3</w:t>
      </w:r>
      <w:r>
        <w:fldChar w:fldCharType="end"/>
      </w:r>
    </w:p>
    <w:p>
      <w:pPr>
        <w:pStyle w:val="2"/>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3</w:t>
      </w:r>
      <w:r>
        <w:fldChar w:fldCharType="end"/>
      </w:r>
    </w:p>
    <w:p>
      <w:pPr>
        <w:pStyle w:val="2"/>
        <w:tabs>
          <w:tab w:val="right" w:leader="dot" w:pos="14562"/>
        </w:tabs>
      </w:pPr>
      <w:r>
        <w:fldChar w:fldCharType="begin"/>
      </w:r>
      <w:r>
        <w:instrText xml:space="preserve">HYPERLINK \l _Toc_3_3_0000000014</w:instrText>
      </w:r>
      <w:r>
        <w:fldChar w:fldCharType="separate"/>
      </w:r>
      <w:r>
        <w:t>五、</w:t>
      </w:r>
      <w:r>
        <w:rPr>
          <w:rFonts w:hint="eastAsia"/>
          <w:lang w:eastAsia="zh-CN"/>
        </w:rPr>
        <w:t>单位</w:t>
      </w:r>
      <w:r>
        <w:t>整体绩效目标</w:t>
      </w:r>
      <w:r>
        <w:tab/>
      </w:r>
      <w:r>
        <w:rPr>
          <w:rFonts w:hint="eastAsia"/>
          <w:lang w:val="en-US" w:eastAsia="zh-CN"/>
        </w:rPr>
        <w:t>3</w:t>
      </w:r>
      <w:r>
        <w:fldChar w:fldCharType="end"/>
      </w:r>
    </w:p>
    <w:p>
      <w:pPr>
        <w:pStyle w:val="2"/>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rPr>
          <w:rFonts w:hint="eastAsia"/>
          <w:lang w:eastAsia="zh-CN"/>
        </w:rPr>
        <w:t>六</w:t>
      </w:r>
      <w:r>
        <w:t>、政府采购预算情况</w:t>
      </w:r>
      <w:r>
        <w:tab/>
      </w:r>
      <w:r>
        <w:rPr>
          <w:rFonts w:hint="eastAsia"/>
          <w:lang w:val="en-US" w:eastAsia="zh-CN"/>
        </w:rPr>
        <w:t>1</w:t>
      </w:r>
      <w:r>
        <w:fldChar w:fldCharType="end"/>
      </w:r>
      <w:r>
        <w:rPr>
          <w:rFonts w:hint="eastAsia"/>
          <w:lang w:val="en-US" w:eastAsia="zh-CN"/>
        </w:rPr>
        <w:t>6</w:t>
      </w:r>
    </w:p>
    <w:p>
      <w:pPr>
        <w:pStyle w:val="2"/>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rPr>
          <w:rFonts w:hint="eastAsia"/>
          <w:lang w:eastAsia="zh-CN"/>
        </w:rPr>
        <w:t>七</w:t>
      </w:r>
      <w:r>
        <w:t>、国有资产信息</w:t>
      </w:r>
      <w:r>
        <w:tab/>
      </w:r>
      <w:r>
        <w:rPr>
          <w:rFonts w:hint="eastAsia"/>
          <w:lang w:val="en-US" w:eastAsia="zh-CN"/>
        </w:rPr>
        <w:t>1</w:t>
      </w:r>
      <w:r>
        <w:fldChar w:fldCharType="end"/>
      </w:r>
      <w:r>
        <w:rPr>
          <w:rFonts w:hint="eastAsia"/>
          <w:lang w:val="en-US" w:eastAsia="zh-CN"/>
        </w:rPr>
        <w:t>7</w:t>
      </w:r>
    </w:p>
    <w:p>
      <w:pPr>
        <w:pStyle w:val="2"/>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rPr>
          <w:rFonts w:hint="eastAsia"/>
          <w:lang w:eastAsia="zh-CN"/>
        </w:rPr>
        <w:t>八</w:t>
      </w:r>
      <w:r>
        <w:t>、名词解释</w:t>
      </w:r>
      <w:r>
        <w:tab/>
      </w:r>
      <w:r>
        <w:rPr>
          <w:rFonts w:hint="eastAsia"/>
          <w:lang w:val="en-US" w:eastAsia="zh-CN"/>
        </w:rPr>
        <w:t>1</w:t>
      </w:r>
      <w:r>
        <w:fldChar w:fldCharType="end"/>
      </w:r>
      <w:r>
        <w:rPr>
          <w:rFonts w:hint="eastAsia"/>
          <w:lang w:val="en-US" w:eastAsia="zh-CN"/>
        </w:rPr>
        <w:t>8</w:t>
      </w:r>
    </w:p>
    <w:p>
      <w:pPr>
        <w:pStyle w:val="2"/>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rPr>
          <w:rFonts w:hint="eastAsia"/>
          <w:lang w:eastAsia="zh-CN"/>
        </w:rPr>
        <w:t>九</w:t>
      </w:r>
      <w:r>
        <w:t>、其他需要说明的事项</w:t>
      </w:r>
      <w:r>
        <w:tab/>
      </w:r>
      <w:r>
        <w:rPr>
          <w:rFonts w:hint="eastAsia"/>
          <w:lang w:val="en-US" w:eastAsia="zh-CN"/>
        </w:rPr>
        <w:t>1</w:t>
      </w:r>
      <w:r>
        <w:fldChar w:fldCharType="end"/>
      </w:r>
      <w:r>
        <w:rPr>
          <w:rFonts w:hint="eastAsia"/>
          <w:lang w:val="en-US" w:eastAsia="zh-CN"/>
        </w:rPr>
        <w:t>9</w:t>
      </w:r>
    </w:p>
    <w:p>
      <w:pPr>
        <w:pStyle w:val="2"/>
        <w:tabs>
          <w:tab w:val="right" w:leader="dot" w:pos="14562"/>
        </w:tabs>
      </w:pP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一、中共石家庄市委网络安全和信息化委员会办公室本级收支预算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224001中共石家庄市委网络安全和信息化委员会办公室本级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2128.55</w:t>
            </w:r>
          </w:p>
        </w:tc>
        <w:tc>
          <w:tcPr>
            <w:tcW w:w="4535" w:type="dxa"/>
            <w:vAlign w:val="center"/>
          </w:tcPr>
          <w:p>
            <w:pPr>
              <w:pStyle w:val="12"/>
            </w:pPr>
            <w:r>
              <w:t>一、一般公共服务支出</w:t>
            </w:r>
          </w:p>
        </w:tc>
        <w:tc>
          <w:tcPr>
            <w:tcW w:w="2126" w:type="dxa"/>
            <w:vAlign w:val="center"/>
          </w:tcPr>
          <w:p>
            <w:pPr>
              <w:pStyle w:val="11"/>
            </w:pPr>
            <w:r>
              <w:t>1872.71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119.49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2128.55</w:t>
            </w:r>
          </w:p>
        </w:tc>
        <w:tc>
          <w:tcPr>
            <w:tcW w:w="4535" w:type="dxa"/>
            <w:vAlign w:val="center"/>
          </w:tcPr>
          <w:p>
            <w:pPr>
              <w:pStyle w:val="14"/>
            </w:pPr>
            <w:r>
              <w:t>本年支出合计</w:t>
            </w:r>
          </w:p>
        </w:tc>
        <w:tc>
          <w:tcPr>
            <w:tcW w:w="2126" w:type="dxa"/>
            <w:vAlign w:val="center"/>
          </w:tcPr>
          <w:p>
            <w:pPr>
              <w:pStyle w:val="15"/>
            </w:pPr>
            <w:r>
              <w:t>2128.55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2128.55</w:t>
            </w:r>
          </w:p>
        </w:tc>
        <w:tc>
          <w:tcPr>
            <w:tcW w:w="4535" w:type="dxa"/>
            <w:vAlign w:val="center"/>
          </w:tcPr>
          <w:p>
            <w:pPr>
              <w:pStyle w:val="14"/>
            </w:pPr>
            <w:r>
              <w:t>支出总计</w:t>
            </w:r>
          </w:p>
        </w:tc>
        <w:tc>
          <w:tcPr>
            <w:tcW w:w="2126" w:type="dxa"/>
            <w:vAlign w:val="center"/>
          </w:tcPr>
          <w:p>
            <w:pPr>
              <w:pStyle w:val="15"/>
            </w:pPr>
            <w:r>
              <w:t>2128.55</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224001中共石家庄市委网络安全和信息化委员会办公室本级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2128.55</w:t>
            </w:r>
          </w:p>
        </w:tc>
        <w:tc>
          <w:tcPr>
            <w:tcW w:w="1134" w:type="dxa"/>
            <w:vAlign w:val="center"/>
          </w:tcPr>
          <w:p>
            <w:pPr>
              <w:pStyle w:val="15"/>
            </w:pPr>
            <w:r>
              <w:t>2128.55</w:t>
            </w:r>
          </w:p>
        </w:tc>
        <w:tc>
          <w:tcPr>
            <w:tcW w:w="1134" w:type="dxa"/>
            <w:vAlign w:val="center"/>
          </w:tcPr>
          <w:p>
            <w:pPr>
              <w:pStyle w:val="15"/>
            </w:pPr>
            <w:r>
              <w:t>2128.55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1872.71</w:t>
            </w:r>
          </w:p>
        </w:tc>
        <w:tc>
          <w:tcPr>
            <w:tcW w:w="1134" w:type="dxa"/>
            <w:vAlign w:val="center"/>
          </w:tcPr>
          <w:p>
            <w:pPr>
              <w:pStyle w:val="11"/>
            </w:pPr>
            <w:r>
              <w:t>1872.71</w:t>
            </w:r>
          </w:p>
        </w:tc>
        <w:tc>
          <w:tcPr>
            <w:tcW w:w="1134" w:type="dxa"/>
            <w:vAlign w:val="center"/>
          </w:tcPr>
          <w:p>
            <w:pPr>
              <w:pStyle w:val="11"/>
            </w:pPr>
            <w:r>
              <w:t>1872.71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20137</w:t>
            </w:r>
          </w:p>
        </w:tc>
        <w:tc>
          <w:tcPr>
            <w:tcW w:w="1559" w:type="dxa"/>
            <w:vAlign w:val="center"/>
          </w:tcPr>
          <w:p>
            <w:pPr>
              <w:pStyle w:val="12"/>
            </w:pPr>
            <w:r>
              <w:t>网信事务</w:t>
            </w:r>
          </w:p>
        </w:tc>
        <w:tc>
          <w:tcPr>
            <w:tcW w:w="1134" w:type="dxa"/>
            <w:vAlign w:val="center"/>
          </w:tcPr>
          <w:p>
            <w:pPr>
              <w:pStyle w:val="11"/>
            </w:pPr>
            <w:r>
              <w:t>1872.71</w:t>
            </w:r>
          </w:p>
        </w:tc>
        <w:tc>
          <w:tcPr>
            <w:tcW w:w="1134" w:type="dxa"/>
            <w:vAlign w:val="center"/>
          </w:tcPr>
          <w:p>
            <w:pPr>
              <w:pStyle w:val="11"/>
            </w:pPr>
            <w:r>
              <w:t>1872.71</w:t>
            </w:r>
          </w:p>
        </w:tc>
        <w:tc>
          <w:tcPr>
            <w:tcW w:w="1134" w:type="dxa"/>
            <w:vAlign w:val="center"/>
          </w:tcPr>
          <w:p>
            <w:pPr>
              <w:pStyle w:val="11"/>
            </w:pPr>
            <w:r>
              <w:t>1872.71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2013701</w:t>
            </w:r>
          </w:p>
        </w:tc>
        <w:tc>
          <w:tcPr>
            <w:tcW w:w="1559" w:type="dxa"/>
            <w:vAlign w:val="center"/>
          </w:tcPr>
          <w:p>
            <w:pPr>
              <w:pStyle w:val="12"/>
            </w:pPr>
            <w:r>
              <w:t>行政运行</w:t>
            </w:r>
          </w:p>
        </w:tc>
        <w:tc>
          <w:tcPr>
            <w:tcW w:w="1134" w:type="dxa"/>
            <w:vAlign w:val="center"/>
          </w:tcPr>
          <w:p>
            <w:pPr>
              <w:pStyle w:val="11"/>
            </w:pPr>
            <w:r>
              <w:t>889.21</w:t>
            </w:r>
          </w:p>
        </w:tc>
        <w:tc>
          <w:tcPr>
            <w:tcW w:w="1134" w:type="dxa"/>
            <w:vAlign w:val="center"/>
          </w:tcPr>
          <w:p>
            <w:pPr>
              <w:pStyle w:val="11"/>
            </w:pPr>
            <w:r>
              <w:t>889.21</w:t>
            </w:r>
          </w:p>
        </w:tc>
        <w:tc>
          <w:tcPr>
            <w:tcW w:w="1134" w:type="dxa"/>
            <w:vAlign w:val="center"/>
          </w:tcPr>
          <w:p>
            <w:pPr>
              <w:pStyle w:val="11"/>
            </w:pPr>
            <w:r>
              <w:t>889.21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2013702</w:t>
            </w:r>
          </w:p>
        </w:tc>
        <w:tc>
          <w:tcPr>
            <w:tcW w:w="1559" w:type="dxa"/>
            <w:vAlign w:val="center"/>
          </w:tcPr>
          <w:p>
            <w:pPr>
              <w:pStyle w:val="12"/>
            </w:pPr>
            <w:r>
              <w:t>一般行政管理事务</w:t>
            </w:r>
          </w:p>
        </w:tc>
        <w:tc>
          <w:tcPr>
            <w:tcW w:w="1134" w:type="dxa"/>
            <w:vAlign w:val="center"/>
          </w:tcPr>
          <w:p>
            <w:pPr>
              <w:pStyle w:val="11"/>
            </w:pPr>
            <w:r>
              <w:t>983.50</w:t>
            </w:r>
          </w:p>
        </w:tc>
        <w:tc>
          <w:tcPr>
            <w:tcW w:w="1134" w:type="dxa"/>
            <w:vAlign w:val="center"/>
          </w:tcPr>
          <w:p>
            <w:pPr>
              <w:pStyle w:val="11"/>
            </w:pPr>
            <w:r>
              <w:t>983.50</w:t>
            </w:r>
          </w:p>
        </w:tc>
        <w:tc>
          <w:tcPr>
            <w:tcW w:w="1134" w:type="dxa"/>
            <w:vAlign w:val="center"/>
          </w:tcPr>
          <w:p>
            <w:pPr>
              <w:pStyle w:val="11"/>
            </w:pPr>
            <w:r>
              <w:t>983.50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119.49</w:t>
            </w:r>
          </w:p>
        </w:tc>
        <w:tc>
          <w:tcPr>
            <w:tcW w:w="1134" w:type="dxa"/>
            <w:vAlign w:val="center"/>
          </w:tcPr>
          <w:p>
            <w:pPr>
              <w:pStyle w:val="11"/>
            </w:pPr>
            <w:r>
              <w:t>119.49</w:t>
            </w:r>
          </w:p>
        </w:tc>
        <w:tc>
          <w:tcPr>
            <w:tcW w:w="1134" w:type="dxa"/>
            <w:vAlign w:val="center"/>
          </w:tcPr>
          <w:p>
            <w:pPr>
              <w:pStyle w:val="11"/>
            </w:pPr>
            <w:r>
              <w:t>119.49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115.04</w:t>
            </w:r>
          </w:p>
        </w:tc>
        <w:tc>
          <w:tcPr>
            <w:tcW w:w="1134" w:type="dxa"/>
            <w:vAlign w:val="center"/>
          </w:tcPr>
          <w:p>
            <w:pPr>
              <w:pStyle w:val="11"/>
            </w:pPr>
            <w:r>
              <w:t>115.04</w:t>
            </w:r>
          </w:p>
        </w:tc>
        <w:tc>
          <w:tcPr>
            <w:tcW w:w="1134" w:type="dxa"/>
            <w:vAlign w:val="center"/>
          </w:tcPr>
          <w:p>
            <w:pPr>
              <w:pStyle w:val="11"/>
            </w:pPr>
            <w:r>
              <w:t>115.04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14.99</w:t>
            </w:r>
          </w:p>
        </w:tc>
        <w:tc>
          <w:tcPr>
            <w:tcW w:w="1134" w:type="dxa"/>
            <w:vAlign w:val="center"/>
          </w:tcPr>
          <w:p>
            <w:pPr>
              <w:pStyle w:val="11"/>
            </w:pPr>
            <w:r>
              <w:t>14.99</w:t>
            </w:r>
          </w:p>
        </w:tc>
        <w:tc>
          <w:tcPr>
            <w:tcW w:w="1134" w:type="dxa"/>
            <w:vAlign w:val="center"/>
          </w:tcPr>
          <w:p>
            <w:pPr>
              <w:pStyle w:val="11"/>
            </w:pPr>
            <w:r>
              <w:t>14.99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100.05</w:t>
            </w:r>
          </w:p>
        </w:tc>
        <w:tc>
          <w:tcPr>
            <w:tcW w:w="1134" w:type="dxa"/>
            <w:vAlign w:val="center"/>
          </w:tcPr>
          <w:p>
            <w:pPr>
              <w:pStyle w:val="11"/>
            </w:pPr>
            <w:r>
              <w:t>100.05</w:t>
            </w:r>
          </w:p>
        </w:tc>
        <w:tc>
          <w:tcPr>
            <w:tcW w:w="1134" w:type="dxa"/>
            <w:vAlign w:val="center"/>
          </w:tcPr>
          <w:p>
            <w:pPr>
              <w:pStyle w:val="11"/>
            </w:pPr>
            <w:r>
              <w:t>100.05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4.45</w:t>
            </w:r>
          </w:p>
        </w:tc>
        <w:tc>
          <w:tcPr>
            <w:tcW w:w="1134" w:type="dxa"/>
            <w:vAlign w:val="center"/>
          </w:tcPr>
          <w:p>
            <w:pPr>
              <w:pStyle w:val="11"/>
            </w:pPr>
            <w:r>
              <w:t>4.45</w:t>
            </w:r>
          </w:p>
        </w:tc>
        <w:tc>
          <w:tcPr>
            <w:tcW w:w="1134" w:type="dxa"/>
            <w:vAlign w:val="center"/>
          </w:tcPr>
          <w:p>
            <w:pPr>
              <w:pStyle w:val="11"/>
            </w:pPr>
            <w:r>
              <w:t>4.45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4.45</w:t>
            </w:r>
          </w:p>
        </w:tc>
        <w:tc>
          <w:tcPr>
            <w:tcW w:w="1134" w:type="dxa"/>
            <w:vAlign w:val="center"/>
          </w:tcPr>
          <w:p>
            <w:pPr>
              <w:pStyle w:val="11"/>
            </w:pPr>
            <w:r>
              <w:t>4.45</w:t>
            </w:r>
          </w:p>
        </w:tc>
        <w:tc>
          <w:tcPr>
            <w:tcW w:w="1134" w:type="dxa"/>
            <w:vAlign w:val="center"/>
          </w:tcPr>
          <w:p>
            <w:pPr>
              <w:pStyle w:val="11"/>
            </w:pPr>
            <w:r>
              <w:t>4.45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48.90</w:t>
            </w:r>
          </w:p>
        </w:tc>
        <w:tc>
          <w:tcPr>
            <w:tcW w:w="1134" w:type="dxa"/>
            <w:vAlign w:val="center"/>
          </w:tcPr>
          <w:p>
            <w:pPr>
              <w:pStyle w:val="11"/>
            </w:pPr>
            <w:r>
              <w:t>48.90</w:t>
            </w:r>
          </w:p>
        </w:tc>
        <w:tc>
          <w:tcPr>
            <w:tcW w:w="1134" w:type="dxa"/>
            <w:vAlign w:val="center"/>
          </w:tcPr>
          <w:p>
            <w:pPr>
              <w:pStyle w:val="11"/>
            </w:pPr>
            <w:r>
              <w:t>48.90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48.90</w:t>
            </w:r>
          </w:p>
        </w:tc>
        <w:tc>
          <w:tcPr>
            <w:tcW w:w="1134" w:type="dxa"/>
            <w:vAlign w:val="center"/>
          </w:tcPr>
          <w:p>
            <w:pPr>
              <w:pStyle w:val="11"/>
            </w:pPr>
            <w:r>
              <w:t>48.90</w:t>
            </w:r>
          </w:p>
        </w:tc>
        <w:tc>
          <w:tcPr>
            <w:tcW w:w="1134" w:type="dxa"/>
            <w:vAlign w:val="center"/>
          </w:tcPr>
          <w:p>
            <w:pPr>
              <w:pStyle w:val="11"/>
            </w:pPr>
            <w:r>
              <w:t>48.90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32.44</w:t>
            </w:r>
          </w:p>
        </w:tc>
        <w:tc>
          <w:tcPr>
            <w:tcW w:w="1134" w:type="dxa"/>
            <w:vAlign w:val="center"/>
          </w:tcPr>
          <w:p>
            <w:pPr>
              <w:pStyle w:val="11"/>
            </w:pPr>
            <w:r>
              <w:t>32.44</w:t>
            </w:r>
          </w:p>
        </w:tc>
        <w:tc>
          <w:tcPr>
            <w:tcW w:w="1134" w:type="dxa"/>
            <w:vAlign w:val="center"/>
          </w:tcPr>
          <w:p>
            <w:pPr>
              <w:pStyle w:val="11"/>
            </w:pPr>
            <w:r>
              <w:t>32.44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16.46</w:t>
            </w:r>
          </w:p>
        </w:tc>
        <w:tc>
          <w:tcPr>
            <w:tcW w:w="1134" w:type="dxa"/>
            <w:vAlign w:val="center"/>
          </w:tcPr>
          <w:p>
            <w:pPr>
              <w:pStyle w:val="11"/>
            </w:pPr>
            <w:r>
              <w:t>16.46</w:t>
            </w:r>
          </w:p>
        </w:tc>
        <w:tc>
          <w:tcPr>
            <w:tcW w:w="1134" w:type="dxa"/>
            <w:vAlign w:val="center"/>
          </w:tcPr>
          <w:p>
            <w:pPr>
              <w:pStyle w:val="11"/>
            </w:pPr>
            <w:r>
              <w:t>16.46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87.45</w:t>
            </w:r>
          </w:p>
        </w:tc>
        <w:tc>
          <w:tcPr>
            <w:tcW w:w="1134" w:type="dxa"/>
            <w:vAlign w:val="center"/>
          </w:tcPr>
          <w:p>
            <w:pPr>
              <w:pStyle w:val="11"/>
            </w:pPr>
            <w:r>
              <w:t>87.45</w:t>
            </w:r>
          </w:p>
        </w:tc>
        <w:tc>
          <w:tcPr>
            <w:tcW w:w="1134" w:type="dxa"/>
            <w:vAlign w:val="center"/>
          </w:tcPr>
          <w:p>
            <w:pPr>
              <w:pStyle w:val="11"/>
            </w:pPr>
            <w:r>
              <w:t>87.45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87.45</w:t>
            </w:r>
          </w:p>
        </w:tc>
        <w:tc>
          <w:tcPr>
            <w:tcW w:w="1134" w:type="dxa"/>
            <w:vAlign w:val="center"/>
          </w:tcPr>
          <w:p>
            <w:pPr>
              <w:pStyle w:val="11"/>
            </w:pPr>
            <w:r>
              <w:t>87.45</w:t>
            </w:r>
          </w:p>
        </w:tc>
        <w:tc>
          <w:tcPr>
            <w:tcW w:w="1134" w:type="dxa"/>
            <w:vAlign w:val="center"/>
          </w:tcPr>
          <w:p>
            <w:pPr>
              <w:pStyle w:val="11"/>
            </w:pPr>
            <w:r>
              <w:t>87.45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87.45</w:t>
            </w:r>
          </w:p>
        </w:tc>
        <w:tc>
          <w:tcPr>
            <w:tcW w:w="1134" w:type="dxa"/>
            <w:vAlign w:val="center"/>
          </w:tcPr>
          <w:p>
            <w:pPr>
              <w:pStyle w:val="11"/>
            </w:pPr>
            <w:r>
              <w:t>87.45</w:t>
            </w:r>
          </w:p>
        </w:tc>
        <w:tc>
          <w:tcPr>
            <w:tcW w:w="1134" w:type="dxa"/>
            <w:vAlign w:val="center"/>
          </w:tcPr>
          <w:p>
            <w:pPr>
              <w:pStyle w:val="11"/>
            </w:pPr>
            <w:r>
              <w:t>87.45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224001中共石家庄市委网络安全和信息化委员会办公室本级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2128.55</w:t>
            </w:r>
          </w:p>
        </w:tc>
        <w:tc>
          <w:tcPr>
            <w:tcW w:w="1361" w:type="dxa"/>
            <w:vAlign w:val="center"/>
          </w:tcPr>
          <w:p>
            <w:pPr>
              <w:pStyle w:val="15"/>
            </w:pPr>
            <w:r>
              <w:t>1145.05</w:t>
            </w:r>
          </w:p>
        </w:tc>
        <w:tc>
          <w:tcPr>
            <w:tcW w:w="1361" w:type="dxa"/>
            <w:vAlign w:val="center"/>
          </w:tcPr>
          <w:p>
            <w:pPr>
              <w:pStyle w:val="15"/>
            </w:pPr>
            <w:r>
              <w:t>983.50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1872.71</w:t>
            </w:r>
          </w:p>
        </w:tc>
        <w:tc>
          <w:tcPr>
            <w:tcW w:w="1361" w:type="dxa"/>
            <w:vAlign w:val="center"/>
          </w:tcPr>
          <w:p>
            <w:pPr>
              <w:pStyle w:val="11"/>
            </w:pPr>
            <w:r>
              <w:t>889.21</w:t>
            </w:r>
          </w:p>
        </w:tc>
        <w:tc>
          <w:tcPr>
            <w:tcW w:w="1361" w:type="dxa"/>
            <w:vAlign w:val="center"/>
          </w:tcPr>
          <w:p>
            <w:pPr>
              <w:pStyle w:val="11"/>
            </w:pPr>
            <w:r>
              <w:t>983.50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20137</w:t>
            </w:r>
          </w:p>
        </w:tc>
        <w:tc>
          <w:tcPr>
            <w:tcW w:w="4535" w:type="dxa"/>
            <w:vAlign w:val="center"/>
          </w:tcPr>
          <w:p>
            <w:pPr>
              <w:pStyle w:val="12"/>
            </w:pPr>
            <w:r>
              <w:t>网信事务</w:t>
            </w:r>
          </w:p>
        </w:tc>
        <w:tc>
          <w:tcPr>
            <w:tcW w:w="1361" w:type="dxa"/>
            <w:vAlign w:val="center"/>
          </w:tcPr>
          <w:p>
            <w:pPr>
              <w:pStyle w:val="11"/>
            </w:pPr>
            <w:r>
              <w:t>1872.71</w:t>
            </w:r>
          </w:p>
        </w:tc>
        <w:tc>
          <w:tcPr>
            <w:tcW w:w="1361" w:type="dxa"/>
            <w:vAlign w:val="center"/>
          </w:tcPr>
          <w:p>
            <w:pPr>
              <w:pStyle w:val="11"/>
            </w:pPr>
            <w:r>
              <w:t>889.21</w:t>
            </w:r>
          </w:p>
        </w:tc>
        <w:tc>
          <w:tcPr>
            <w:tcW w:w="1361" w:type="dxa"/>
            <w:vAlign w:val="center"/>
          </w:tcPr>
          <w:p>
            <w:pPr>
              <w:pStyle w:val="11"/>
            </w:pPr>
            <w:r>
              <w:t>983.50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2013701</w:t>
            </w:r>
          </w:p>
        </w:tc>
        <w:tc>
          <w:tcPr>
            <w:tcW w:w="4535" w:type="dxa"/>
            <w:vAlign w:val="center"/>
          </w:tcPr>
          <w:p>
            <w:pPr>
              <w:pStyle w:val="12"/>
            </w:pPr>
            <w:r>
              <w:t>行政运行</w:t>
            </w:r>
          </w:p>
        </w:tc>
        <w:tc>
          <w:tcPr>
            <w:tcW w:w="1361" w:type="dxa"/>
            <w:vAlign w:val="center"/>
          </w:tcPr>
          <w:p>
            <w:pPr>
              <w:pStyle w:val="11"/>
            </w:pPr>
            <w:r>
              <w:t>889.21</w:t>
            </w:r>
          </w:p>
        </w:tc>
        <w:tc>
          <w:tcPr>
            <w:tcW w:w="1361" w:type="dxa"/>
            <w:vAlign w:val="center"/>
          </w:tcPr>
          <w:p>
            <w:pPr>
              <w:pStyle w:val="11"/>
            </w:pPr>
            <w:r>
              <w:t>889.21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2013702</w:t>
            </w:r>
          </w:p>
        </w:tc>
        <w:tc>
          <w:tcPr>
            <w:tcW w:w="4535" w:type="dxa"/>
            <w:vAlign w:val="center"/>
          </w:tcPr>
          <w:p>
            <w:pPr>
              <w:pStyle w:val="12"/>
            </w:pPr>
            <w:r>
              <w:t>一般行政管理事务</w:t>
            </w:r>
          </w:p>
        </w:tc>
        <w:tc>
          <w:tcPr>
            <w:tcW w:w="1361" w:type="dxa"/>
            <w:vAlign w:val="center"/>
          </w:tcPr>
          <w:p>
            <w:pPr>
              <w:pStyle w:val="11"/>
            </w:pPr>
            <w:r>
              <w:t>983.50</w:t>
            </w:r>
          </w:p>
        </w:tc>
        <w:tc>
          <w:tcPr>
            <w:tcW w:w="1361" w:type="dxa"/>
            <w:vAlign w:val="center"/>
          </w:tcPr>
          <w:p>
            <w:pPr>
              <w:pStyle w:val="11"/>
            </w:pPr>
          </w:p>
        </w:tc>
        <w:tc>
          <w:tcPr>
            <w:tcW w:w="1361" w:type="dxa"/>
            <w:vAlign w:val="center"/>
          </w:tcPr>
          <w:p>
            <w:pPr>
              <w:pStyle w:val="11"/>
            </w:pPr>
            <w:r>
              <w:t>983.50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119.49</w:t>
            </w:r>
          </w:p>
        </w:tc>
        <w:tc>
          <w:tcPr>
            <w:tcW w:w="1361" w:type="dxa"/>
            <w:vAlign w:val="center"/>
          </w:tcPr>
          <w:p>
            <w:pPr>
              <w:pStyle w:val="11"/>
            </w:pPr>
            <w:r>
              <w:t>119.49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115.04</w:t>
            </w:r>
          </w:p>
        </w:tc>
        <w:tc>
          <w:tcPr>
            <w:tcW w:w="1361" w:type="dxa"/>
            <w:vAlign w:val="center"/>
          </w:tcPr>
          <w:p>
            <w:pPr>
              <w:pStyle w:val="11"/>
            </w:pPr>
            <w:r>
              <w:t>115.04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14.99</w:t>
            </w:r>
          </w:p>
        </w:tc>
        <w:tc>
          <w:tcPr>
            <w:tcW w:w="1361" w:type="dxa"/>
            <w:vAlign w:val="center"/>
          </w:tcPr>
          <w:p>
            <w:pPr>
              <w:pStyle w:val="11"/>
            </w:pPr>
            <w:r>
              <w:t>14.99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100.05</w:t>
            </w:r>
          </w:p>
        </w:tc>
        <w:tc>
          <w:tcPr>
            <w:tcW w:w="1361" w:type="dxa"/>
            <w:vAlign w:val="center"/>
          </w:tcPr>
          <w:p>
            <w:pPr>
              <w:pStyle w:val="11"/>
            </w:pPr>
            <w:r>
              <w:t>100.05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4.45</w:t>
            </w:r>
          </w:p>
        </w:tc>
        <w:tc>
          <w:tcPr>
            <w:tcW w:w="1361" w:type="dxa"/>
            <w:vAlign w:val="center"/>
          </w:tcPr>
          <w:p>
            <w:pPr>
              <w:pStyle w:val="11"/>
            </w:pPr>
            <w:r>
              <w:t>4.45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4.45</w:t>
            </w:r>
          </w:p>
        </w:tc>
        <w:tc>
          <w:tcPr>
            <w:tcW w:w="1361" w:type="dxa"/>
            <w:vAlign w:val="center"/>
          </w:tcPr>
          <w:p>
            <w:pPr>
              <w:pStyle w:val="11"/>
            </w:pPr>
            <w:r>
              <w:t>4.45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48.90</w:t>
            </w:r>
          </w:p>
        </w:tc>
        <w:tc>
          <w:tcPr>
            <w:tcW w:w="1361" w:type="dxa"/>
            <w:vAlign w:val="center"/>
          </w:tcPr>
          <w:p>
            <w:pPr>
              <w:pStyle w:val="11"/>
            </w:pPr>
            <w:r>
              <w:t>48.90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48.90</w:t>
            </w:r>
          </w:p>
        </w:tc>
        <w:tc>
          <w:tcPr>
            <w:tcW w:w="1361" w:type="dxa"/>
            <w:vAlign w:val="center"/>
          </w:tcPr>
          <w:p>
            <w:pPr>
              <w:pStyle w:val="11"/>
            </w:pPr>
            <w:r>
              <w:t>48.90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32.44</w:t>
            </w:r>
          </w:p>
        </w:tc>
        <w:tc>
          <w:tcPr>
            <w:tcW w:w="1361" w:type="dxa"/>
            <w:vAlign w:val="center"/>
          </w:tcPr>
          <w:p>
            <w:pPr>
              <w:pStyle w:val="11"/>
            </w:pPr>
            <w:r>
              <w:t>32.44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16.46</w:t>
            </w:r>
          </w:p>
        </w:tc>
        <w:tc>
          <w:tcPr>
            <w:tcW w:w="1361" w:type="dxa"/>
            <w:vAlign w:val="center"/>
          </w:tcPr>
          <w:p>
            <w:pPr>
              <w:pStyle w:val="11"/>
            </w:pPr>
            <w:r>
              <w:t>16.46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87.45</w:t>
            </w:r>
          </w:p>
        </w:tc>
        <w:tc>
          <w:tcPr>
            <w:tcW w:w="1361" w:type="dxa"/>
            <w:vAlign w:val="center"/>
          </w:tcPr>
          <w:p>
            <w:pPr>
              <w:pStyle w:val="11"/>
            </w:pPr>
            <w:r>
              <w:t>87.45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87.45</w:t>
            </w:r>
          </w:p>
        </w:tc>
        <w:tc>
          <w:tcPr>
            <w:tcW w:w="1361" w:type="dxa"/>
            <w:vAlign w:val="center"/>
          </w:tcPr>
          <w:p>
            <w:pPr>
              <w:pStyle w:val="11"/>
            </w:pPr>
            <w:r>
              <w:t>87.45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87.45</w:t>
            </w:r>
          </w:p>
        </w:tc>
        <w:tc>
          <w:tcPr>
            <w:tcW w:w="1361" w:type="dxa"/>
            <w:vAlign w:val="center"/>
          </w:tcPr>
          <w:p>
            <w:pPr>
              <w:pStyle w:val="11"/>
            </w:pPr>
            <w:r>
              <w:t>87.45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224001中共石家庄市委网络安全和信息化委员会办公室本级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2128.55</w:t>
            </w:r>
          </w:p>
        </w:tc>
        <w:tc>
          <w:tcPr>
            <w:tcW w:w="3402" w:type="dxa"/>
            <w:vAlign w:val="center"/>
          </w:tcPr>
          <w:p>
            <w:pPr>
              <w:pStyle w:val="12"/>
            </w:pPr>
            <w:r>
              <w:t>一、一般公共服务支出</w:t>
            </w:r>
          </w:p>
        </w:tc>
        <w:tc>
          <w:tcPr>
            <w:tcW w:w="1474" w:type="dxa"/>
            <w:vAlign w:val="center"/>
          </w:tcPr>
          <w:p>
            <w:pPr>
              <w:pStyle w:val="11"/>
            </w:pPr>
            <w:r>
              <w:t>1872.71</w:t>
            </w:r>
          </w:p>
        </w:tc>
        <w:tc>
          <w:tcPr>
            <w:tcW w:w="1474" w:type="dxa"/>
            <w:vAlign w:val="center"/>
          </w:tcPr>
          <w:p>
            <w:pPr>
              <w:pStyle w:val="11"/>
            </w:pPr>
            <w:r>
              <w:t>1872.71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119.49</w:t>
            </w:r>
          </w:p>
        </w:tc>
        <w:tc>
          <w:tcPr>
            <w:tcW w:w="1474" w:type="dxa"/>
            <w:vAlign w:val="center"/>
          </w:tcPr>
          <w:p>
            <w:pPr>
              <w:pStyle w:val="11"/>
            </w:pPr>
            <w:r>
              <w:t>119.49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48.90</w:t>
            </w:r>
          </w:p>
        </w:tc>
        <w:tc>
          <w:tcPr>
            <w:tcW w:w="1474" w:type="dxa"/>
            <w:vAlign w:val="center"/>
          </w:tcPr>
          <w:p>
            <w:pPr>
              <w:pStyle w:val="11"/>
            </w:pPr>
            <w:r>
              <w:t>48.90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87.45</w:t>
            </w:r>
          </w:p>
        </w:tc>
        <w:tc>
          <w:tcPr>
            <w:tcW w:w="1474" w:type="dxa"/>
            <w:vAlign w:val="center"/>
          </w:tcPr>
          <w:p>
            <w:pPr>
              <w:pStyle w:val="11"/>
            </w:pPr>
            <w:r>
              <w:t>87.45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2128.55</w:t>
            </w:r>
          </w:p>
        </w:tc>
        <w:tc>
          <w:tcPr>
            <w:tcW w:w="3402" w:type="dxa"/>
            <w:vAlign w:val="center"/>
          </w:tcPr>
          <w:p>
            <w:pPr>
              <w:pStyle w:val="14"/>
            </w:pPr>
            <w:r>
              <w:t>本年支出合计</w:t>
            </w:r>
          </w:p>
        </w:tc>
        <w:tc>
          <w:tcPr>
            <w:tcW w:w="1474" w:type="dxa"/>
            <w:vAlign w:val="center"/>
          </w:tcPr>
          <w:p>
            <w:pPr>
              <w:pStyle w:val="15"/>
            </w:pPr>
            <w:r>
              <w:t>2128.55</w:t>
            </w:r>
          </w:p>
        </w:tc>
        <w:tc>
          <w:tcPr>
            <w:tcW w:w="1474" w:type="dxa"/>
            <w:vAlign w:val="center"/>
          </w:tcPr>
          <w:p>
            <w:pPr>
              <w:pStyle w:val="15"/>
            </w:pPr>
            <w:r>
              <w:t>2128.55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2128.55</w:t>
            </w:r>
          </w:p>
        </w:tc>
        <w:tc>
          <w:tcPr>
            <w:tcW w:w="3402" w:type="dxa"/>
            <w:vAlign w:val="center"/>
          </w:tcPr>
          <w:p>
            <w:pPr>
              <w:pStyle w:val="14"/>
            </w:pPr>
            <w:r>
              <w:t>支出总计</w:t>
            </w:r>
          </w:p>
        </w:tc>
        <w:tc>
          <w:tcPr>
            <w:tcW w:w="1474" w:type="dxa"/>
            <w:vAlign w:val="center"/>
          </w:tcPr>
          <w:p>
            <w:pPr>
              <w:pStyle w:val="15"/>
            </w:pPr>
            <w:r>
              <w:t>2128.55</w:t>
            </w:r>
          </w:p>
        </w:tc>
        <w:tc>
          <w:tcPr>
            <w:tcW w:w="1474" w:type="dxa"/>
            <w:vAlign w:val="center"/>
          </w:tcPr>
          <w:p>
            <w:pPr>
              <w:pStyle w:val="15"/>
            </w:pPr>
            <w:r>
              <w:t>2128.55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224001中共石家庄市委网络安全和信息化委员会办公室本级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2128.55</w:t>
            </w:r>
          </w:p>
        </w:tc>
        <w:tc>
          <w:tcPr>
            <w:tcW w:w="2551" w:type="dxa"/>
            <w:vAlign w:val="center"/>
          </w:tcPr>
          <w:p>
            <w:pPr>
              <w:pStyle w:val="15"/>
            </w:pPr>
            <w:r>
              <w:t>1145.05</w:t>
            </w:r>
          </w:p>
        </w:tc>
        <w:tc>
          <w:tcPr>
            <w:tcW w:w="2551" w:type="dxa"/>
            <w:vAlign w:val="center"/>
          </w:tcPr>
          <w:p>
            <w:pPr>
              <w:pStyle w:val="15"/>
            </w:pPr>
            <w:r>
              <w:t>983.50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1872.71</w:t>
            </w:r>
          </w:p>
        </w:tc>
        <w:tc>
          <w:tcPr>
            <w:tcW w:w="2551" w:type="dxa"/>
            <w:vAlign w:val="center"/>
          </w:tcPr>
          <w:p>
            <w:pPr>
              <w:pStyle w:val="11"/>
            </w:pPr>
            <w:r>
              <w:t>889.21</w:t>
            </w:r>
          </w:p>
        </w:tc>
        <w:tc>
          <w:tcPr>
            <w:tcW w:w="2551" w:type="dxa"/>
            <w:vAlign w:val="center"/>
          </w:tcPr>
          <w:p>
            <w:pPr>
              <w:pStyle w:val="11"/>
            </w:pPr>
            <w:r>
              <w:t>983.50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20137</w:t>
            </w:r>
          </w:p>
        </w:tc>
        <w:tc>
          <w:tcPr>
            <w:tcW w:w="4535" w:type="dxa"/>
            <w:vAlign w:val="center"/>
          </w:tcPr>
          <w:p>
            <w:pPr>
              <w:pStyle w:val="12"/>
            </w:pPr>
            <w:r>
              <w:t>网信事务</w:t>
            </w:r>
          </w:p>
        </w:tc>
        <w:tc>
          <w:tcPr>
            <w:tcW w:w="2551" w:type="dxa"/>
            <w:vAlign w:val="center"/>
          </w:tcPr>
          <w:p>
            <w:pPr>
              <w:pStyle w:val="11"/>
            </w:pPr>
            <w:r>
              <w:t>1872.71</w:t>
            </w:r>
          </w:p>
        </w:tc>
        <w:tc>
          <w:tcPr>
            <w:tcW w:w="2551" w:type="dxa"/>
            <w:vAlign w:val="center"/>
          </w:tcPr>
          <w:p>
            <w:pPr>
              <w:pStyle w:val="11"/>
            </w:pPr>
            <w:r>
              <w:t>889.21</w:t>
            </w:r>
          </w:p>
        </w:tc>
        <w:tc>
          <w:tcPr>
            <w:tcW w:w="2551" w:type="dxa"/>
            <w:vAlign w:val="center"/>
          </w:tcPr>
          <w:p>
            <w:pPr>
              <w:pStyle w:val="11"/>
            </w:pPr>
            <w:r>
              <w:t>983.50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2013701</w:t>
            </w:r>
          </w:p>
        </w:tc>
        <w:tc>
          <w:tcPr>
            <w:tcW w:w="4535" w:type="dxa"/>
            <w:vAlign w:val="center"/>
          </w:tcPr>
          <w:p>
            <w:pPr>
              <w:pStyle w:val="12"/>
            </w:pPr>
            <w:r>
              <w:t>行政运行</w:t>
            </w:r>
          </w:p>
        </w:tc>
        <w:tc>
          <w:tcPr>
            <w:tcW w:w="2551" w:type="dxa"/>
            <w:vAlign w:val="center"/>
          </w:tcPr>
          <w:p>
            <w:pPr>
              <w:pStyle w:val="11"/>
            </w:pPr>
            <w:r>
              <w:t>889.21</w:t>
            </w:r>
          </w:p>
        </w:tc>
        <w:tc>
          <w:tcPr>
            <w:tcW w:w="2551" w:type="dxa"/>
            <w:vAlign w:val="center"/>
          </w:tcPr>
          <w:p>
            <w:pPr>
              <w:pStyle w:val="11"/>
            </w:pPr>
            <w:r>
              <w:t>889.21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2013702</w:t>
            </w:r>
          </w:p>
        </w:tc>
        <w:tc>
          <w:tcPr>
            <w:tcW w:w="4535" w:type="dxa"/>
            <w:vAlign w:val="center"/>
          </w:tcPr>
          <w:p>
            <w:pPr>
              <w:pStyle w:val="12"/>
            </w:pPr>
            <w:r>
              <w:t>一般行政管理事务</w:t>
            </w:r>
          </w:p>
        </w:tc>
        <w:tc>
          <w:tcPr>
            <w:tcW w:w="2551" w:type="dxa"/>
            <w:vAlign w:val="center"/>
          </w:tcPr>
          <w:p>
            <w:pPr>
              <w:pStyle w:val="11"/>
            </w:pPr>
            <w:r>
              <w:t>983.50</w:t>
            </w:r>
          </w:p>
        </w:tc>
        <w:tc>
          <w:tcPr>
            <w:tcW w:w="2551" w:type="dxa"/>
            <w:vAlign w:val="center"/>
          </w:tcPr>
          <w:p>
            <w:pPr>
              <w:pStyle w:val="11"/>
            </w:pPr>
          </w:p>
        </w:tc>
        <w:tc>
          <w:tcPr>
            <w:tcW w:w="2551" w:type="dxa"/>
            <w:vAlign w:val="center"/>
          </w:tcPr>
          <w:p>
            <w:pPr>
              <w:pStyle w:val="11"/>
            </w:pPr>
            <w:r>
              <w:t>983.50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119.49</w:t>
            </w:r>
          </w:p>
        </w:tc>
        <w:tc>
          <w:tcPr>
            <w:tcW w:w="2551" w:type="dxa"/>
            <w:vAlign w:val="center"/>
          </w:tcPr>
          <w:p>
            <w:pPr>
              <w:pStyle w:val="11"/>
            </w:pPr>
            <w:r>
              <w:t>119.49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115.04</w:t>
            </w:r>
          </w:p>
        </w:tc>
        <w:tc>
          <w:tcPr>
            <w:tcW w:w="2551" w:type="dxa"/>
            <w:vAlign w:val="center"/>
          </w:tcPr>
          <w:p>
            <w:pPr>
              <w:pStyle w:val="11"/>
            </w:pPr>
            <w:r>
              <w:t>115.04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14.99</w:t>
            </w:r>
          </w:p>
        </w:tc>
        <w:tc>
          <w:tcPr>
            <w:tcW w:w="2551" w:type="dxa"/>
            <w:vAlign w:val="center"/>
          </w:tcPr>
          <w:p>
            <w:pPr>
              <w:pStyle w:val="11"/>
            </w:pPr>
            <w:r>
              <w:t>14.99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100.05</w:t>
            </w:r>
          </w:p>
        </w:tc>
        <w:tc>
          <w:tcPr>
            <w:tcW w:w="2551" w:type="dxa"/>
            <w:vAlign w:val="center"/>
          </w:tcPr>
          <w:p>
            <w:pPr>
              <w:pStyle w:val="11"/>
            </w:pPr>
            <w:r>
              <w:t>100.05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4.45</w:t>
            </w:r>
          </w:p>
        </w:tc>
        <w:tc>
          <w:tcPr>
            <w:tcW w:w="2551" w:type="dxa"/>
            <w:vAlign w:val="center"/>
          </w:tcPr>
          <w:p>
            <w:pPr>
              <w:pStyle w:val="11"/>
            </w:pPr>
            <w:r>
              <w:t>4.45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4.45</w:t>
            </w:r>
          </w:p>
        </w:tc>
        <w:tc>
          <w:tcPr>
            <w:tcW w:w="2551" w:type="dxa"/>
            <w:vAlign w:val="center"/>
          </w:tcPr>
          <w:p>
            <w:pPr>
              <w:pStyle w:val="11"/>
            </w:pPr>
            <w:r>
              <w:t>4.45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48.90</w:t>
            </w:r>
          </w:p>
        </w:tc>
        <w:tc>
          <w:tcPr>
            <w:tcW w:w="2551" w:type="dxa"/>
            <w:vAlign w:val="center"/>
          </w:tcPr>
          <w:p>
            <w:pPr>
              <w:pStyle w:val="11"/>
            </w:pPr>
            <w:r>
              <w:t>48.90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48.90</w:t>
            </w:r>
          </w:p>
        </w:tc>
        <w:tc>
          <w:tcPr>
            <w:tcW w:w="2551" w:type="dxa"/>
            <w:vAlign w:val="center"/>
          </w:tcPr>
          <w:p>
            <w:pPr>
              <w:pStyle w:val="11"/>
            </w:pPr>
            <w:r>
              <w:t>48.90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32.44</w:t>
            </w:r>
          </w:p>
        </w:tc>
        <w:tc>
          <w:tcPr>
            <w:tcW w:w="2551" w:type="dxa"/>
            <w:vAlign w:val="center"/>
          </w:tcPr>
          <w:p>
            <w:pPr>
              <w:pStyle w:val="11"/>
            </w:pPr>
            <w:r>
              <w:t>32.44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16.46</w:t>
            </w:r>
          </w:p>
        </w:tc>
        <w:tc>
          <w:tcPr>
            <w:tcW w:w="2551" w:type="dxa"/>
            <w:vAlign w:val="center"/>
          </w:tcPr>
          <w:p>
            <w:pPr>
              <w:pStyle w:val="11"/>
            </w:pPr>
            <w:r>
              <w:t>16.46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87.45</w:t>
            </w:r>
          </w:p>
        </w:tc>
        <w:tc>
          <w:tcPr>
            <w:tcW w:w="2551" w:type="dxa"/>
            <w:vAlign w:val="center"/>
          </w:tcPr>
          <w:p>
            <w:pPr>
              <w:pStyle w:val="11"/>
            </w:pPr>
            <w:r>
              <w:t>87.45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87.45</w:t>
            </w:r>
          </w:p>
        </w:tc>
        <w:tc>
          <w:tcPr>
            <w:tcW w:w="2551" w:type="dxa"/>
            <w:vAlign w:val="center"/>
          </w:tcPr>
          <w:p>
            <w:pPr>
              <w:pStyle w:val="11"/>
            </w:pPr>
            <w:r>
              <w:t>87.45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87.45</w:t>
            </w:r>
          </w:p>
        </w:tc>
        <w:tc>
          <w:tcPr>
            <w:tcW w:w="2551" w:type="dxa"/>
            <w:vAlign w:val="center"/>
          </w:tcPr>
          <w:p>
            <w:pPr>
              <w:pStyle w:val="11"/>
            </w:pPr>
            <w:r>
              <w:t>87.45</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224001中共石家庄市委网络安全和信息化委员会办公室本级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1145.05</w:t>
            </w:r>
          </w:p>
        </w:tc>
        <w:tc>
          <w:tcPr>
            <w:tcW w:w="2551" w:type="dxa"/>
            <w:vAlign w:val="center"/>
          </w:tcPr>
          <w:p>
            <w:pPr>
              <w:pStyle w:val="15"/>
            </w:pPr>
            <w:r>
              <w:t>1040.50</w:t>
            </w:r>
          </w:p>
        </w:tc>
        <w:tc>
          <w:tcPr>
            <w:tcW w:w="2551" w:type="dxa"/>
            <w:vAlign w:val="center"/>
          </w:tcPr>
          <w:p>
            <w:pPr>
              <w:pStyle w:val="15"/>
            </w:pPr>
            <w:r>
              <w:t>104.55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1023.86</w:t>
            </w:r>
          </w:p>
        </w:tc>
        <w:tc>
          <w:tcPr>
            <w:tcW w:w="2551" w:type="dxa"/>
            <w:vAlign w:val="center"/>
          </w:tcPr>
          <w:p>
            <w:pPr>
              <w:pStyle w:val="11"/>
            </w:pPr>
            <w:r>
              <w:t>1023.86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269.68</w:t>
            </w:r>
          </w:p>
        </w:tc>
        <w:tc>
          <w:tcPr>
            <w:tcW w:w="2551" w:type="dxa"/>
            <w:vAlign w:val="center"/>
          </w:tcPr>
          <w:p>
            <w:pPr>
              <w:pStyle w:val="11"/>
            </w:pPr>
            <w:r>
              <w:t>269.68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155.11</w:t>
            </w:r>
          </w:p>
        </w:tc>
        <w:tc>
          <w:tcPr>
            <w:tcW w:w="2551" w:type="dxa"/>
            <w:vAlign w:val="center"/>
          </w:tcPr>
          <w:p>
            <w:pPr>
              <w:pStyle w:val="11"/>
            </w:pPr>
            <w:r>
              <w:t>155.11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188.87</w:t>
            </w:r>
          </w:p>
        </w:tc>
        <w:tc>
          <w:tcPr>
            <w:tcW w:w="2551" w:type="dxa"/>
            <w:vAlign w:val="center"/>
          </w:tcPr>
          <w:p>
            <w:pPr>
              <w:pStyle w:val="11"/>
            </w:pPr>
            <w:r>
              <w:t>188.87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153.04</w:t>
            </w:r>
          </w:p>
        </w:tc>
        <w:tc>
          <w:tcPr>
            <w:tcW w:w="2551" w:type="dxa"/>
            <w:vAlign w:val="center"/>
          </w:tcPr>
          <w:p>
            <w:pPr>
              <w:pStyle w:val="11"/>
            </w:pPr>
            <w:r>
              <w:t>153.04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100.05</w:t>
            </w:r>
          </w:p>
        </w:tc>
        <w:tc>
          <w:tcPr>
            <w:tcW w:w="2551" w:type="dxa"/>
            <w:vAlign w:val="center"/>
          </w:tcPr>
          <w:p>
            <w:pPr>
              <w:pStyle w:val="11"/>
            </w:pPr>
            <w:r>
              <w:t>100.05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32.44</w:t>
            </w:r>
          </w:p>
        </w:tc>
        <w:tc>
          <w:tcPr>
            <w:tcW w:w="2551" w:type="dxa"/>
            <w:vAlign w:val="center"/>
          </w:tcPr>
          <w:p>
            <w:pPr>
              <w:pStyle w:val="11"/>
            </w:pPr>
            <w:r>
              <w:t>32.44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16.46</w:t>
            </w:r>
          </w:p>
        </w:tc>
        <w:tc>
          <w:tcPr>
            <w:tcW w:w="2551" w:type="dxa"/>
            <w:vAlign w:val="center"/>
          </w:tcPr>
          <w:p>
            <w:pPr>
              <w:pStyle w:val="11"/>
            </w:pPr>
            <w:r>
              <w:t>16.46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4.45</w:t>
            </w:r>
          </w:p>
        </w:tc>
        <w:tc>
          <w:tcPr>
            <w:tcW w:w="2551" w:type="dxa"/>
            <w:vAlign w:val="center"/>
          </w:tcPr>
          <w:p>
            <w:pPr>
              <w:pStyle w:val="11"/>
            </w:pPr>
            <w:r>
              <w:t>4.45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87.45</w:t>
            </w:r>
          </w:p>
        </w:tc>
        <w:tc>
          <w:tcPr>
            <w:tcW w:w="2551" w:type="dxa"/>
            <w:vAlign w:val="center"/>
          </w:tcPr>
          <w:p>
            <w:pPr>
              <w:pStyle w:val="11"/>
            </w:pPr>
            <w:r>
              <w:t>87.45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16.31</w:t>
            </w:r>
          </w:p>
        </w:tc>
        <w:tc>
          <w:tcPr>
            <w:tcW w:w="2551" w:type="dxa"/>
            <w:vAlign w:val="center"/>
          </w:tcPr>
          <w:p>
            <w:pPr>
              <w:pStyle w:val="11"/>
            </w:pPr>
            <w:r>
              <w:t>16.31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104.55</w:t>
            </w:r>
          </w:p>
        </w:tc>
        <w:tc>
          <w:tcPr>
            <w:tcW w:w="2551" w:type="dxa"/>
            <w:vAlign w:val="center"/>
          </w:tcPr>
          <w:p>
            <w:pPr>
              <w:pStyle w:val="11"/>
            </w:pPr>
          </w:p>
        </w:tc>
        <w:tc>
          <w:tcPr>
            <w:tcW w:w="2551" w:type="dxa"/>
            <w:vAlign w:val="center"/>
          </w:tcPr>
          <w:p>
            <w:pPr>
              <w:pStyle w:val="11"/>
            </w:pPr>
            <w:r>
              <w:t>104.55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11.25</w:t>
            </w:r>
          </w:p>
        </w:tc>
        <w:tc>
          <w:tcPr>
            <w:tcW w:w="2551" w:type="dxa"/>
            <w:vAlign w:val="center"/>
          </w:tcPr>
          <w:p>
            <w:pPr>
              <w:pStyle w:val="11"/>
            </w:pPr>
          </w:p>
        </w:tc>
        <w:tc>
          <w:tcPr>
            <w:tcW w:w="2551" w:type="dxa"/>
            <w:vAlign w:val="center"/>
          </w:tcPr>
          <w:p>
            <w:pPr>
              <w:pStyle w:val="11"/>
            </w:pPr>
            <w:r>
              <w:t>11.25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22.25</w:t>
            </w:r>
          </w:p>
        </w:tc>
        <w:tc>
          <w:tcPr>
            <w:tcW w:w="2551" w:type="dxa"/>
            <w:vAlign w:val="center"/>
          </w:tcPr>
          <w:p>
            <w:pPr>
              <w:pStyle w:val="11"/>
            </w:pPr>
          </w:p>
        </w:tc>
        <w:tc>
          <w:tcPr>
            <w:tcW w:w="2551" w:type="dxa"/>
            <w:vAlign w:val="center"/>
          </w:tcPr>
          <w:p>
            <w:pPr>
              <w:pStyle w:val="11"/>
            </w:pPr>
            <w:r>
              <w:t>22.25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9.90</w:t>
            </w:r>
          </w:p>
        </w:tc>
        <w:tc>
          <w:tcPr>
            <w:tcW w:w="2551" w:type="dxa"/>
            <w:vAlign w:val="center"/>
          </w:tcPr>
          <w:p>
            <w:pPr>
              <w:pStyle w:val="11"/>
            </w:pPr>
          </w:p>
        </w:tc>
        <w:tc>
          <w:tcPr>
            <w:tcW w:w="2551" w:type="dxa"/>
            <w:vAlign w:val="center"/>
          </w:tcPr>
          <w:p>
            <w:pPr>
              <w:pStyle w:val="11"/>
            </w:pPr>
            <w:r>
              <w:t>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0.87</w:t>
            </w:r>
          </w:p>
        </w:tc>
        <w:tc>
          <w:tcPr>
            <w:tcW w:w="2551" w:type="dxa"/>
            <w:vAlign w:val="center"/>
          </w:tcPr>
          <w:p>
            <w:pPr>
              <w:pStyle w:val="11"/>
            </w:pPr>
          </w:p>
        </w:tc>
        <w:tc>
          <w:tcPr>
            <w:tcW w:w="2551" w:type="dxa"/>
            <w:vAlign w:val="center"/>
          </w:tcPr>
          <w:p>
            <w:pPr>
              <w:pStyle w:val="11"/>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1.48</w:t>
            </w:r>
          </w:p>
        </w:tc>
        <w:tc>
          <w:tcPr>
            <w:tcW w:w="2551" w:type="dxa"/>
            <w:vAlign w:val="center"/>
          </w:tcPr>
          <w:p>
            <w:pPr>
              <w:pStyle w:val="11"/>
            </w:pPr>
          </w:p>
        </w:tc>
        <w:tc>
          <w:tcPr>
            <w:tcW w:w="2551" w:type="dxa"/>
            <w:vAlign w:val="center"/>
          </w:tcPr>
          <w:p>
            <w:pPr>
              <w:pStyle w:val="11"/>
            </w:pPr>
            <w: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0.59</w:t>
            </w:r>
          </w:p>
        </w:tc>
        <w:tc>
          <w:tcPr>
            <w:tcW w:w="2551" w:type="dxa"/>
            <w:vAlign w:val="center"/>
          </w:tcPr>
          <w:p>
            <w:pPr>
              <w:pStyle w:val="11"/>
            </w:pPr>
          </w:p>
        </w:tc>
        <w:tc>
          <w:tcPr>
            <w:tcW w:w="2551" w:type="dxa"/>
            <w:vAlign w:val="center"/>
          </w:tcPr>
          <w:p>
            <w:pPr>
              <w:pStyle w:val="11"/>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9.40</w:t>
            </w:r>
          </w:p>
        </w:tc>
        <w:tc>
          <w:tcPr>
            <w:tcW w:w="2551" w:type="dxa"/>
            <w:vAlign w:val="center"/>
          </w:tcPr>
          <w:p>
            <w:pPr>
              <w:pStyle w:val="11"/>
            </w:pPr>
          </w:p>
        </w:tc>
        <w:tc>
          <w:tcPr>
            <w:tcW w:w="2551" w:type="dxa"/>
            <w:vAlign w:val="center"/>
          </w:tcPr>
          <w:p>
            <w:pPr>
              <w:pStyle w:val="11"/>
            </w:pPr>
            <w:r>
              <w:t>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2.23</w:t>
            </w:r>
          </w:p>
        </w:tc>
        <w:tc>
          <w:tcPr>
            <w:tcW w:w="2551" w:type="dxa"/>
            <w:vAlign w:val="center"/>
          </w:tcPr>
          <w:p>
            <w:pPr>
              <w:pStyle w:val="11"/>
            </w:pPr>
          </w:p>
        </w:tc>
        <w:tc>
          <w:tcPr>
            <w:tcW w:w="2551" w:type="dxa"/>
            <w:vAlign w:val="center"/>
          </w:tcPr>
          <w:p>
            <w:pPr>
              <w:pStyle w:val="11"/>
            </w:pPr>
            <w:r>
              <w:t>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16.58</w:t>
            </w:r>
          </w:p>
        </w:tc>
        <w:tc>
          <w:tcPr>
            <w:tcW w:w="2551" w:type="dxa"/>
            <w:vAlign w:val="center"/>
          </w:tcPr>
          <w:p>
            <w:pPr>
              <w:pStyle w:val="11"/>
            </w:pPr>
          </w:p>
        </w:tc>
        <w:tc>
          <w:tcPr>
            <w:tcW w:w="2551" w:type="dxa"/>
            <w:vAlign w:val="center"/>
          </w:tcPr>
          <w:p>
            <w:pPr>
              <w:pStyle w:val="11"/>
            </w:pPr>
            <w:r>
              <w:t>16.58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16.64</w:t>
            </w:r>
          </w:p>
        </w:tc>
        <w:tc>
          <w:tcPr>
            <w:tcW w:w="2551" w:type="dxa"/>
            <w:vAlign w:val="center"/>
          </w:tcPr>
          <w:p>
            <w:pPr>
              <w:pStyle w:val="11"/>
            </w:pPr>
            <w:r>
              <w:t>16.64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14.99</w:t>
            </w:r>
          </w:p>
        </w:tc>
        <w:tc>
          <w:tcPr>
            <w:tcW w:w="2551" w:type="dxa"/>
            <w:vAlign w:val="center"/>
          </w:tcPr>
          <w:p>
            <w:pPr>
              <w:pStyle w:val="11"/>
            </w:pPr>
            <w:r>
              <w:t>14.99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1.65</w:t>
            </w:r>
          </w:p>
        </w:tc>
        <w:tc>
          <w:tcPr>
            <w:tcW w:w="2551" w:type="dxa"/>
            <w:vAlign w:val="center"/>
          </w:tcPr>
          <w:p>
            <w:pPr>
              <w:pStyle w:val="11"/>
            </w:pPr>
            <w:r>
              <w:t>1.65</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224001中共石家庄市委网络安全和信息化委员会办公室本级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224001中共石家庄市委网络安全和信息化委员会办公室本级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224001中共石家庄市委网络安全和信息化委员会办公室本级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2.82</w:t>
            </w:r>
          </w:p>
        </w:tc>
        <w:tc>
          <w:tcPr>
            <w:tcW w:w="2381" w:type="dxa"/>
            <w:vAlign w:val="center"/>
          </w:tcPr>
          <w:p>
            <w:pPr>
              <w:pStyle w:val="15"/>
            </w:pPr>
            <w:r>
              <w:t>2.82</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2.23</w:t>
            </w:r>
          </w:p>
        </w:tc>
        <w:tc>
          <w:tcPr>
            <w:tcW w:w="2381" w:type="dxa"/>
            <w:vAlign w:val="center"/>
          </w:tcPr>
          <w:p>
            <w:pPr>
              <w:pStyle w:val="11"/>
            </w:pPr>
            <w:r>
              <w:t>2.23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2.23</w:t>
            </w:r>
          </w:p>
        </w:tc>
        <w:tc>
          <w:tcPr>
            <w:tcW w:w="2381" w:type="dxa"/>
            <w:vAlign w:val="center"/>
          </w:tcPr>
          <w:p>
            <w:pPr>
              <w:pStyle w:val="11"/>
            </w:pPr>
            <w:r>
              <w:t>2.23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r>
              <w:t>0.59</w:t>
            </w:r>
          </w:p>
        </w:tc>
        <w:tc>
          <w:tcPr>
            <w:tcW w:w="2381" w:type="dxa"/>
            <w:vAlign w:val="center"/>
          </w:tcPr>
          <w:p>
            <w:pPr>
              <w:pStyle w:val="11"/>
            </w:pPr>
            <w:r>
              <w:t>0.59</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中共石家庄市委网络安全和信息化委员会办公室本级2026年单位预算信息公开情况说明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按照《中华人民共和国预算法》、《地方预决算公开操作规程》和《关于进一步推进预算公开工作的实施意见》规定，现将中共石家庄市委网络安全和信息化委员会办公室本级2026年单位预算公开如下：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pPr>
      <w:r>
        <w:rPr>
          <w:rFonts w:ascii="Times New Roman" w:hAnsi="Times New Roman" w:eastAsia="方正仿宋_GBK" w:cs="Times New Roman"/>
          <w:color w:val="000000"/>
          <w:sz w:val="28"/>
        </w:rPr>
        <w:t>根据《中共石家庄市委网络安全和信息化委员会办公室职能配置、内设机构和人员编制规定》，中共石家庄市委网络安全和信息化委员会办公室的主要职责是：</w:t>
      </w:r>
    </w:p>
    <w:p>
      <w:pPr>
        <w:pStyle w:val="22"/>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一、负责处理市委网络安全和信息化委员会日常事务工作。</w:t>
      </w:r>
    </w:p>
    <w:p>
      <w:pPr>
        <w:pStyle w:val="22"/>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二、贯彻落实网络安全和信息化发展战略、宏观规划和重大政策。</w:t>
      </w:r>
    </w:p>
    <w:p>
      <w:pPr>
        <w:pStyle w:val="22"/>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三、负责互联网信息内容管理。</w:t>
      </w:r>
    </w:p>
    <w:p>
      <w:pPr>
        <w:pStyle w:val="22"/>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四、统筹协调网络数据安全和个人信息保护工作。</w:t>
      </w:r>
    </w:p>
    <w:p>
      <w:pPr>
        <w:pStyle w:val="22"/>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五、推动全市网络阵地建设和重点新闻网站规划建设。</w:t>
      </w:r>
    </w:p>
    <w:p>
      <w:pPr>
        <w:pStyle w:val="22"/>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六、协调推动全市网络社会工作和网络文化、网络文明建设。</w:t>
      </w:r>
    </w:p>
    <w:p>
      <w:pPr>
        <w:pStyle w:val="22"/>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七、指导各县（市、区）和有关</w:t>
      </w:r>
      <w:r>
        <w:rPr>
          <w:rFonts w:hint="eastAsia"/>
          <w:lang w:eastAsia="zh-CN"/>
        </w:rPr>
        <w:t>单位</w:t>
      </w:r>
      <w:r>
        <w:rPr>
          <w:rFonts w:hint="eastAsia"/>
        </w:rPr>
        <w:t>网络安全和信息化工作。</w:t>
      </w:r>
    </w:p>
    <w:p>
      <w:pPr>
        <w:pStyle w:val="22"/>
        <w:keepNext w:val="0"/>
        <w:keepLines w:val="0"/>
        <w:pageBreakBefore w:val="0"/>
        <w:widowControl/>
        <w:kinsoku/>
        <w:wordWrap/>
        <w:overflowPunct/>
        <w:topLinePunct w:val="0"/>
        <w:autoSpaceDE/>
        <w:autoSpaceDN/>
        <w:bidi w:val="0"/>
        <w:adjustRightInd/>
        <w:snapToGrid/>
        <w:ind w:firstLine="560" w:firstLineChars="200"/>
        <w:textAlignment w:val="auto"/>
      </w:pPr>
      <w:r>
        <w:rPr>
          <w:rFonts w:hint="eastAsia"/>
        </w:rPr>
        <w:t>八、完成省委网络安全和信息化委员会办公室（省互联网信息办公室）和市委、市政府及市委网络安全和信息化委员会、市委宣传部交办的其他事项。</w:t>
      </w:r>
    </w:p>
    <w:p>
      <w:pPr>
        <w:pStyle w:val="23"/>
        <w:sectPr>
          <w:pgSz w:w="11900" w:h="16840"/>
          <w:pgMar w:top="1361" w:right="1020" w:bottom="1361" w:left="1020" w:header="720" w:footer="720" w:gutter="0"/>
          <w:pgNumType w:start="1"/>
          <w:cols w:space="720" w:num="1"/>
        </w:sectPr>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中共石家庄市委网络安全和信息化委员会办公室本级</w:t>
            </w:r>
          </w:p>
        </w:tc>
        <w:tc>
          <w:tcPr>
            <w:tcW w:w="1843" w:type="dxa"/>
            <w:vAlign w:val="center"/>
          </w:tcPr>
          <w:p>
            <w:pPr>
              <w:pStyle w:val="13"/>
            </w:pPr>
            <w:r>
              <w:t>行政</w:t>
            </w:r>
          </w:p>
        </w:tc>
        <w:tc>
          <w:tcPr>
            <w:tcW w:w="2126" w:type="dxa"/>
            <w:vAlign w:val="center"/>
          </w:tcPr>
          <w:p>
            <w:pPr>
              <w:pStyle w:val="13"/>
            </w:pPr>
            <w:r>
              <w:t>正处（县）级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4"/>
        <w:keepNext w:val="0"/>
        <w:keepLines w:val="0"/>
        <w:pageBreakBefore w:val="0"/>
        <w:widowControl/>
        <w:kinsoku/>
        <w:wordWrap/>
        <w:overflowPunct/>
        <w:topLinePunct w:val="0"/>
        <w:autoSpaceDE/>
        <w:autoSpaceDN/>
        <w:bidi w:val="0"/>
        <w:adjustRightInd/>
        <w:snapToGrid/>
        <w:ind w:left="0" w:leftChars="0" w:firstLine="560" w:firstLineChars="200"/>
        <w:textAlignment w:val="auto"/>
        <w:rPr>
          <w:rFonts w:hint="eastAsia"/>
        </w:rPr>
      </w:pPr>
      <w:r>
        <w:rPr>
          <w:rFonts w:hint="eastAsia"/>
        </w:rPr>
        <w:t>按照预算管理有关规定，目前我市</w:t>
      </w:r>
      <w:r>
        <w:rPr>
          <w:rFonts w:hint="eastAsia"/>
          <w:lang w:eastAsia="zh-CN"/>
        </w:rPr>
        <w:t>单位</w:t>
      </w:r>
      <w:r>
        <w:rPr>
          <w:rFonts w:hint="eastAsia"/>
        </w:rPr>
        <w:t>预算的编制实行综合预算管理，即全部收入和支出都反映在预算中。中共石家庄市委网络安全和信息化委员会办公室机关及所属事业单位的收支包含在</w:t>
      </w:r>
      <w:r>
        <w:rPr>
          <w:rFonts w:hint="eastAsia"/>
          <w:lang w:eastAsia="zh-CN"/>
        </w:rPr>
        <w:t>单位</w:t>
      </w:r>
      <w:r>
        <w:rPr>
          <w:rFonts w:hint="eastAsia"/>
        </w:rPr>
        <w:t>预算中。</w:t>
      </w:r>
    </w:p>
    <w:p>
      <w:pPr>
        <w:pStyle w:val="24"/>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1.收入说明</w:t>
      </w:r>
    </w:p>
    <w:p>
      <w:pPr>
        <w:pStyle w:val="24"/>
        <w:keepNext w:val="0"/>
        <w:keepLines w:val="0"/>
        <w:pageBreakBefore w:val="0"/>
        <w:widowControl/>
        <w:kinsoku/>
        <w:wordWrap/>
        <w:overflowPunct/>
        <w:topLinePunct w:val="0"/>
        <w:autoSpaceDE/>
        <w:autoSpaceDN/>
        <w:bidi w:val="0"/>
        <w:adjustRightInd/>
        <w:snapToGrid/>
        <w:ind w:left="0" w:leftChars="0" w:firstLine="560" w:firstLineChars="200"/>
        <w:textAlignment w:val="auto"/>
        <w:rPr>
          <w:rFonts w:hint="eastAsia"/>
        </w:rPr>
      </w:pPr>
      <w:r>
        <w:rPr>
          <w:rFonts w:hint="eastAsia"/>
        </w:rPr>
        <w:t>反映本</w:t>
      </w:r>
      <w:r>
        <w:rPr>
          <w:rFonts w:hint="eastAsia"/>
          <w:lang w:eastAsia="zh-CN"/>
        </w:rPr>
        <w:t>单位</w:t>
      </w:r>
      <w:r>
        <w:rPr>
          <w:rFonts w:hint="eastAsia"/>
        </w:rPr>
        <w:t>当年全部收入。202</w:t>
      </w:r>
      <w:r>
        <w:rPr>
          <w:rFonts w:hint="eastAsia"/>
          <w:lang w:val="en-US" w:eastAsia="zh-CN"/>
        </w:rPr>
        <w:t>6</w:t>
      </w:r>
      <w:r>
        <w:rPr>
          <w:rFonts w:hint="eastAsia"/>
        </w:rPr>
        <w:t>年预算收入</w:t>
      </w:r>
      <w:r>
        <w:t>2128.55</w:t>
      </w:r>
      <w:r>
        <w:rPr>
          <w:rFonts w:hint="eastAsia"/>
        </w:rPr>
        <w:t>万元，其中：一般公共预算收入</w:t>
      </w:r>
      <w:r>
        <w:t>2128.55</w:t>
      </w:r>
      <w:r>
        <w:rPr>
          <w:rFonts w:hint="eastAsia"/>
        </w:rPr>
        <w:t>万元，基金预算收入 0万元，财政专户核拨收入 0 万元，其他来源收入 0 万元。</w:t>
      </w:r>
    </w:p>
    <w:p>
      <w:pPr>
        <w:pStyle w:val="24"/>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2.支出说明</w:t>
      </w:r>
    </w:p>
    <w:p>
      <w:pPr>
        <w:pStyle w:val="24"/>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收支预算总表支出栏、基本支出表、项目支出表按经济分类和支出功能分类科目编制，反映市委网信办年度</w:t>
      </w:r>
      <w:r>
        <w:rPr>
          <w:rFonts w:hint="eastAsia"/>
          <w:lang w:eastAsia="zh-CN"/>
        </w:rPr>
        <w:t>单位预</w:t>
      </w:r>
      <w:r>
        <w:rPr>
          <w:rFonts w:hint="eastAsia"/>
        </w:rPr>
        <w:t>算中支出预算的总体情况。202</w:t>
      </w:r>
      <w:r>
        <w:rPr>
          <w:rFonts w:hint="eastAsia"/>
          <w:lang w:val="en-US" w:eastAsia="zh-CN"/>
        </w:rPr>
        <w:t>6</w:t>
      </w:r>
      <w:r>
        <w:rPr>
          <w:rFonts w:hint="eastAsia"/>
        </w:rPr>
        <w:t>年部门支出预算为</w:t>
      </w:r>
      <w:r>
        <w:t>2128.55</w:t>
      </w:r>
      <w:r>
        <w:rPr>
          <w:rFonts w:hint="eastAsia"/>
        </w:rPr>
        <w:t>万元，其中基本支出</w:t>
      </w:r>
      <w:r>
        <w:rPr>
          <w:rFonts w:hint="eastAsia"/>
          <w:lang w:val="en-US" w:eastAsia="zh-CN"/>
        </w:rPr>
        <w:t>1145.05</w:t>
      </w:r>
      <w:r>
        <w:rPr>
          <w:rFonts w:hint="eastAsia"/>
        </w:rPr>
        <w:t>万元，人员经费</w:t>
      </w:r>
      <w:r>
        <w:rPr>
          <w:rFonts w:hint="eastAsia"/>
          <w:lang w:val="en-US" w:eastAsia="zh-CN"/>
        </w:rPr>
        <w:t>1040.50</w:t>
      </w:r>
      <w:r>
        <w:rPr>
          <w:rFonts w:hint="eastAsia"/>
        </w:rPr>
        <w:t xml:space="preserve">万元，日常公用经费 </w:t>
      </w:r>
      <w:r>
        <w:rPr>
          <w:rFonts w:hint="eastAsia"/>
          <w:lang w:val="en-US" w:eastAsia="zh-CN"/>
        </w:rPr>
        <w:t>104.55</w:t>
      </w:r>
      <w:r>
        <w:rPr>
          <w:rFonts w:hint="eastAsia"/>
        </w:rPr>
        <w:t xml:space="preserve">万元。项目支出 </w:t>
      </w:r>
      <w:r>
        <w:rPr>
          <w:rFonts w:hint="eastAsia"/>
          <w:lang w:val="en-US" w:eastAsia="zh-CN"/>
        </w:rPr>
        <w:t>983.5</w:t>
      </w:r>
      <w:r>
        <w:rPr>
          <w:rFonts w:hint="eastAsia"/>
        </w:rPr>
        <w:t xml:space="preserve">万元，主要为网络基础能力保障专项经费 </w:t>
      </w:r>
      <w:r>
        <w:rPr>
          <w:rFonts w:hint="eastAsia"/>
          <w:lang w:val="en-US" w:eastAsia="zh-CN"/>
        </w:rPr>
        <w:t>230</w:t>
      </w:r>
      <w:r>
        <w:rPr>
          <w:rFonts w:hint="eastAsia"/>
        </w:rPr>
        <w:t>万元</w:t>
      </w:r>
      <w:r>
        <w:rPr>
          <w:rFonts w:hint="eastAsia"/>
          <w:lang w:eastAsia="zh-CN"/>
        </w:rPr>
        <w:t>，</w:t>
      </w:r>
      <w:r>
        <w:rPr>
          <w:rFonts w:hint="eastAsia"/>
        </w:rPr>
        <w:t>工作场地租用费</w:t>
      </w:r>
      <w:r>
        <w:rPr>
          <w:rFonts w:hint="eastAsia"/>
          <w:lang w:val="en-US" w:eastAsia="zh-CN"/>
        </w:rPr>
        <w:t>73.5</w:t>
      </w:r>
      <w:r>
        <w:rPr>
          <w:rFonts w:hint="eastAsia"/>
        </w:rPr>
        <w:t xml:space="preserve">万元，网络文明建设专项经费 </w:t>
      </w:r>
      <w:r>
        <w:rPr>
          <w:rFonts w:hint="eastAsia"/>
          <w:lang w:val="en-US" w:eastAsia="zh-CN"/>
        </w:rPr>
        <w:t>70</w:t>
      </w:r>
      <w:r>
        <w:rPr>
          <w:rFonts w:hint="eastAsia"/>
        </w:rPr>
        <w:t>万元</w:t>
      </w:r>
      <w:r>
        <w:rPr>
          <w:rFonts w:hint="eastAsia"/>
          <w:lang w:val="en-US" w:eastAsia="zh-CN"/>
        </w:rPr>
        <w:t>,</w:t>
      </w:r>
      <w:r>
        <w:rPr>
          <w:rFonts w:hint="eastAsia"/>
        </w:rPr>
        <w:t>等；其他支出 0万元。</w:t>
      </w:r>
    </w:p>
    <w:p>
      <w:pPr>
        <w:pStyle w:val="24"/>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3.比上年增减情况</w:t>
      </w:r>
    </w:p>
    <w:p>
      <w:pPr>
        <w:pStyle w:val="24"/>
        <w:keepNext w:val="0"/>
        <w:keepLines w:val="0"/>
        <w:pageBreakBefore w:val="0"/>
        <w:widowControl/>
        <w:kinsoku/>
        <w:wordWrap/>
        <w:overflowPunct/>
        <w:topLinePunct w:val="0"/>
        <w:autoSpaceDE/>
        <w:autoSpaceDN/>
        <w:bidi w:val="0"/>
        <w:adjustRightInd/>
        <w:snapToGrid/>
        <w:ind w:firstLine="560" w:firstLineChars="200"/>
        <w:textAlignment w:val="auto"/>
      </w:pPr>
      <w:r>
        <w:rPr>
          <w:rFonts w:hint="eastAsia"/>
        </w:rPr>
        <w:t>202</w:t>
      </w:r>
      <w:r>
        <w:rPr>
          <w:rFonts w:hint="eastAsia"/>
          <w:lang w:val="en-US" w:eastAsia="zh-CN"/>
        </w:rPr>
        <w:t>6</w:t>
      </w:r>
      <w:r>
        <w:rPr>
          <w:rFonts w:hint="eastAsia"/>
        </w:rPr>
        <w:t>年部门预算收支安排</w:t>
      </w:r>
      <w:r>
        <w:t>2128.5</w:t>
      </w:r>
      <w:r>
        <w:rPr>
          <w:highlight w:val="none"/>
        </w:rPr>
        <w:t>5</w:t>
      </w:r>
      <w:r>
        <w:rPr>
          <w:rFonts w:hint="eastAsia"/>
          <w:highlight w:val="none"/>
        </w:rPr>
        <w:t xml:space="preserve"> 万元，较 202</w:t>
      </w:r>
      <w:r>
        <w:rPr>
          <w:rFonts w:hint="eastAsia"/>
          <w:highlight w:val="none"/>
          <w:lang w:val="en-US" w:eastAsia="zh-CN"/>
        </w:rPr>
        <w:t>5</w:t>
      </w:r>
      <w:r>
        <w:rPr>
          <w:rFonts w:hint="eastAsia"/>
          <w:highlight w:val="none"/>
        </w:rPr>
        <w:t>年</w:t>
      </w:r>
      <w:r>
        <w:rPr>
          <w:rFonts w:hint="eastAsia"/>
          <w:highlight w:val="none"/>
          <w:lang w:eastAsia="zh-CN"/>
        </w:rPr>
        <w:t>减少</w:t>
      </w:r>
      <w:r>
        <w:rPr>
          <w:rFonts w:hint="eastAsia"/>
          <w:highlight w:val="none"/>
        </w:rPr>
        <w:t xml:space="preserve"> </w:t>
      </w:r>
      <w:r>
        <w:rPr>
          <w:rFonts w:hint="eastAsia"/>
          <w:highlight w:val="none"/>
          <w:lang w:val="en-US" w:eastAsia="zh-CN"/>
        </w:rPr>
        <w:t>230.04</w:t>
      </w:r>
      <w:r>
        <w:rPr>
          <w:rFonts w:hint="eastAsia"/>
          <w:highlight w:val="none"/>
        </w:rPr>
        <w:t>万元，其中基本支出</w:t>
      </w:r>
      <w:r>
        <w:rPr>
          <w:rFonts w:hint="eastAsia"/>
          <w:highlight w:val="none"/>
          <w:lang w:eastAsia="zh-CN"/>
        </w:rPr>
        <w:t>减少</w:t>
      </w:r>
      <w:r>
        <w:rPr>
          <w:rFonts w:hint="eastAsia"/>
          <w:highlight w:val="none"/>
          <w:lang w:val="en-US" w:eastAsia="zh-CN"/>
        </w:rPr>
        <w:t>6.7</w:t>
      </w:r>
      <w:r>
        <w:rPr>
          <w:rFonts w:hint="eastAsia"/>
          <w:highlight w:val="none"/>
        </w:rPr>
        <w:t xml:space="preserve">万元，主要为日常公用经费 </w:t>
      </w:r>
      <w:r>
        <w:rPr>
          <w:rFonts w:hint="eastAsia"/>
          <w:highlight w:val="none"/>
          <w:lang w:eastAsia="zh-CN"/>
        </w:rPr>
        <w:t>减少</w:t>
      </w:r>
      <w:r>
        <w:rPr>
          <w:rFonts w:hint="eastAsia"/>
          <w:highlight w:val="none"/>
        </w:rPr>
        <w:t>支出。项目支出</w:t>
      </w:r>
      <w:r>
        <w:rPr>
          <w:rFonts w:hint="eastAsia"/>
          <w:highlight w:val="none"/>
          <w:lang w:eastAsia="zh-CN"/>
        </w:rPr>
        <w:t>较去年减少</w:t>
      </w:r>
      <w:r>
        <w:rPr>
          <w:rFonts w:hint="eastAsia"/>
          <w:highlight w:val="none"/>
          <w:lang w:val="en-US" w:eastAsia="zh-CN"/>
        </w:rPr>
        <w:t>223.34万元，主要原因为落实上级要求，压减项目支出</w:t>
      </w:r>
      <w:r>
        <w:rPr>
          <w:rFonts w:hint="eastAsia"/>
          <w:highlight w:val="none"/>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5"/>
        <w:ind w:left="0" w:leftChars="0" w:firstLine="560" w:firstLineChars="200"/>
      </w:pPr>
      <w:r>
        <w:rPr>
          <w:rFonts w:hint="eastAsia"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6</w:t>
      </w:r>
      <w:r>
        <w:rPr>
          <w:rFonts w:hint="eastAsia" w:ascii="Times New Roman" w:hAnsi="Times New Roman" w:eastAsia="方正仿宋_GBK" w:cs="Times New Roman"/>
          <w:sz w:val="28"/>
          <w:szCs w:val="24"/>
          <w:lang w:val="en-US" w:eastAsia="uk-UA" w:bidi="ar-SA"/>
        </w:rPr>
        <w:t xml:space="preserve">年，我部门机关运行经费共计安排 </w:t>
      </w:r>
      <w:r>
        <w:rPr>
          <w:rFonts w:hint="eastAsia" w:cs="Times New Roman"/>
          <w:sz w:val="28"/>
          <w:szCs w:val="24"/>
          <w:lang w:val="en-US" w:eastAsia="zh-CN" w:bidi="ar-SA"/>
        </w:rPr>
        <w:t>104.55</w:t>
      </w:r>
      <w:r>
        <w:rPr>
          <w:rFonts w:hint="eastAsia" w:ascii="Times New Roman" w:hAnsi="Times New Roman" w:eastAsia="方正仿宋_GBK" w:cs="Times New Roman"/>
          <w:sz w:val="28"/>
          <w:szCs w:val="24"/>
          <w:lang w:val="en-US" w:eastAsia="uk-UA" w:bidi="ar-SA"/>
        </w:rPr>
        <w:t>万元，主要用于保障机关正常运转的办公及印刷费、邮电费、差旅费、会议费、 福利费、公务车运行维护费等支出。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6"/>
      </w:pPr>
      <w:r>
        <w:rPr>
          <w:rFonts w:hint="eastAsia"/>
        </w:rPr>
        <w:t>202</w:t>
      </w:r>
      <w:r>
        <w:rPr>
          <w:rFonts w:hint="eastAsia"/>
          <w:lang w:val="en-US" w:eastAsia="zh-CN"/>
        </w:rPr>
        <w:t>6</w:t>
      </w:r>
      <w:r>
        <w:rPr>
          <w:rFonts w:hint="eastAsia"/>
        </w:rPr>
        <w:t>年，我财政拨款“三公”经费预算安排</w:t>
      </w:r>
      <w:r>
        <w:rPr>
          <w:rFonts w:hint="eastAsia"/>
          <w:lang w:val="en-US" w:eastAsia="zh-CN"/>
        </w:rPr>
        <w:t>2.82</w:t>
      </w:r>
      <w:r>
        <w:rPr>
          <w:rFonts w:hint="eastAsia"/>
        </w:rPr>
        <w:t xml:space="preserve"> 万元，较</w:t>
      </w:r>
      <w:r>
        <w:rPr>
          <w:rFonts w:hint="eastAsia"/>
          <w:highlight w:val="none"/>
        </w:rPr>
        <w:t xml:space="preserve"> 202</w:t>
      </w:r>
      <w:r>
        <w:rPr>
          <w:rFonts w:hint="eastAsia"/>
          <w:highlight w:val="none"/>
          <w:lang w:val="en-US" w:eastAsia="zh-CN"/>
        </w:rPr>
        <w:t>5</w:t>
      </w:r>
      <w:r>
        <w:rPr>
          <w:rFonts w:hint="eastAsia"/>
          <w:highlight w:val="none"/>
        </w:rPr>
        <w:t xml:space="preserve"> 年</w:t>
      </w:r>
      <w:r>
        <w:rPr>
          <w:rFonts w:hint="eastAsia"/>
          <w:highlight w:val="none"/>
          <w:lang w:eastAsia="zh-CN"/>
        </w:rPr>
        <w:t>减少</w:t>
      </w:r>
      <w:r>
        <w:rPr>
          <w:rFonts w:hint="eastAsia"/>
          <w:highlight w:val="none"/>
          <w:lang w:val="en-US" w:eastAsia="zh-CN"/>
        </w:rPr>
        <w:t>0.07万元</w:t>
      </w:r>
      <w:r>
        <w:rPr>
          <w:rFonts w:hint="eastAsia"/>
          <w:highlight w:val="none"/>
        </w:rPr>
        <w:t>，</w:t>
      </w:r>
      <w:r>
        <w:rPr>
          <w:rFonts w:hint="eastAsia"/>
          <w:highlight w:val="none"/>
          <w:lang w:eastAsia="zh-CN"/>
        </w:rPr>
        <w:t>主要原</w:t>
      </w:r>
      <w:r>
        <w:rPr>
          <w:rFonts w:hint="eastAsia"/>
          <w:lang w:eastAsia="zh-CN"/>
        </w:rPr>
        <w:t>因为</w:t>
      </w:r>
      <w:r>
        <w:rPr>
          <w:rFonts w:hint="eastAsia"/>
        </w:rPr>
        <w:t>厉行节约</w:t>
      </w:r>
      <w:r>
        <w:rPr>
          <w:rFonts w:hint="eastAsia"/>
          <w:lang w:eastAsia="zh-CN"/>
        </w:rPr>
        <w:t>，减少支出。</w:t>
      </w:r>
      <w:r>
        <w:rPr>
          <w:rFonts w:hint="eastAsia"/>
        </w:rPr>
        <w:t>其中因公出国（境）费 0 万元，较 202</w:t>
      </w:r>
      <w:r>
        <w:rPr>
          <w:rFonts w:hint="eastAsia"/>
          <w:lang w:val="en-US" w:eastAsia="zh-CN"/>
        </w:rPr>
        <w:t>5</w:t>
      </w:r>
      <w:r>
        <w:rPr>
          <w:rFonts w:hint="eastAsia"/>
        </w:rPr>
        <w:t>年无变化，主要原因是年初没有安排因公出国费；公务用车购置及运行维护费</w:t>
      </w:r>
      <w:r>
        <w:rPr>
          <w:rFonts w:hint="eastAsia"/>
          <w:lang w:val="en-US" w:eastAsia="zh-CN"/>
        </w:rPr>
        <w:t>2.23</w:t>
      </w:r>
      <w:r>
        <w:rPr>
          <w:rFonts w:hint="eastAsia"/>
        </w:rPr>
        <w:t xml:space="preserve">万元（其中：公务用车购置费为 0 万元，公务用车运行维护费 </w:t>
      </w:r>
      <w:r>
        <w:rPr>
          <w:rFonts w:hint="eastAsia"/>
          <w:lang w:val="en-US" w:eastAsia="zh-CN"/>
        </w:rPr>
        <w:t>2.23</w:t>
      </w:r>
      <w:r>
        <w:rPr>
          <w:rFonts w:hint="eastAsia"/>
        </w:rPr>
        <w:t>万元)，</w:t>
      </w:r>
      <w:r>
        <w:rPr>
          <w:rFonts w:hint="eastAsia"/>
          <w:highlight w:val="none"/>
        </w:rPr>
        <w:t>较 202</w:t>
      </w:r>
      <w:r>
        <w:rPr>
          <w:rFonts w:hint="eastAsia"/>
          <w:highlight w:val="none"/>
          <w:lang w:val="en-US" w:eastAsia="zh-CN"/>
        </w:rPr>
        <w:t>5</w:t>
      </w:r>
      <w:r>
        <w:rPr>
          <w:rFonts w:hint="eastAsia"/>
          <w:highlight w:val="none"/>
        </w:rPr>
        <w:t>年</w:t>
      </w:r>
      <w:r>
        <w:rPr>
          <w:rFonts w:hint="eastAsia"/>
          <w:highlight w:val="none"/>
          <w:lang w:eastAsia="zh-CN"/>
        </w:rPr>
        <w:t>增加</w:t>
      </w:r>
      <w:r>
        <w:rPr>
          <w:rFonts w:hint="eastAsia"/>
          <w:highlight w:val="none"/>
          <w:lang w:val="en-US" w:eastAsia="zh-CN"/>
        </w:rPr>
        <w:t>0.04万元</w:t>
      </w:r>
      <w:r>
        <w:rPr>
          <w:rFonts w:hint="eastAsia"/>
        </w:rPr>
        <w:t>，主要原因是</w:t>
      </w:r>
      <w:r>
        <w:rPr>
          <w:rFonts w:hint="eastAsia"/>
          <w:lang w:eastAsia="zh-CN"/>
        </w:rPr>
        <w:t>公务活动增多</w:t>
      </w:r>
      <w:r>
        <w:rPr>
          <w:rFonts w:hint="eastAsia"/>
        </w:rPr>
        <w:t>；公务接待费</w:t>
      </w:r>
      <w:r>
        <w:rPr>
          <w:rFonts w:hint="eastAsia"/>
          <w:lang w:val="en-US" w:eastAsia="zh-CN"/>
        </w:rPr>
        <w:t>0.59</w:t>
      </w:r>
      <w:r>
        <w:rPr>
          <w:rFonts w:hint="eastAsia"/>
        </w:rPr>
        <w:t>万元，较 202</w:t>
      </w:r>
      <w:r>
        <w:rPr>
          <w:rFonts w:hint="eastAsia"/>
          <w:lang w:val="en-US" w:eastAsia="zh-CN"/>
        </w:rPr>
        <w:t>5</w:t>
      </w:r>
      <w:r>
        <w:rPr>
          <w:rFonts w:hint="eastAsia"/>
        </w:rPr>
        <w:t>年</w:t>
      </w:r>
      <w:r>
        <w:rPr>
          <w:rFonts w:hint="eastAsia"/>
          <w:lang w:eastAsia="zh-CN"/>
        </w:rPr>
        <w:t>无变化。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1"/>
        </w:numPr>
        <w:spacing w:before="10" w:after="10" w:line="240" w:lineRule="auto"/>
        <w:ind w:firstLine="640"/>
        <w:jc w:val="left"/>
        <w:outlineLvl w:val="5"/>
        <w:rPr>
          <w:rFonts w:ascii="黑体" w:hAnsi="黑体" w:eastAsia="黑体" w:cs="黑体"/>
          <w:color w:val="000000"/>
          <w:sz w:val="32"/>
        </w:rPr>
        <w:sectPr>
          <w:pgSz w:w="16840" w:h="11900" w:orient="landscape"/>
          <w:pgMar w:top="1361" w:right="1020" w:bottom="1361"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13010026P009712106062</w:t>
            </w:r>
          </w:p>
        </w:tc>
        <w:tc>
          <w:tcPr>
            <w:tcW w:w="2835" w:type="dxa"/>
            <w:vAlign w:val="center"/>
          </w:tcPr>
          <w:p>
            <w:pPr>
              <w:pStyle w:val="10"/>
            </w:pPr>
            <w:r>
              <w:t>项目名称</w:t>
            </w:r>
          </w:p>
        </w:tc>
        <w:tc>
          <w:tcPr>
            <w:tcW w:w="6095" w:type="dxa"/>
            <w:gridSpan w:val="3"/>
            <w:vAlign w:val="center"/>
          </w:tcPr>
          <w:p>
            <w:pPr>
              <w:pStyle w:val="12"/>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2.90</w:t>
            </w:r>
          </w:p>
        </w:tc>
        <w:tc>
          <w:tcPr>
            <w:tcW w:w="2835" w:type="dxa"/>
            <w:vAlign w:val="center"/>
          </w:tcPr>
          <w:p>
            <w:pPr>
              <w:pStyle w:val="10"/>
            </w:pPr>
            <w:r>
              <w:t>其中：财政    资金</w:t>
            </w:r>
          </w:p>
        </w:tc>
        <w:tc>
          <w:tcPr>
            <w:tcW w:w="2551" w:type="dxa"/>
            <w:vAlign w:val="center"/>
          </w:tcPr>
          <w:p>
            <w:pPr>
              <w:pStyle w:val="12"/>
            </w:pPr>
            <w:r>
              <w:t>2.90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完成一体机、碎纸机采购。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购置数量</w:t>
            </w:r>
          </w:p>
        </w:tc>
        <w:tc>
          <w:tcPr>
            <w:tcW w:w="5386" w:type="dxa"/>
            <w:vAlign w:val="center"/>
          </w:tcPr>
          <w:p>
            <w:pPr>
              <w:pStyle w:val="12"/>
            </w:pPr>
            <w:r>
              <w:t>购置办公设备数量</w:t>
            </w:r>
          </w:p>
        </w:tc>
        <w:tc>
          <w:tcPr>
            <w:tcW w:w="2268" w:type="dxa"/>
            <w:vAlign w:val="center"/>
          </w:tcPr>
          <w:p>
            <w:pPr>
              <w:pStyle w:val="12"/>
            </w:pPr>
            <w:r>
              <w:t>10台</w:t>
            </w:r>
          </w:p>
        </w:tc>
        <w:tc>
          <w:tcPr>
            <w:tcW w:w="1276" w:type="dxa"/>
            <w:vAlign w:val="center"/>
          </w:tcPr>
          <w:p>
            <w:pPr>
              <w:pStyle w:val="12"/>
            </w:pPr>
            <w:r>
              <w:t>资产配置标准及实际使用情况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设备合格率</w:t>
            </w:r>
          </w:p>
        </w:tc>
        <w:tc>
          <w:tcPr>
            <w:tcW w:w="2268" w:type="dxa"/>
            <w:vAlign w:val="center"/>
          </w:tcPr>
          <w:p>
            <w:pPr>
              <w:pStyle w:val="12"/>
            </w:pPr>
            <w:r>
              <w:t>≥100%</w:t>
            </w:r>
          </w:p>
        </w:tc>
        <w:tc>
          <w:tcPr>
            <w:tcW w:w="1276" w:type="dxa"/>
            <w:vAlign w:val="center"/>
          </w:tcPr>
          <w:p>
            <w:pPr>
              <w:pStyle w:val="12"/>
            </w:pPr>
            <w:r>
              <w:t>资产配置标准及实际使用情况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购置时限</w:t>
            </w:r>
          </w:p>
        </w:tc>
        <w:tc>
          <w:tcPr>
            <w:tcW w:w="2268" w:type="dxa"/>
            <w:vAlign w:val="center"/>
          </w:tcPr>
          <w:p>
            <w:pPr>
              <w:pStyle w:val="12"/>
            </w:pPr>
            <w:r>
              <w:t>12月底前完成</w:t>
            </w:r>
          </w:p>
        </w:tc>
        <w:tc>
          <w:tcPr>
            <w:tcW w:w="1276" w:type="dxa"/>
            <w:vAlign w:val="center"/>
          </w:tcPr>
          <w:p>
            <w:pPr>
              <w:pStyle w:val="12"/>
            </w:pPr>
            <w:r>
              <w:t>资产配置标准及实际使用情况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w:t>
            </w:r>
          </w:p>
        </w:tc>
        <w:tc>
          <w:tcPr>
            <w:tcW w:w="5386" w:type="dxa"/>
            <w:vAlign w:val="center"/>
          </w:tcPr>
          <w:p>
            <w:pPr>
              <w:pStyle w:val="12"/>
            </w:pPr>
            <w:r>
              <w:t>预算控制</w:t>
            </w:r>
          </w:p>
        </w:tc>
        <w:tc>
          <w:tcPr>
            <w:tcW w:w="2268" w:type="dxa"/>
            <w:vAlign w:val="center"/>
          </w:tcPr>
          <w:p>
            <w:pPr>
              <w:pStyle w:val="12"/>
            </w:pPr>
            <w:r>
              <w:t>按照框架协议价款进行采购</w:t>
            </w:r>
          </w:p>
        </w:tc>
        <w:tc>
          <w:tcPr>
            <w:tcW w:w="1276" w:type="dxa"/>
            <w:vAlign w:val="center"/>
          </w:tcPr>
          <w:p>
            <w:pPr>
              <w:pStyle w:val="12"/>
            </w:pPr>
            <w:r>
              <w:t>资产配置标准、实际使用情况、预算文本等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保障业务工作有序开展</w:t>
            </w:r>
          </w:p>
        </w:tc>
        <w:tc>
          <w:tcPr>
            <w:tcW w:w="5386" w:type="dxa"/>
            <w:vAlign w:val="center"/>
          </w:tcPr>
          <w:p>
            <w:pPr>
              <w:pStyle w:val="12"/>
            </w:pPr>
            <w:r>
              <w:t>保障业务工作有序开展</w:t>
            </w:r>
          </w:p>
        </w:tc>
        <w:tc>
          <w:tcPr>
            <w:tcW w:w="2268" w:type="dxa"/>
            <w:vAlign w:val="center"/>
          </w:tcPr>
          <w:p>
            <w:pPr>
              <w:pStyle w:val="12"/>
            </w:pPr>
            <w:r>
              <w:t>保障业务工作有序开展</w:t>
            </w:r>
          </w:p>
        </w:tc>
        <w:tc>
          <w:tcPr>
            <w:tcW w:w="1276" w:type="dxa"/>
            <w:vAlign w:val="center"/>
          </w:tcPr>
          <w:p>
            <w:pPr>
              <w:pStyle w:val="12"/>
            </w:pPr>
            <w:r>
              <w:t>资产配置标准及实际使用情况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使用对象满意度</w:t>
            </w:r>
          </w:p>
        </w:tc>
        <w:tc>
          <w:tcPr>
            <w:tcW w:w="5386" w:type="dxa"/>
            <w:vAlign w:val="center"/>
          </w:tcPr>
          <w:p>
            <w:pPr>
              <w:pStyle w:val="12"/>
            </w:pPr>
            <w:r>
              <w:t>使用对象满意度</w:t>
            </w:r>
          </w:p>
        </w:tc>
        <w:tc>
          <w:tcPr>
            <w:tcW w:w="2268" w:type="dxa"/>
            <w:vAlign w:val="center"/>
          </w:tcPr>
          <w:p>
            <w:pPr>
              <w:pStyle w:val="12"/>
            </w:pPr>
            <w:r>
              <w:t>≥90%</w:t>
            </w:r>
          </w:p>
        </w:tc>
        <w:tc>
          <w:tcPr>
            <w:tcW w:w="1276" w:type="dxa"/>
            <w:vAlign w:val="center"/>
          </w:tcPr>
          <w:p>
            <w:pPr>
              <w:pStyle w:val="12"/>
            </w:pPr>
            <w:r>
              <w:t>资产配置标准及实际使用情况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13010026P009711105810</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按照相关要求，开展“三会一课”、主题党日等党组织活动，营造浓厚党建氛围，不断提高党员干部政治素养和理论水平。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组织党组织活动次数</w:t>
            </w:r>
          </w:p>
        </w:tc>
        <w:tc>
          <w:tcPr>
            <w:tcW w:w="5386" w:type="dxa"/>
            <w:vAlign w:val="center"/>
          </w:tcPr>
          <w:p>
            <w:pPr>
              <w:pStyle w:val="12"/>
            </w:pPr>
            <w:r>
              <w:t>组织党组织活动次数</w:t>
            </w:r>
          </w:p>
        </w:tc>
        <w:tc>
          <w:tcPr>
            <w:tcW w:w="2268" w:type="dxa"/>
            <w:vAlign w:val="center"/>
          </w:tcPr>
          <w:p>
            <w:pPr>
              <w:pStyle w:val="12"/>
            </w:pPr>
            <w:r>
              <w:t>≥8次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活动参与率</w:t>
            </w:r>
          </w:p>
        </w:tc>
        <w:tc>
          <w:tcPr>
            <w:tcW w:w="5386" w:type="dxa"/>
            <w:vAlign w:val="center"/>
          </w:tcPr>
          <w:p>
            <w:pPr>
              <w:pStyle w:val="12"/>
            </w:pPr>
            <w:r>
              <w:t>活动参与率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党组织活动开展频次</w:t>
            </w:r>
          </w:p>
        </w:tc>
        <w:tc>
          <w:tcPr>
            <w:tcW w:w="5386" w:type="dxa"/>
            <w:vAlign w:val="center"/>
          </w:tcPr>
          <w:p>
            <w:pPr>
              <w:pStyle w:val="12"/>
            </w:pPr>
            <w:r>
              <w:t>党组织活动开展频次</w:t>
            </w:r>
          </w:p>
        </w:tc>
        <w:tc>
          <w:tcPr>
            <w:tcW w:w="2268" w:type="dxa"/>
            <w:vAlign w:val="center"/>
          </w:tcPr>
          <w:p>
            <w:pPr>
              <w:pStyle w:val="12"/>
            </w:pPr>
            <w:r>
              <w:t>每季度至少开展一次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总成本控制在预算内</w:t>
            </w:r>
          </w:p>
        </w:tc>
        <w:tc>
          <w:tcPr>
            <w:tcW w:w="5386" w:type="dxa"/>
            <w:vAlign w:val="center"/>
          </w:tcPr>
          <w:p>
            <w:pPr>
              <w:pStyle w:val="12"/>
            </w:pPr>
            <w:r>
              <w:t>总成本控制在预算内</w:t>
            </w:r>
          </w:p>
        </w:tc>
        <w:tc>
          <w:tcPr>
            <w:tcW w:w="2268" w:type="dxa"/>
            <w:vAlign w:val="center"/>
          </w:tcPr>
          <w:p>
            <w:pPr>
              <w:pStyle w:val="12"/>
            </w:pPr>
            <w:r>
              <w:t>≤4万元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党员政治觉悟素养</w:t>
            </w:r>
          </w:p>
        </w:tc>
        <w:tc>
          <w:tcPr>
            <w:tcW w:w="5386" w:type="dxa"/>
            <w:vAlign w:val="center"/>
          </w:tcPr>
          <w:p>
            <w:pPr>
              <w:pStyle w:val="12"/>
            </w:pPr>
            <w:r>
              <w:t>党员政治觉悟素养提升情况</w:t>
            </w:r>
          </w:p>
        </w:tc>
        <w:tc>
          <w:tcPr>
            <w:tcW w:w="2268" w:type="dxa"/>
            <w:vAlign w:val="center"/>
          </w:tcPr>
          <w:p>
            <w:pPr>
              <w:pStyle w:val="12"/>
            </w:pPr>
            <w:r>
              <w:t>较上年提升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党员满意度</w:t>
            </w:r>
          </w:p>
        </w:tc>
        <w:tc>
          <w:tcPr>
            <w:tcW w:w="5386" w:type="dxa"/>
            <w:vAlign w:val="center"/>
          </w:tcPr>
          <w:p>
            <w:pPr>
              <w:pStyle w:val="12"/>
            </w:pPr>
            <w:r>
              <w:t>党员对党组织活动的满意度</w:t>
            </w:r>
          </w:p>
        </w:tc>
        <w:tc>
          <w:tcPr>
            <w:tcW w:w="2268" w:type="dxa"/>
            <w:vAlign w:val="center"/>
          </w:tcPr>
          <w:p>
            <w:pPr>
              <w:pStyle w:val="12"/>
            </w:pPr>
            <w:r>
              <w:t>≥95%</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3、法律顾问经费绩效目标表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13010026P00924510109E</w:t>
            </w:r>
          </w:p>
        </w:tc>
        <w:tc>
          <w:tcPr>
            <w:tcW w:w="2835" w:type="dxa"/>
            <w:vAlign w:val="center"/>
          </w:tcPr>
          <w:p>
            <w:pPr>
              <w:pStyle w:val="10"/>
            </w:pPr>
            <w:r>
              <w:t>项目名称</w:t>
            </w:r>
          </w:p>
        </w:tc>
        <w:tc>
          <w:tcPr>
            <w:tcW w:w="6095" w:type="dxa"/>
            <w:gridSpan w:val="3"/>
            <w:vAlign w:val="center"/>
          </w:tcPr>
          <w:p>
            <w:pPr>
              <w:pStyle w:val="12"/>
            </w:pPr>
            <w:r>
              <w:t>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委托专业人员为我办法律顾问并提供相关服务。</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签订法律顾问服务合同数量</w:t>
            </w:r>
          </w:p>
        </w:tc>
        <w:tc>
          <w:tcPr>
            <w:tcW w:w="5386" w:type="dxa"/>
            <w:vAlign w:val="center"/>
          </w:tcPr>
          <w:p>
            <w:pPr>
              <w:pStyle w:val="12"/>
            </w:pPr>
            <w:r>
              <w:t>签订法律顾问服务合同数量</w:t>
            </w:r>
          </w:p>
        </w:tc>
        <w:tc>
          <w:tcPr>
            <w:tcW w:w="2268" w:type="dxa"/>
            <w:vAlign w:val="center"/>
          </w:tcPr>
          <w:p>
            <w:pPr>
              <w:pStyle w:val="12"/>
            </w:pPr>
            <w:r>
              <w:t>1份</w:t>
            </w:r>
          </w:p>
        </w:tc>
        <w:tc>
          <w:tcPr>
            <w:tcW w:w="1276" w:type="dxa"/>
            <w:vAlign w:val="center"/>
          </w:tcPr>
          <w:p>
            <w:pPr>
              <w:pStyle w:val="12"/>
            </w:pPr>
            <w:r>
              <w:t>合同签订情况</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法律服务完成质量</w:t>
            </w:r>
          </w:p>
        </w:tc>
        <w:tc>
          <w:tcPr>
            <w:tcW w:w="5386" w:type="dxa"/>
            <w:vAlign w:val="center"/>
          </w:tcPr>
          <w:p>
            <w:pPr>
              <w:pStyle w:val="12"/>
            </w:pPr>
            <w:r>
              <w:t>法律服务完成质量</w:t>
            </w:r>
          </w:p>
        </w:tc>
        <w:tc>
          <w:tcPr>
            <w:tcW w:w="2268" w:type="dxa"/>
            <w:vAlign w:val="center"/>
          </w:tcPr>
          <w:p>
            <w:pPr>
              <w:pStyle w:val="12"/>
            </w:pPr>
            <w:r>
              <w:t>按合同要求完成法律相关服务</w:t>
            </w:r>
          </w:p>
        </w:tc>
        <w:tc>
          <w:tcPr>
            <w:tcW w:w="1276" w:type="dxa"/>
            <w:vAlign w:val="center"/>
          </w:tcPr>
          <w:p>
            <w:pPr>
              <w:pStyle w:val="12"/>
            </w:pPr>
            <w:r>
              <w:t>合同执行情况</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法律服务时间</w:t>
            </w:r>
          </w:p>
        </w:tc>
        <w:tc>
          <w:tcPr>
            <w:tcW w:w="5386" w:type="dxa"/>
            <w:vAlign w:val="center"/>
          </w:tcPr>
          <w:p>
            <w:pPr>
              <w:pStyle w:val="12"/>
            </w:pPr>
            <w:r>
              <w:t>法律服务时间</w:t>
            </w:r>
          </w:p>
        </w:tc>
        <w:tc>
          <w:tcPr>
            <w:tcW w:w="2268" w:type="dxa"/>
            <w:vAlign w:val="center"/>
          </w:tcPr>
          <w:p>
            <w:pPr>
              <w:pStyle w:val="12"/>
            </w:pPr>
            <w:r>
              <w:t>≤1年</w:t>
            </w:r>
          </w:p>
        </w:tc>
        <w:tc>
          <w:tcPr>
            <w:tcW w:w="1276" w:type="dxa"/>
            <w:vAlign w:val="center"/>
          </w:tcPr>
          <w:p>
            <w:pPr>
              <w:pStyle w:val="12"/>
            </w:pPr>
            <w:r>
              <w:t>合同执行情况</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成本控制在预算内</w:t>
            </w:r>
          </w:p>
        </w:tc>
        <w:tc>
          <w:tcPr>
            <w:tcW w:w="2268" w:type="dxa"/>
            <w:vAlign w:val="center"/>
          </w:tcPr>
          <w:p>
            <w:pPr>
              <w:pStyle w:val="12"/>
            </w:pPr>
            <w:r>
              <w:t>≤6万元</w:t>
            </w:r>
          </w:p>
        </w:tc>
        <w:tc>
          <w:tcPr>
            <w:tcW w:w="1276" w:type="dxa"/>
            <w:vAlign w:val="center"/>
          </w:tcPr>
          <w:p>
            <w:pPr>
              <w:pStyle w:val="12"/>
            </w:pPr>
            <w:r>
              <w:t>合同款项支付情况</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提供法律咨询数量（件）</w:t>
            </w:r>
          </w:p>
        </w:tc>
        <w:tc>
          <w:tcPr>
            <w:tcW w:w="5386" w:type="dxa"/>
            <w:vAlign w:val="center"/>
          </w:tcPr>
          <w:p>
            <w:pPr>
              <w:pStyle w:val="12"/>
            </w:pPr>
            <w:r>
              <w:t>提供法律咨询数量（件）</w:t>
            </w:r>
          </w:p>
        </w:tc>
        <w:tc>
          <w:tcPr>
            <w:tcW w:w="2268" w:type="dxa"/>
            <w:vAlign w:val="center"/>
          </w:tcPr>
          <w:p>
            <w:pPr>
              <w:pStyle w:val="12"/>
            </w:pPr>
            <w:r>
              <w:t>按照合同要求提供法律咨询数量</w:t>
            </w:r>
          </w:p>
        </w:tc>
        <w:tc>
          <w:tcPr>
            <w:tcW w:w="1276" w:type="dxa"/>
            <w:vAlign w:val="center"/>
          </w:tcPr>
          <w:p>
            <w:pPr>
              <w:pStyle w:val="12"/>
            </w:pPr>
            <w:r>
              <w:t>合同签订及执行情况</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单位内部使用者满意度</w:t>
            </w:r>
          </w:p>
        </w:tc>
        <w:tc>
          <w:tcPr>
            <w:tcW w:w="5386" w:type="dxa"/>
            <w:vAlign w:val="center"/>
          </w:tcPr>
          <w:p>
            <w:pPr>
              <w:pStyle w:val="12"/>
            </w:pPr>
            <w:r>
              <w:t>单位内部使用者满意度</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4、工作场地租赁费绩效目标表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13010026P00912010122A</w:t>
            </w:r>
          </w:p>
        </w:tc>
        <w:tc>
          <w:tcPr>
            <w:tcW w:w="2835" w:type="dxa"/>
            <w:vAlign w:val="center"/>
          </w:tcPr>
          <w:p>
            <w:pPr>
              <w:pStyle w:val="10"/>
            </w:pPr>
            <w:r>
              <w:t>项目名称</w:t>
            </w:r>
          </w:p>
        </w:tc>
        <w:tc>
          <w:tcPr>
            <w:tcW w:w="6095" w:type="dxa"/>
            <w:gridSpan w:val="3"/>
            <w:vAlign w:val="center"/>
          </w:tcPr>
          <w:p>
            <w:pPr>
              <w:pStyle w:val="12"/>
            </w:pPr>
            <w:r>
              <w:t>工作场地租赁费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73.50</w:t>
            </w:r>
          </w:p>
        </w:tc>
        <w:tc>
          <w:tcPr>
            <w:tcW w:w="2835" w:type="dxa"/>
            <w:vAlign w:val="center"/>
          </w:tcPr>
          <w:p>
            <w:pPr>
              <w:pStyle w:val="10"/>
            </w:pPr>
            <w:r>
              <w:t>其中：财政    资金</w:t>
            </w:r>
          </w:p>
        </w:tc>
        <w:tc>
          <w:tcPr>
            <w:tcW w:w="2551" w:type="dxa"/>
            <w:vAlign w:val="center"/>
          </w:tcPr>
          <w:p>
            <w:pPr>
              <w:pStyle w:val="12"/>
            </w:pPr>
            <w:r>
              <w:t>73.50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用于工作场地租赁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用于我办场地租赁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租用房屋面积</w:t>
            </w:r>
          </w:p>
        </w:tc>
        <w:tc>
          <w:tcPr>
            <w:tcW w:w="5386" w:type="dxa"/>
            <w:vAlign w:val="center"/>
          </w:tcPr>
          <w:p>
            <w:pPr>
              <w:pStyle w:val="12"/>
            </w:pPr>
            <w:r>
              <w:t>符合批复的租用房屋面积</w:t>
            </w:r>
          </w:p>
        </w:tc>
        <w:tc>
          <w:tcPr>
            <w:tcW w:w="2268" w:type="dxa"/>
            <w:vAlign w:val="center"/>
          </w:tcPr>
          <w:p>
            <w:pPr>
              <w:pStyle w:val="12"/>
            </w:pPr>
            <w:r>
              <w:t>≤1531平方米</w:t>
            </w:r>
          </w:p>
        </w:tc>
        <w:tc>
          <w:tcPr>
            <w:tcW w:w="1276" w:type="dxa"/>
            <w:vAlign w:val="center"/>
          </w:tcPr>
          <w:p>
            <w:pPr>
              <w:pStyle w:val="12"/>
            </w:pPr>
            <w:r>
              <w:t>房屋租赁批复及租赁合同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办公场地服务能力</w:t>
            </w:r>
          </w:p>
        </w:tc>
        <w:tc>
          <w:tcPr>
            <w:tcW w:w="5386" w:type="dxa"/>
            <w:vAlign w:val="center"/>
          </w:tcPr>
          <w:p>
            <w:pPr>
              <w:pStyle w:val="12"/>
            </w:pPr>
            <w:r>
              <w:t>办公场地服务能力</w:t>
            </w:r>
          </w:p>
        </w:tc>
        <w:tc>
          <w:tcPr>
            <w:tcW w:w="2268" w:type="dxa"/>
            <w:vAlign w:val="center"/>
          </w:tcPr>
          <w:p>
            <w:pPr>
              <w:pStyle w:val="12"/>
            </w:pPr>
            <w:r>
              <w:t>按照合同约定提供服务。</w:t>
            </w:r>
          </w:p>
        </w:tc>
        <w:tc>
          <w:tcPr>
            <w:tcW w:w="1276" w:type="dxa"/>
            <w:vAlign w:val="center"/>
          </w:tcPr>
          <w:p>
            <w:pPr>
              <w:pStyle w:val="12"/>
            </w:pPr>
            <w:r>
              <w:t>房租合同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按时拨付房租</w:t>
            </w:r>
          </w:p>
        </w:tc>
        <w:tc>
          <w:tcPr>
            <w:tcW w:w="5386" w:type="dxa"/>
            <w:vAlign w:val="center"/>
          </w:tcPr>
          <w:p>
            <w:pPr>
              <w:pStyle w:val="12"/>
            </w:pPr>
            <w:r>
              <w:t>按照合同约定按时拨付房租</w:t>
            </w:r>
          </w:p>
        </w:tc>
        <w:tc>
          <w:tcPr>
            <w:tcW w:w="2268" w:type="dxa"/>
            <w:vAlign w:val="center"/>
          </w:tcPr>
          <w:p>
            <w:pPr>
              <w:pStyle w:val="12"/>
            </w:pPr>
            <w:r>
              <w:t>按照合同约定按时拨付房租</w:t>
            </w:r>
          </w:p>
        </w:tc>
        <w:tc>
          <w:tcPr>
            <w:tcW w:w="1276" w:type="dxa"/>
            <w:vAlign w:val="center"/>
          </w:tcPr>
          <w:p>
            <w:pPr>
              <w:pStyle w:val="12"/>
            </w:pPr>
            <w:r>
              <w:t>房租合同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租用成本控制</w:t>
            </w:r>
          </w:p>
        </w:tc>
        <w:tc>
          <w:tcPr>
            <w:tcW w:w="5386" w:type="dxa"/>
            <w:vAlign w:val="center"/>
          </w:tcPr>
          <w:p>
            <w:pPr>
              <w:pStyle w:val="12"/>
            </w:pPr>
            <w:r>
              <w:t>租用成本控制在预算内</w:t>
            </w:r>
          </w:p>
        </w:tc>
        <w:tc>
          <w:tcPr>
            <w:tcW w:w="2268" w:type="dxa"/>
            <w:vAlign w:val="center"/>
          </w:tcPr>
          <w:p>
            <w:pPr>
              <w:pStyle w:val="12"/>
            </w:pPr>
            <w:r>
              <w:t>≤73.5万元</w:t>
            </w:r>
          </w:p>
        </w:tc>
        <w:tc>
          <w:tcPr>
            <w:tcW w:w="1276" w:type="dxa"/>
            <w:vAlign w:val="center"/>
          </w:tcPr>
          <w:p>
            <w:pPr>
              <w:pStyle w:val="12"/>
            </w:pPr>
            <w:r>
              <w:t>房租合同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持续使用年限</w:t>
            </w:r>
          </w:p>
        </w:tc>
        <w:tc>
          <w:tcPr>
            <w:tcW w:w="5386" w:type="dxa"/>
            <w:vAlign w:val="center"/>
          </w:tcPr>
          <w:p>
            <w:pPr>
              <w:pStyle w:val="12"/>
            </w:pPr>
            <w:r>
              <w:t>按照合同约定使用业务用房时间</w:t>
            </w:r>
          </w:p>
        </w:tc>
        <w:tc>
          <w:tcPr>
            <w:tcW w:w="2268" w:type="dxa"/>
            <w:vAlign w:val="center"/>
          </w:tcPr>
          <w:p>
            <w:pPr>
              <w:pStyle w:val="12"/>
            </w:pPr>
            <w:r>
              <w:t>按照合同约定执行</w:t>
            </w:r>
          </w:p>
        </w:tc>
        <w:tc>
          <w:tcPr>
            <w:tcW w:w="1276" w:type="dxa"/>
            <w:vAlign w:val="center"/>
          </w:tcPr>
          <w:p>
            <w:pPr>
              <w:pStyle w:val="12"/>
            </w:pPr>
            <w:r>
              <w:t>房租合同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对租用办公场地满意率</w:t>
            </w:r>
          </w:p>
        </w:tc>
        <w:tc>
          <w:tcPr>
            <w:tcW w:w="5386" w:type="dxa"/>
            <w:vAlign w:val="center"/>
          </w:tcPr>
          <w:p>
            <w:pPr>
              <w:pStyle w:val="12"/>
            </w:pPr>
            <w:r>
              <w:t>对租用办公场地满意率</w:t>
            </w:r>
          </w:p>
        </w:tc>
        <w:tc>
          <w:tcPr>
            <w:tcW w:w="2268" w:type="dxa"/>
            <w:vAlign w:val="center"/>
          </w:tcPr>
          <w:p>
            <w:pPr>
              <w:pStyle w:val="12"/>
            </w:pPr>
            <w:r>
              <w:t>≥90%</w:t>
            </w:r>
          </w:p>
        </w:tc>
        <w:tc>
          <w:tcPr>
            <w:tcW w:w="1276" w:type="dxa"/>
            <w:vAlign w:val="center"/>
          </w:tcPr>
          <w:p>
            <w:pPr>
              <w:pStyle w:val="12"/>
            </w:pPr>
            <w:r>
              <w:t>实际使用情况</w:t>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5、物业管理费绩效目标表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13010026P00641210390C</w:t>
            </w:r>
          </w:p>
        </w:tc>
        <w:tc>
          <w:tcPr>
            <w:tcW w:w="2835" w:type="dxa"/>
            <w:vAlign w:val="center"/>
          </w:tcPr>
          <w:p>
            <w:pPr>
              <w:pStyle w:val="10"/>
            </w:pPr>
            <w:r>
              <w:t>项目名称</w:t>
            </w:r>
          </w:p>
        </w:tc>
        <w:tc>
          <w:tcPr>
            <w:tcW w:w="6095" w:type="dxa"/>
            <w:gridSpan w:val="3"/>
            <w:vAlign w:val="center"/>
          </w:tcPr>
          <w:p>
            <w:pPr>
              <w:pStyle w:val="12"/>
            </w:pPr>
            <w:r>
              <w:t>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8.30</w:t>
            </w:r>
          </w:p>
        </w:tc>
        <w:tc>
          <w:tcPr>
            <w:tcW w:w="2835" w:type="dxa"/>
            <w:vAlign w:val="center"/>
          </w:tcPr>
          <w:p>
            <w:pPr>
              <w:pStyle w:val="10"/>
            </w:pPr>
            <w:r>
              <w:t>其中：财政    资金</w:t>
            </w:r>
          </w:p>
        </w:tc>
        <w:tc>
          <w:tcPr>
            <w:tcW w:w="2551" w:type="dxa"/>
            <w:vAlign w:val="center"/>
          </w:tcPr>
          <w:p>
            <w:pPr>
              <w:pStyle w:val="12"/>
            </w:pPr>
            <w:r>
              <w:t>8.30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用于租赁工作场地的物业管理服务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购买安保、保洁及日常维护等物业管理服务。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物业服务面积</w:t>
            </w:r>
          </w:p>
        </w:tc>
        <w:tc>
          <w:tcPr>
            <w:tcW w:w="5386" w:type="dxa"/>
            <w:vAlign w:val="center"/>
          </w:tcPr>
          <w:p>
            <w:pPr>
              <w:pStyle w:val="12"/>
            </w:pPr>
            <w:r>
              <w:t>物业服务面积</w:t>
            </w:r>
          </w:p>
        </w:tc>
        <w:tc>
          <w:tcPr>
            <w:tcW w:w="2268" w:type="dxa"/>
            <w:vAlign w:val="center"/>
          </w:tcPr>
          <w:p>
            <w:pPr>
              <w:pStyle w:val="12"/>
            </w:pPr>
            <w:r>
              <w:t>1531平方米</w:t>
            </w:r>
          </w:p>
        </w:tc>
        <w:tc>
          <w:tcPr>
            <w:tcW w:w="1276" w:type="dxa"/>
            <w:vAlign w:val="center"/>
          </w:tcPr>
          <w:p>
            <w:pPr>
              <w:pStyle w:val="12"/>
            </w:pPr>
            <w:r>
              <w:t>合同签订情况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物业服务人员日常在岗率</w:t>
            </w:r>
          </w:p>
        </w:tc>
        <w:tc>
          <w:tcPr>
            <w:tcW w:w="5386" w:type="dxa"/>
            <w:vAlign w:val="center"/>
          </w:tcPr>
          <w:p>
            <w:pPr>
              <w:pStyle w:val="12"/>
            </w:pPr>
            <w:r>
              <w:t>物业服务人员日常在岗率</w:t>
            </w:r>
          </w:p>
        </w:tc>
        <w:tc>
          <w:tcPr>
            <w:tcW w:w="2268" w:type="dxa"/>
            <w:vAlign w:val="center"/>
          </w:tcPr>
          <w:p>
            <w:pPr>
              <w:pStyle w:val="12"/>
            </w:pPr>
            <w:r>
              <w:t>≥98</w:t>
            </w:r>
            <w:r>
              <w:rPr>
                <w:rFonts w:hint="eastAsia"/>
                <w:lang w:val="en-US" w:eastAsia="zh-CN"/>
              </w:rPr>
              <w:t>%</w:t>
            </w:r>
            <w:r>
              <w:t>合同约定情况</w:t>
            </w:r>
          </w:p>
        </w:tc>
        <w:tc>
          <w:tcPr>
            <w:tcW w:w="1276" w:type="dxa"/>
            <w:vAlign w:val="center"/>
          </w:tcPr>
          <w:p>
            <w:pPr>
              <w:pStyle w:val="12"/>
            </w:pPr>
            <w:r>
              <w:t>合同签订情况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物业费支付及时率</w:t>
            </w:r>
          </w:p>
        </w:tc>
        <w:tc>
          <w:tcPr>
            <w:tcW w:w="5386" w:type="dxa"/>
            <w:vAlign w:val="center"/>
          </w:tcPr>
          <w:p>
            <w:pPr>
              <w:pStyle w:val="12"/>
            </w:pPr>
            <w:r>
              <w:t>物业费支付及时率</w:t>
            </w:r>
          </w:p>
        </w:tc>
        <w:tc>
          <w:tcPr>
            <w:tcW w:w="2268" w:type="dxa"/>
            <w:vAlign w:val="center"/>
          </w:tcPr>
          <w:p>
            <w:pPr>
              <w:pStyle w:val="12"/>
            </w:pPr>
            <w:r>
              <w:t>90%</w:t>
            </w:r>
          </w:p>
        </w:tc>
        <w:tc>
          <w:tcPr>
            <w:tcW w:w="1276" w:type="dxa"/>
            <w:vAlign w:val="center"/>
          </w:tcPr>
          <w:p>
            <w:pPr>
              <w:pStyle w:val="12"/>
            </w:pPr>
            <w:r>
              <w:t>物业费支付情况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项目单项成本控制</w:t>
            </w:r>
          </w:p>
        </w:tc>
        <w:tc>
          <w:tcPr>
            <w:tcW w:w="5386" w:type="dxa"/>
            <w:vAlign w:val="center"/>
          </w:tcPr>
          <w:p>
            <w:pPr>
              <w:pStyle w:val="12"/>
            </w:pPr>
            <w:r>
              <w:t>项目单项成本</w:t>
            </w:r>
          </w:p>
        </w:tc>
        <w:tc>
          <w:tcPr>
            <w:tcW w:w="2268" w:type="dxa"/>
            <w:vAlign w:val="center"/>
          </w:tcPr>
          <w:p>
            <w:pPr>
              <w:pStyle w:val="12"/>
            </w:pPr>
            <w:r>
              <w:t>≤8.3万元</w:t>
            </w:r>
          </w:p>
        </w:tc>
        <w:tc>
          <w:tcPr>
            <w:tcW w:w="1276" w:type="dxa"/>
            <w:vAlign w:val="center"/>
          </w:tcPr>
          <w:p>
            <w:pPr>
              <w:pStyle w:val="12"/>
            </w:pPr>
            <w:r>
              <w:t>合同金额支付情况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物业服务持续时间</w:t>
            </w:r>
          </w:p>
        </w:tc>
        <w:tc>
          <w:tcPr>
            <w:tcW w:w="5386" w:type="dxa"/>
            <w:vAlign w:val="center"/>
          </w:tcPr>
          <w:p>
            <w:pPr>
              <w:pStyle w:val="12"/>
            </w:pPr>
            <w:r>
              <w:t>物业服务持续时间</w:t>
            </w:r>
          </w:p>
        </w:tc>
        <w:tc>
          <w:tcPr>
            <w:tcW w:w="2268" w:type="dxa"/>
            <w:vAlign w:val="center"/>
          </w:tcPr>
          <w:p>
            <w:pPr>
              <w:pStyle w:val="12"/>
            </w:pPr>
            <w:r>
              <w:t>合同约定时间</w:t>
            </w:r>
          </w:p>
        </w:tc>
        <w:tc>
          <w:tcPr>
            <w:tcW w:w="1276" w:type="dxa"/>
            <w:vAlign w:val="center"/>
          </w:tcPr>
          <w:p>
            <w:pPr>
              <w:pStyle w:val="12"/>
            </w:pPr>
            <w:r>
              <w:t>合同签订情况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单位内部使用者满意度</w:t>
            </w:r>
          </w:p>
        </w:tc>
        <w:tc>
          <w:tcPr>
            <w:tcW w:w="5386" w:type="dxa"/>
            <w:vAlign w:val="center"/>
          </w:tcPr>
          <w:p>
            <w:pPr>
              <w:pStyle w:val="12"/>
            </w:pPr>
            <w:r>
              <w:t>单位内部使用者满意度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6、业务培训费绩效目标表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13010026P00007510231D</w:t>
            </w:r>
          </w:p>
        </w:tc>
        <w:tc>
          <w:tcPr>
            <w:tcW w:w="2835" w:type="dxa"/>
            <w:vAlign w:val="center"/>
          </w:tcPr>
          <w:p>
            <w:pPr>
              <w:pStyle w:val="10"/>
            </w:pPr>
            <w:r>
              <w:t>项目名称</w:t>
            </w:r>
          </w:p>
        </w:tc>
        <w:tc>
          <w:tcPr>
            <w:tcW w:w="6095" w:type="dxa"/>
            <w:gridSpan w:val="3"/>
            <w:vAlign w:val="center"/>
          </w:tcPr>
          <w:p>
            <w:pPr>
              <w:pStyle w:val="12"/>
            </w:pPr>
            <w:r>
              <w:t>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用于业务培训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1.加强业务培训，提升全市网信干部履行岗位职责的能力水平</w:t>
            </w:r>
          </w:p>
          <w:p>
            <w:pPr>
              <w:pStyle w:val="12"/>
            </w:pPr>
            <w:r>
              <w:t>2.强化理论武装，不断提升网信干部政治理论素养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培训班次</w:t>
            </w:r>
          </w:p>
        </w:tc>
        <w:tc>
          <w:tcPr>
            <w:tcW w:w="5386" w:type="dxa"/>
            <w:vAlign w:val="center"/>
          </w:tcPr>
          <w:p>
            <w:pPr>
              <w:pStyle w:val="12"/>
            </w:pPr>
            <w:r>
              <w:t>全年培训班开办次数</w:t>
            </w:r>
          </w:p>
        </w:tc>
        <w:tc>
          <w:tcPr>
            <w:tcW w:w="2268" w:type="dxa"/>
            <w:vAlign w:val="center"/>
          </w:tcPr>
          <w:p>
            <w:pPr>
              <w:pStyle w:val="12"/>
            </w:pPr>
            <w:r>
              <w:t>1次</w:t>
            </w:r>
          </w:p>
        </w:tc>
        <w:tc>
          <w:tcPr>
            <w:tcW w:w="1276" w:type="dxa"/>
            <w:vAlign w:val="center"/>
          </w:tcPr>
          <w:p>
            <w:pPr>
              <w:pStyle w:val="12"/>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参会率</w:t>
            </w:r>
          </w:p>
        </w:tc>
        <w:tc>
          <w:tcPr>
            <w:tcW w:w="5386" w:type="dxa"/>
            <w:vAlign w:val="center"/>
          </w:tcPr>
          <w:p>
            <w:pPr>
              <w:pStyle w:val="12"/>
            </w:pPr>
            <w:r>
              <w:t>实际参与人员数量与计划参与人员数量的比例</w:t>
            </w:r>
          </w:p>
        </w:tc>
        <w:tc>
          <w:tcPr>
            <w:tcW w:w="2268" w:type="dxa"/>
            <w:vAlign w:val="center"/>
          </w:tcPr>
          <w:p>
            <w:pPr>
              <w:pStyle w:val="12"/>
            </w:pPr>
            <w:r>
              <w:t>≥100%</w:t>
            </w:r>
          </w:p>
        </w:tc>
        <w:tc>
          <w:tcPr>
            <w:tcW w:w="1276" w:type="dxa"/>
            <w:vAlign w:val="center"/>
          </w:tcPr>
          <w:p>
            <w:pPr>
              <w:pStyle w:val="12"/>
            </w:pPr>
            <w:r>
              <w:t>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培训完成时间</w:t>
            </w:r>
          </w:p>
        </w:tc>
        <w:tc>
          <w:tcPr>
            <w:tcW w:w="5386" w:type="dxa"/>
            <w:vAlign w:val="center"/>
          </w:tcPr>
          <w:p>
            <w:pPr>
              <w:pStyle w:val="12"/>
            </w:pPr>
            <w:r>
              <w:t>2026年12月31前完成</w:t>
            </w:r>
          </w:p>
        </w:tc>
        <w:tc>
          <w:tcPr>
            <w:tcW w:w="2268" w:type="dxa"/>
            <w:vAlign w:val="center"/>
          </w:tcPr>
          <w:p>
            <w:pPr>
              <w:pStyle w:val="12"/>
            </w:pPr>
            <w:r>
              <w:t>2026年12月31前完成</w:t>
            </w:r>
          </w:p>
        </w:tc>
        <w:tc>
          <w:tcPr>
            <w:tcW w:w="1276" w:type="dxa"/>
            <w:vAlign w:val="center"/>
          </w:tcPr>
          <w:p>
            <w:pPr>
              <w:pStyle w:val="12"/>
            </w:pPr>
            <w:r>
              <w:t>2026年培训工作计划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培训总成本</w:t>
            </w:r>
          </w:p>
        </w:tc>
        <w:tc>
          <w:tcPr>
            <w:tcW w:w="5386" w:type="dxa"/>
            <w:vAlign w:val="center"/>
          </w:tcPr>
          <w:p>
            <w:pPr>
              <w:pStyle w:val="12"/>
            </w:pPr>
            <w:r>
              <w:t>用于培训的总成本</w:t>
            </w:r>
          </w:p>
        </w:tc>
        <w:tc>
          <w:tcPr>
            <w:tcW w:w="2268" w:type="dxa"/>
            <w:vAlign w:val="center"/>
          </w:tcPr>
          <w:p>
            <w:pPr>
              <w:pStyle w:val="12"/>
            </w:pPr>
            <w:r>
              <w:t>≤6万元</w:t>
            </w:r>
          </w:p>
        </w:tc>
        <w:tc>
          <w:tcPr>
            <w:tcW w:w="1276"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rPr>
                <w:rFonts w:hint="eastAsia" w:eastAsia="方正书宋_GBK"/>
                <w:lang w:eastAsia="zh-CN"/>
              </w:rPr>
            </w:pPr>
            <w:r>
              <w:t>提升参训人员网信业务</w:t>
            </w:r>
            <w:r>
              <w:rPr>
                <w:rFonts w:hint="eastAsia"/>
                <w:lang w:eastAsia="zh-CN"/>
              </w:rPr>
              <w:t>水平</w:t>
            </w:r>
          </w:p>
        </w:tc>
        <w:tc>
          <w:tcPr>
            <w:tcW w:w="5386" w:type="dxa"/>
            <w:vAlign w:val="center"/>
          </w:tcPr>
          <w:p>
            <w:pPr>
              <w:pStyle w:val="12"/>
            </w:pPr>
            <w:r>
              <w:t>通过开展全市网信业务能力培训班，提升网信干部履行岗位职责的能力水平</w:t>
            </w:r>
          </w:p>
        </w:tc>
        <w:tc>
          <w:tcPr>
            <w:tcW w:w="2268" w:type="dxa"/>
            <w:vAlign w:val="center"/>
          </w:tcPr>
          <w:p>
            <w:pPr>
              <w:pStyle w:val="12"/>
            </w:pPr>
            <w:r>
              <w:t>通过开展全市网信业务能力培训班，提升网信干部履行岗位职责的能力水平</w:t>
            </w:r>
          </w:p>
        </w:tc>
        <w:tc>
          <w:tcPr>
            <w:tcW w:w="1276" w:type="dxa"/>
            <w:vAlign w:val="center"/>
          </w:tcPr>
          <w:p>
            <w:pPr>
              <w:pStyle w:val="12"/>
            </w:pPr>
            <w:r>
              <w:t>2026年培训工作计划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培训人员满意度</w:t>
            </w:r>
          </w:p>
        </w:tc>
        <w:tc>
          <w:tcPr>
            <w:tcW w:w="5386" w:type="dxa"/>
            <w:vAlign w:val="center"/>
          </w:tcPr>
          <w:p>
            <w:pPr>
              <w:pStyle w:val="12"/>
            </w:pPr>
            <w:r>
              <w:t>培训人员满意度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7、专用设备维护(修)费绩效目标表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13010026P00462010133K</w:t>
            </w:r>
          </w:p>
        </w:tc>
        <w:tc>
          <w:tcPr>
            <w:tcW w:w="2835" w:type="dxa"/>
            <w:vAlign w:val="center"/>
          </w:tcPr>
          <w:p>
            <w:pPr>
              <w:pStyle w:val="10"/>
            </w:pPr>
            <w:r>
              <w:t>项目名称</w:t>
            </w:r>
          </w:p>
        </w:tc>
        <w:tc>
          <w:tcPr>
            <w:tcW w:w="6095" w:type="dxa"/>
            <w:gridSpan w:val="3"/>
            <w:vAlign w:val="center"/>
          </w:tcPr>
          <w:p>
            <w:pPr>
              <w:pStyle w:val="12"/>
            </w:pPr>
            <w:r>
              <w:t>专用设备维护(修)费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7.80</w:t>
            </w:r>
          </w:p>
        </w:tc>
        <w:tc>
          <w:tcPr>
            <w:tcW w:w="2835" w:type="dxa"/>
            <w:vAlign w:val="center"/>
          </w:tcPr>
          <w:p>
            <w:pPr>
              <w:pStyle w:val="10"/>
            </w:pPr>
            <w:r>
              <w:t>其中：财政    资金</w:t>
            </w:r>
          </w:p>
        </w:tc>
        <w:tc>
          <w:tcPr>
            <w:tcW w:w="2551" w:type="dxa"/>
            <w:vAlign w:val="center"/>
          </w:tcPr>
          <w:p>
            <w:pPr>
              <w:pStyle w:val="12"/>
            </w:pPr>
            <w:r>
              <w:t>7.80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用于专用设备维护费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及时对设备进行维护，确保工作正常运转。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设备维护时间</w:t>
            </w:r>
          </w:p>
        </w:tc>
        <w:tc>
          <w:tcPr>
            <w:tcW w:w="5386" w:type="dxa"/>
            <w:vAlign w:val="center"/>
          </w:tcPr>
          <w:p>
            <w:pPr>
              <w:pStyle w:val="12"/>
            </w:pPr>
            <w:r>
              <w:t>设备维护时间</w:t>
            </w:r>
          </w:p>
        </w:tc>
        <w:tc>
          <w:tcPr>
            <w:tcW w:w="2268" w:type="dxa"/>
            <w:vAlign w:val="center"/>
          </w:tcPr>
          <w:p>
            <w:pPr>
              <w:pStyle w:val="12"/>
            </w:pPr>
            <w:r>
              <w:t>1年度</w:t>
            </w:r>
          </w:p>
        </w:tc>
        <w:tc>
          <w:tcPr>
            <w:tcW w:w="1276" w:type="dxa"/>
            <w:vAlign w:val="center"/>
          </w:tcPr>
          <w:p>
            <w:pPr>
              <w:pStyle w:val="12"/>
            </w:pPr>
            <w:r>
              <w:t>设备实际使用情况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维修合格率</w:t>
            </w:r>
          </w:p>
        </w:tc>
        <w:tc>
          <w:tcPr>
            <w:tcW w:w="5386" w:type="dxa"/>
            <w:vAlign w:val="center"/>
          </w:tcPr>
          <w:p>
            <w:pPr>
              <w:pStyle w:val="12"/>
            </w:pPr>
            <w:r>
              <w:t>维修合格率</w:t>
            </w:r>
          </w:p>
        </w:tc>
        <w:tc>
          <w:tcPr>
            <w:tcW w:w="2268" w:type="dxa"/>
            <w:vAlign w:val="center"/>
          </w:tcPr>
          <w:p>
            <w:pPr>
              <w:pStyle w:val="12"/>
            </w:pPr>
            <w:r>
              <w:t>100%</w:t>
            </w:r>
          </w:p>
        </w:tc>
        <w:tc>
          <w:tcPr>
            <w:tcW w:w="1276" w:type="dxa"/>
            <w:vAlign w:val="center"/>
          </w:tcPr>
          <w:p>
            <w:pPr>
              <w:pStyle w:val="12"/>
            </w:pPr>
            <w:r>
              <w:t>实际维修情况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故障维护及时率</w:t>
            </w:r>
          </w:p>
        </w:tc>
        <w:tc>
          <w:tcPr>
            <w:tcW w:w="5386" w:type="dxa"/>
            <w:vAlign w:val="center"/>
          </w:tcPr>
          <w:p>
            <w:pPr>
              <w:pStyle w:val="12"/>
            </w:pPr>
            <w:r>
              <w:t>故障维护及时率</w:t>
            </w:r>
          </w:p>
        </w:tc>
        <w:tc>
          <w:tcPr>
            <w:tcW w:w="2268" w:type="dxa"/>
            <w:vAlign w:val="center"/>
          </w:tcPr>
          <w:p>
            <w:pPr>
              <w:pStyle w:val="12"/>
            </w:pPr>
            <w:r>
              <w:t>≥95%</w:t>
            </w:r>
          </w:p>
        </w:tc>
        <w:tc>
          <w:tcPr>
            <w:tcW w:w="1276" w:type="dxa"/>
            <w:vAlign w:val="center"/>
          </w:tcPr>
          <w:p>
            <w:pPr>
              <w:pStyle w:val="12"/>
            </w:pPr>
            <w:r>
              <w:t>实际维修情况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平均成本控制</w:t>
            </w:r>
          </w:p>
        </w:tc>
        <w:tc>
          <w:tcPr>
            <w:tcW w:w="5386" w:type="dxa"/>
            <w:vAlign w:val="center"/>
          </w:tcPr>
          <w:p>
            <w:pPr>
              <w:pStyle w:val="12"/>
            </w:pPr>
            <w:r>
              <w:t>平均成本控制</w:t>
            </w:r>
          </w:p>
        </w:tc>
        <w:tc>
          <w:tcPr>
            <w:tcW w:w="2268" w:type="dxa"/>
            <w:vAlign w:val="center"/>
          </w:tcPr>
          <w:p>
            <w:pPr>
              <w:pStyle w:val="12"/>
            </w:pPr>
            <w:r>
              <w:t>≤7.8万元</w:t>
            </w:r>
          </w:p>
        </w:tc>
        <w:tc>
          <w:tcPr>
            <w:tcW w:w="1276" w:type="dxa"/>
            <w:vAlign w:val="center"/>
          </w:tcPr>
          <w:p>
            <w:pPr>
              <w:pStyle w:val="12"/>
            </w:pPr>
            <w:r>
              <w:t>合同金额支付情况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业务保障能力提升情况</w:t>
            </w:r>
          </w:p>
        </w:tc>
        <w:tc>
          <w:tcPr>
            <w:tcW w:w="5386" w:type="dxa"/>
            <w:vAlign w:val="center"/>
          </w:tcPr>
          <w:p>
            <w:pPr>
              <w:pStyle w:val="12"/>
            </w:pPr>
            <w:r>
              <w:t>设备运行良好</w:t>
            </w:r>
          </w:p>
        </w:tc>
        <w:tc>
          <w:tcPr>
            <w:tcW w:w="2268" w:type="dxa"/>
            <w:vAlign w:val="center"/>
          </w:tcPr>
          <w:p>
            <w:pPr>
              <w:pStyle w:val="12"/>
            </w:pPr>
            <w:r>
              <w:t>维护后设备运行情况良好，可以正常使用</w:t>
            </w:r>
          </w:p>
          <w:p>
            <w:pPr>
              <w:pStyle w:val="12"/>
            </w:pPr>
          </w:p>
        </w:tc>
        <w:tc>
          <w:tcPr>
            <w:tcW w:w="1276" w:type="dxa"/>
            <w:vAlign w:val="center"/>
          </w:tcPr>
          <w:p>
            <w:pPr>
              <w:pStyle w:val="12"/>
            </w:pPr>
            <w:r>
              <w:t>设备实际使用情况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工作人员满意度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8、网络基础能力保障专项经费绩效目标表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13010026P00955010006C</w:t>
            </w:r>
          </w:p>
        </w:tc>
        <w:tc>
          <w:tcPr>
            <w:tcW w:w="2835" w:type="dxa"/>
            <w:vAlign w:val="center"/>
          </w:tcPr>
          <w:p>
            <w:pPr>
              <w:pStyle w:val="10"/>
            </w:pPr>
            <w:r>
              <w:t>项目名称</w:t>
            </w:r>
          </w:p>
        </w:tc>
        <w:tc>
          <w:tcPr>
            <w:tcW w:w="6095" w:type="dxa"/>
            <w:gridSpan w:val="3"/>
            <w:vAlign w:val="center"/>
          </w:tcPr>
          <w:p>
            <w:pPr>
              <w:pStyle w:val="12"/>
            </w:pPr>
            <w:r>
              <w:t>网络基础能力保障专项经费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230.00</w:t>
            </w:r>
          </w:p>
        </w:tc>
        <w:tc>
          <w:tcPr>
            <w:tcW w:w="2835" w:type="dxa"/>
            <w:vAlign w:val="center"/>
          </w:tcPr>
          <w:p>
            <w:pPr>
              <w:pStyle w:val="10"/>
            </w:pPr>
            <w:r>
              <w:t>其中：财政    资金</w:t>
            </w:r>
          </w:p>
        </w:tc>
        <w:tc>
          <w:tcPr>
            <w:tcW w:w="2551" w:type="dxa"/>
            <w:vAlign w:val="center"/>
          </w:tcPr>
          <w:p>
            <w:pPr>
              <w:pStyle w:val="12"/>
            </w:pPr>
            <w:r>
              <w:t>230.00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用于网络基础能力保障工作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1.开通互联网宽带专线和视频会议系统，为网信工作开展提供基础保障。</w:t>
            </w:r>
          </w:p>
          <w:p>
            <w:pPr>
              <w:pStyle w:val="12"/>
            </w:pPr>
            <w:r>
              <w:t>2.进一步推进网络生态环境治理工作，营造网上清朗环境。</w:t>
            </w:r>
          </w:p>
          <w:p>
            <w:pPr>
              <w:pStyle w:val="12"/>
            </w:pPr>
            <w:r>
              <w:t>3.深入开展网络普法系列活动，不断提升全市网民网络法治素养，形成遵法守法学法用法的良好氛围。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开通宽带数量</w:t>
            </w:r>
          </w:p>
        </w:tc>
        <w:tc>
          <w:tcPr>
            <w:tcW w:w="5386" w:type="dxa"/>
            <w:vAlign w:val="center"/>
          </w:tcPr>
          <w:p>
            <w:pPr>
              <w:pStyle w:val="12"/>
            </w:pPr>
            <w:r>
              <w:t>开通宽带数量</w:t>
            </w:r>
          </w:p>
        </w:tc>
        <w:tc>
          <w:tcPr>
            <w:tcW w:w="2268" w:type="dxa"/>
            <w:vAlign w:val="center"/>
          </w:tcPr>
          <w:p>
            <w:pPr>
              <w:pStyle w:val="12"/>
            </w:pPr>
            <w:r>
              <w:t>3条</w:t>
            </w:r>
          </w:p>
        </w:tc>
        <w:tc>
          <w:tcPr>
            <w:tcW w:w="1276" w:type="dxa"/>
            <w:vAlign w:val="center"/>
          </w:tcPr>
          <w:p>
            <w:pPr>
              <w:pStyle w:val="12"/>
            </w:pPr>
            <w:r>
              <w:t>工作需要</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三条宽带专线合格率</w:t>
            </w:r>
          </w:p>
        </w:tc>
        <w:tc>
          <w:tcPr>
            <w:tcW w:w="5386" w:type="dxa"/>
            <w:vAlign w:val="center"/>
          </w:tcPr>
          <w:p>
            <w:pPr>
              <w:pStyle w:val="12"/>
            </w:pPr>
            <w:r>
              <w:t>三条宽带专线合格率</w:t>
            </w:r>
          </w:p>
        </w:tc>
        <w:tc>
          <w:tcPr>
            <w:tcW w:w="2268" w:type="dxa"/>
            <w:vAlign w:val="center"/>
          </w:tcPr>
          <w:p>
            <w:pPr>
              <w:pStyle w:val="12"/>
            </w:pPr>
            <w:r>
              <w:t>100%</w:t>
            </w:r>
          </w:p>
        </w:tc>
        <w:tc>
          <w:tcPr>
            <w:tcW w:w="1276" w:type="dxa"/>
            <w:vAlign w:val="center"/>
          </w:tcPr>
          <w:p>
            <w:pPr>
              <w:pStyle w:val="12"/>
            </w:pPr>
            <w:r>
              <w:t>工作需要</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拨款及时率</w:t>
            </w:r>
          </w:p>
        </w:tc>
        <w:tc>
          <w:tcPr>
            <w:tcW w:w="5386" w:type="dxa"/>
            <w:vAlign w:val="center"/>
          </w:tcPr>
          <w:p>
            <w:pPr>
              <w:pStyle w:val="12"/>
            </w:pPr>
            <w:r>
              <w:t>拨款及时率</w:t>
            </w:r>
          </w:p>
        </w:tc>
        <w:tc>
          <w:tcPr>
            <w:tcW w:w="2268" w:type="dxa"/>
            <w:vAlign w:val="center"/>
          </w:tcPr>
          <w:p>
            <w:pPr>
              <w:pStyle w:val="12"/>
            </w:pPr>
            <w:r>
              <w:t>100%</w:t>
            </w:r>
          </w:p>
        </w:tc>
        <w:tc>
          <w:tcPr>
            <w:tcW w:w="1276" w:type="dxa"/>
            <w:vAlign w:val="center"/>
          </w:tcPr>
          <w:p>
            <w:pPr>
              <w:pStyle w:val="12"/>
            </w:pPr>
            <w:r>
              <w:t>合同签订、拨款情况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总成本控制</w:t>
            </w:r>
          </w:p>
        </w:tc>
        <w:tc>
          <w:tcPr>
            <w:tcW w:w="5386" w:type="dxa"/>
            <w:vAlign w:val="center"/>
          </w:tcPr>
          <w:p>
            <w:pPr>
              <w:pStyle w:val="12"/>
            </w:pPr>
            <w:r>
              <w:t>总成本控制</w:t>
            </w:r>
          </w:p>
        </w:tc>
        <w:tc>
          <w:tcPr>
            <w:tcW w:w="2268" w:type="dxa"/>
            <w:vAlign w:val="center"/>
          </w:tcPr>
          <w:p>
            <w:pPr>
              <w:pStyle w:val="12"/>
            </w:pPr>
            <w:r>
              <w:t>≤230万元</w:t>
            </w:r>
          </w:p>
        </w:tc>
        <w:tc>
          <w:tcPr>
            <w:tcW w:w="1276"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网络生态环境治理效果</w:t>
            </w:r>
          </w:p>
        </w:tc>
        <w:tc>
          <w:tcPr>
            <w:tcW w:w="5386" w:type="dxa"/>
            <w:vAlign w:val="center"/>
          </w:tcPr>
          <w:p>
            <w:pPr>
              <w:pStyle w:val="12"/>
            </w:pPr>
            <w:r>
              <w:t>网络生态环境治理效果</w:t>
            </w:r>
          </w:p>
        </w:tc>
        <w:tc>
          <w:tcPr>
            <w:tcW w:w="2268" w:type="dxa"/>
            <w:vAlign w:val="center"/>
          </w:tcPr>
          <w:p>
            <w:pPr>
              <w:pStyle w:val="12"/>
            </w:pPr>
            <w:r>
              <w:t>持续加强</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宽带使用工作人员满意度</w:t>
            </w:r>
          </w:p>
        </w:tc>
        <w:tc>
          <w:tcPr>
            <w:tcW w:w="5386" w:type="dxa"/>
            <w:vAlign w:val="center"/>
          </w:tcPr>
          <w:p>
            <w:pPr>
              <w:pStyle w:val="12"/>
            </w:pPr>
            <w:r>
              <w:t>宽带使用工作人员满意度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9</w:t>
      </w:r>
      <w:r>
        <w:rPr>
          <w:rFonts w:ascii="方正仿宋_GBK" w:hAnsi="方正仿宋_GBK" w:eastAsia="方正仿宋_GBK" w:cs="方正仿宋_GBK"/>
          <w:b/>
          <w:color w:val="000000"/>
          <w:sz w:val="28"/>
        </w:rPr>
        <w:t>、网络文明建设专项经费绩效目标表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13010026P009546100040</w:t>
            </w:r>
          </w:p>
        </w:tc>
        <w:tc>
          <w:tcPr>
            <w:tcW w:w="2835" w:type="dxa"/>
            <w:vAlign w:val="center"/>
          </w:tcPr>
          <w:p>
            <w:pPr>
              <w:pStyle w:val="10"/>
            </w:pPr>
            <w:r>
              <w:t>项目名称</w:t>
            </w:r>
          </w:p>
        </w:tc>
        <w:tc>
          <w:tcPr>
            <w:tcW w:w="6095" w:type="dxa"/>
            <w:gridSpan w:val="3"/>
            <w:vAlign w:val="center"/>
          </w:tcPr>
          <w:p>
            <w:pPr>
              <w:pStyle w:val="12"/>
            </w:pPr>
            <w:r>
              <w:t>网络文明建设专项经费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用于网络文明建设工作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1.互联网行业党建稳步推进提升</w:t>
            </w:r>
          </w:p>
          <w:p>
            <w:pPr>
              <w:pStyle w:val="12"/>
            </w:pPr>
            <w:r>
              <w:t>2.组织开展重点网络平台互动宣传、网络文明主题活动、城市更新系列短视频创作宣发等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网络传播产品数量</w:t>
            </w:r>
          </w:p>
        </w:tc>
        <w:tc>
          <w:tcPr>
            <w:tcW w:w="5386" w:type="dxa"/>
            <w:vAlign w:val="center"/>
          </w:tcPr>
          <w:p>
            <w:pPr>
              <w:pStyle w:val="12"/>
            </w:pPr>
            <w:r>
              <w:t>在各网络平台创作推出的网络传播产品</w:t>
            </w:r>
          </w:p>
        </w:tc>
        <w:tc>
          <w:tcPr>
            <w:tcW w:w="2268" w:type="dxa"/>
            <w:vAlign w:val="center"/>
          </w:tcPr>
          <w:p>
            <w:pPr>
              <w:pStyle w:val="12"/>
            </w:pPr>
            <w:r>
              <w:t>≥100个</w:t>
            </w:r>
          </w:p>
        </w:tc>
        <w:tc>
          <w:tcPr>
            <w:tcW w:w="1276" w:type="dxa"/>
            <w:vAlign w:val="center"/>
          </w:tcPr>
          <w:p>
            <w:pPr>
              <w:pStyle w:val="12"/>
            </w:pPr>
            <w:r>
              <w:t>工作总结统计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网络传播产品阅读展示量</w:t>
            </w:r>
          </w:p>
        </w:tc>
        <w:tc>
          <w:tcPr>
            <w:tcW w:w="5386" w:type="dxa"/>
            <w:vAlign w:val="center"/>
          </w:tcPr>
          <w:p>
            <w:pPr>
              <w:pStyle w:val="12"/>
            </w:pPr>
            <w:r>
              <w:t>网络传播产品在各平台的点击阅读播放量</w:t>
            </w:r>
          </w:p>
        </w:tc>
        <w:tc>
          <w:tcPr>
            <w:tcW w:w="2268" w:type="dxa"/>
            <w:vAlign w:val="center"/>
          </w:tcPr>
          <w:p>
            <w:pPr>
              <w:pStyle w:val="12"/>
            </w:pPr>
            <w:r>
              <w:t>≥2000万人次</w:t>
            </w:r>
          </w:p>
        </w:tc>
        <w:tc>
          <w:tcPr>
            <w:tcW w:w="1276" w:type="dxa"/>
            <w:vAlign w:val="center"/>
          </w:tcPr>
          <w:p>
            <w:pPr>
              <w:pStyle w:val="12"/>
            </w:pPr>
            <w:r>
              <w:t>网络平台显示数据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统计及时性</w:t>
            </w:r>
          </w:p>
        </w:tc>
        <w:tc>
          <w:tcPr>
            <w:tcW w:w="5386" w:type="dxa"/>
            <w:vAlign w:val="center"/>
          </w:tcPr>
          <w:p>
            <w:pPr>
              <w:pStyle w:val="12"/>
            </w:pPr>
            <w:r>
              <w:t>每半年工作情况统计</w:t>
            </w:r>
          </w:p>
        </w:tc>
        <w:tc>
          <w:tcPr>
            <w:tcW w:w="2268" w:type="dxa"/>
            <w:vAlign w:val="center"/>
          </w:tcPr>
          <w:p>
            <w:pPr>
              <w:pStyle w:val="12"/>
            </w:pPr>
            <w:r>
              <w:t>及时</w:t>
            </w:r>
          </w:p>
        </w:tc>
        <w:tc>
          <w:tcPr>
            <w:tcW w:w="1276" w:type="dxa"/>
            <w:vAlign w:val="center"/>
          </w:tcPr>
          <w:p>
            <w:pPr>
              <w:pStyle w:val="12"/>
            </w:pPr>
            <w:r>
              <w:t>工作总结统计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总成本控制</w:t>
            </w:r>
          </w:p>
        </w:tc>
        <w:tc>
          <w:tcPr>
            <w:tcW w:w="5386" w:type="dxa"/>
            <w:vAlign w:val="center"/>
          </w:tcPr>
          <w:p>
            <w:pPr>
              <w:pStyle w:val="12"/>
            </w:pPr>
            <w:r>
              <w:t>总成本控制</w:t>
            </w:r>
          </w:p>
        </w:tc>
        <w:tc>
          <w:tcPr>
            <w:tcW w:w="2268" w:type="dxa"/>
            <w:vAlign w:val="center"/>
          </w:tcPr>
          <w:p>
            <w:pPr>
              <w:pStyle w:val="12"/>
            </w:pPr>
            <w:r>
              <w:t>≤70万元</w:t>
            </w:r>
          </w:p>
        </w:tc>
        <w:tc>
          <w:tcPr>
            <w:tcW w:w="1276"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网络文明生态环境</w:t>
            </w:r>
          </w:p>
        </w:tc>
        <w:tc>
          <w:tcPr>
            <w:tcW w:w="5386" w:type="dxa"/>
            <w:vAlign w:val="center"/>
          </w:tcPr>
          <w:p>
            <w:pPr>
              <w:pStyle w:val="12"/>
            </w:pPr>
            <w:r>
              <w:t>全市网络文明生态环境整体情况</w:t>
            </w:r>
          </w:p>
        </w:tc>
        <w:tc>
          <w:tcPr>
            <w:tcW w:w="2268" w:type="dxa"/>
            <w:vAlign w:val="center"/>
          </w:tcPr>
          <w:p>
            <w:pPr>
              <w:pStyle w:val="12"/>
            </w:pPr>
            <w:r>
              <w:t>明显向好</w:t>
            </w:r>
          </w:p>
        </w:tc>
        <w:tc>
          <w:tcPr>
            <w:tcW w:w="1276" w:type="dxa"/>
            <w:vAlign w:val="center"/>
          </w:tcPr>
          <w:p>
            <w:pPr>
              <w:pStyle w:val="12"/>
            </w:pPr>
            <w:r>
              <w:t>工作总结统计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网络传播产品网上受众满意度</w:t>
            </w:r>
          </w:p>
        </w:tc>
        <w:tc>
          <w:tcPr>
            <w:tcW w:w="5386" w:type="dxa"/>
            <w:vAlign w:val="center"/>
          </w:tcPr>
          <w:p>
            <w:pPr>
              <w:pStyle w:val="12"/>
            </w:pPr>
            <w:r>
              <w:t>网络传播产品转发点赞量</w:t>
            </w:r>
          </w:p>
        </w:tc>
        <w:tc>
          <w:tcPr>
            <w:tcW w:w="2268" w:type="dxa"/>
            <w:vAlign w:val="center"/>
          </w:tcPr>
          <w:p>
            <w:pPr>
              <w:pStyle w:val="12"/>
            </w:pPr>
            <w:r>
              <w:t>≥200万人次</w:t>
            </w:r>
          </w:p>
        </w:tc>
        <w:tc>
          <w:tcPr>
            <w:tcW w:w="1276" w:type="dxa"/>
            <w:vAlign w:val="center"/>
          </w:tcPr>
          <w:p>
            <w:pPr>
              <w:pStyle w:val="12"/>
            </w:pPr>
            <w:r>
              <w:t>网络平台显示数据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0</w:t>
      </w:r>
      <w:r>
        <w:rPr>
          <w:rFonts w:ascii="方正仿宋_GBK" w:hAnsi="方正仿宋_GBK" w:eastAsia="方正仿宋_GBK" w:cs="方正仿宋_GBK"/>
          <w:b/>
          <w:color w:val="000000"/>
          <w:sz w:val="28"/>
        </w:rPr>
        <w:t>、网络主题宣传专项经费绩效目标表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13010026P00954810004B</w:t>
            </w:r>
          </w:p>
        </w:tc>
        <w:tc>
          <w:tcPr>
            <w:tcW w:w="2835" w:type="dxa"/>
            <w:vAlign w:val="center"/>
          </w:tcPr>
          <w:p>
            <w:pPr>
              <w:pStyle w:val="10"/>
            </w:pPr>
            <w:r>
              <w:t>项目名称</w:t>
            </w:r>
          </w:p>
        </w:tc>
        <w:tc>
          <w:tcPr>
            <w:tcW w:w="6095" w:type="dxa"/>
            <w:gridSpan w:val="3"/>
            <w:vAlign w:val="center"/>
          </w:tcPr>
          <w:p>
            <w:pPr>
              <w:pStyle w:val="12"/>
            </w:pPr>
            <w:r>
              <w:t>网络主题宣传专项经费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130.00</w:t>
            </w:r>
          </w:p>
        </w:tc>
        <w:tc>
          <w:tcPr>
            <w:tcW w:w="2835" w:type="dxa"/>
            <w:vAlign w:val="center"/>
          </w:tcPr>
          <w:p>
            <w:pPr>
              <w:pStyle w:val="10"/>
            </w:pPr>
            <w:r>
              <w:t>其中：财政    资金</w:t>
            </w:r>
          </w:p>
        </w:tc>
        <w:tc>
          <w:tcPr>
            <w:tcW w:w="2551" w:type="dxa"/>
            <w:vAlign w:val="center"/>
          </w:tcPr>
          <w:p>
            <w:pPr>
              <w:pStyle w:val="12"/>
            </w:pPr>
            <w:r>
              <w:t>130.00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用于网络主题宣传工作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借助重点新闻网站和主流商业网站优势，围绕党委、政府中心工作，通过开设专题专栏，开展网络主题活动，创作一批融媒体作品，组织征选展播活动，持续提升城市知名度、美誉度和影响力。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网站合作数量</w:t>
            </w:r>
          </w:p>
        </w:tc>
        <w:tc>
          <w:tcPr>
            <w:tcW w:w="5386" w:type="dxa"/>
            <w:vAlign w:val="center"/>
          </w:tcPr>
          <w:p>
            <w:pPr>
              <w:pStyle w:val="12"/>
            </w:pPr>
            <w:r>
              <w:t>与重点新闻网站和主流商业网站合作数量。</w:t>
            </w:r>
          </w:p>
        </w:tc>
        <w:tc>
          <w:tcPr>
            <w:tcW w:w="2268" w:type="dxa"/>
            <w:vAlign w:val="center"/>
          </w:tcPr>
          <w:p>
            <w:pPr>
              <w:pStyle w:val="12"/>
            </w:pPr>
            <w:r>
              <w:t>≥5个</w:t>
            </w:r>
          </w:p>
        </w:tc>
        <w:tc>
          <w:tcPr>
            <w:tcW w:w="1276" w:type="dxa"/>
            <w:vAlign w:val="center"/>
          </w:tcPr>
          <w:p>
            <w:pPr>
              <w:pStyle w:val="12"/>
            </w:pPr>
            <w:r>
              <w:t>依据工作目标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与重点网络媒体联合开展网上宣传</w:t>
            </w:r>
          </w:p>
        </w:tc>
        <w:tc>
          <w:tcPr>
            <w:tcW w:w="5386" w:type="dxa"/>
            <w:vAlign w:val="center"/>
          </w:tcPr>
          <w:p>
            <w:pPr>
              <w:pStyle w:val="12"/>
            </w:pPr>
            <w:r>
              <w:t>与重点网络媒体开展专题专栏宣传。</w:t>
            </w:r>
          </w:p>
        </w:tc>
        <w:tc>
          <w:tcPr>
            <w:tcW w:w="2268" w:type="dxa"/>
            <w:vAlign w:val="center"/>
          </w:tcPr>
          <w:p>
            <w:pPr>
              <w:pStyle w:val="12"/>
            </w:pPr>
            <w:r>
              <w:t>按要求开展</w:t>
            </w:r>
          </w:p>
        </w:tc>
        <w:tc>
          <w:tcPr>
            <w:tcW w:w="1276" w:type="dxa"/>
            <w:vAlign w:val="center"/>
          </w:tcPr>
          <w:p>
            <w:pPr>
              <w:pStyle w:val="12"/>
            </w:pPr>
            <w:r>
              <w:t>依据工作目标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按照时限完成</w:t>
            </w:r>
          </w:p>
        </w:tc>
        <w:tc>
          <w:tcPr>
            <w:tcW w:w="5386" w:type="dxa"/>
            <w:vAlign w:val="center"/>
          </w:tcPr>
          <w:p>
            <w:pPr>
              <w:pStyle w:val="12"/>
            </w:pPr>
            <w:r>
              <w:t>按照约定时限完成项目执行。</w:t>
            </w:r>
          </w:p>
        </w:tc>
        <w:tc>
          <w:tcPr>
            <w:tcW w:w="2268" w:type="dxa"/>
            <w:vAlign w:val="center"/>
          </w:tcPr>
          <w:p>
            <w:pPr>
              <w:pStyle w:val="12"/>
            </w:pPr>
            <w:r>
              <w:t>≥90%</w:t>
            </w:r>
          </w:p>
        </w:tc>
        <w:tc>
          <w:tcPr>
            <w:tcW w:w="1276" w:type="dxa"/>
            <w:vAlign w:val="center"/>
          </w:tcPr>
          <w:p>
            <w:pPr>
              <w:pStyle w:val="12"/>
            </w:pPr>
            <w:r>
              <w:t>依据工作目标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总成本控制</w:t>
            </w:r>
          </w:p>
        </w:tc>
        <w:tc>
          <w:tcPr>
            <w:tcW w:w="5386" w:type="dxa"/>
            <w:vAlign w:val="center"/>
          </w:tcPr>
          <w:p>
            <w:pPr>
              <w:pStyle w:val="12"/>
            </w:pPr>
            <w:r>
              <w:t>总成本控制</w:t>
            </w:r>
          </w:p>
        </w:tc>
        <w:tc>
          <w:tcPr>
            <w:tcW w:w="2268" w:type="dxa"/>
            <w:vAlign w:val="center"/>
          </w:tcPr>
          <w:p>
            <w:pPr>
              <w:pStyle w:val="12"/>
            </w:pPr>
            <w:r>
              <w:t>≤130万元</w:t>
            </w:r>
          </w:p>
        </w:tc>
        <w:tc>
          <w:tcPr>
            <w:tcW w:w="1276" w:type="dxa"/>
            <w:vAlign w:val="center"/>
          </w:tcPr>
          <w:p>
            <w:pPr>
              <w:pStyle w:val="12"/>
            </w:pPr>
            <w:r>
              <w:t>依据工作目标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弘扬网络正能量</w:t>
            </w:r>
          </w:p>
        </w:tc>
        <w:tc>
          <w:tcPr>
            <w:tcW w:w="5386" w:type="dxa"/>
            <w:vAlign w:val="center"/>
          </w:tcPr>
          <w:p>
            <w:pPr>
              <w:pStyle w:val="12"/>
            </w:pPr>
            <w:r>
              <w:t>弘扬网络正能量，提升市民幸福感。</w:t>
            </w:r>
          </w:p>
        </w:tc>
        <w:tc>
          <w:tcPr>
            <w:tcW w:w="2268" w:type="dxa"/>
            <w:vAlign w:val="center"/>
          </w:tcPr>
          <w:p>
            <w:pPr>
              <w:pStyle w:val="12"/>
            </w:pPr>
            <w:r>
              <w:t>提升</w:t>
            </w:r>
          </w:p>
        </w:tc>
        <w:tc>
          <w:tcPr>
            <w:tcW w:w="1276" w:type="dxa"/>
            <w:vAlign w:val="center"/>
          </w:tcPr>
          <w:p>
            <w:pPr>
              <w:pStyle w:val="12"/>
            </w:pPr>
            <w:r>
              <w:t>依据工作目标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石家庄网络知名度美誉度</w:t>
            </w:r>
          </w:p>
        </w:tc>
        <w:tc>
          <w:tcPr>
            <w:tcW w:w="5386" w:type="dxa"/>
            <w:vAlign w:val="center"/>
          </w:tcPr>
          <w:p>
            <w:pPr>
              <w:pStyle w:val="12"/>
            </w:pPr>
            <w:r>
              <w:t>提升我市知名度、美誉度和影响力。</w:t>
            </w:r>
          </w:p>
        </w:tc>
        <w:tc>
          <w:tcPr>
            <w:tcW w:w="2268" w:type="dxa"/>
            <w:vAlign w:val="center"/>
          </w:tcPr>
          <w:p>
            <w:pPr>
              <w:pStyle w:val="12"/>
            </w:pPr>
            <w:r>
              <w:t>提升</w:t>
            </w:r>
          </w:p>
        </w:tc>
        <w:tc>
          <w:tcPr>
            <w:tcW w:w="1276" w:type="dxa"/>
            <w:vAlign w:val="center"/>
          </w:tcPr>
          <w:p>
            <w:pPr>
              <w:pStyle w:val="12"/>
            </w:pPr>
            <w:r>
              <w:t>依据工作目标</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224001中共石家庄市委网络安全和信息化委员会办公室本级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123.53</w:t>
            </w:r>
          </w:p>
        </w:tc>
        <w:tc>
          <w:tcPr>
            <w:tcW w:w="964" w:type="dxa"/>
            <w:vAlign w:val="center"/>
          </w:tcPr>
          <w:p>
            <w:pPr>
              <w:pStyle w:val="15"/>
            </w:pPr>
            <w:r>
              <w:t>123.53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中共石家庄市委网络安全和信息化委员会办公室本级小计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123.53</w:t>
            </w:r>
          </w:p>
        </w:tc>
        <w:tc>
          <w:tcPr>
            <w:tcW w:w="964" w:type="dxa"/>
            <w:vAlign w:val="center"/>
          </w:tcPr>
          <w:p>
            <w:pPr>
              <w:pStyle w:val="15"/>
            </w:pPr>
            <w:r>
              <w:t>123.53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55.73</w:t>
            </w:r>
          </w:p>
        </w:tc>
        <w:tc>
          <w:tcPr>
            <w:tcW w:w="1134" w:type="dxa"/>
            <w:vAlign w:val="center"/>
          </w:tcPr>
          <w:p>
            <w:pPr>
              <w:pStyle w:val="12"/>
            </w:pPr>
            <w:r>
              <w:t>汽油</w:t>
            </w:r>
          </w:p>
        </w:tc>
        <w:tc>
          <w:tcPr>
            <w:tcW w:w="1134" w:type="dxa"/>
            <w:vAlign w:val="center"/>
          </w:tcPr>
          <w:p>
            <w:pPr>
              <w:pStyle w:val="12"/>
            </w:pPr>
            <w:r>
              <w:t>A07070101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0.90</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55.73</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1.50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55.73</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0.23</w:t>
            </w:r>
          </w:p>
        </w:tc>
        <w:tc>
          <w:tcPr>
            <w:tcW w:w="964" w:type="dxa"/>
            <w:vAlign w:val="center"/>
          </w:tcPr>
          <w:p>
            <w:pPr>
              <w:pStyle w:val="11"/>
            </w:pPr>
            <w:r>
              <w:t>0.23</w:t>
            </w:r>
          </w:p>
        </w:tc>
        <w:tc>
          <w:tcPr>
            <w:tcW w:w="964" w:type="dxa"/>
            <w:vAlign w:val="center"/>
          </w:tcPr>
          <w:p>
            <w:pPr>
              <w:pStyle w:val="11"/>
            </w:pPr>
            <w:r>
              <w:t>0.23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55.73</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1.30</w:t>
            </w:r>
          </w:p>
        </w:tc>
        <w:tc>
          <w:tcPr>
            <w:tcW w:w="964" w:type="dxa"/>
            <w:vAlign w:val="center"/>
          </w:tcPr>
          <w:p>
            <w:pPr>
              <w:pStyle w:val="11"/>
            </w:pPr>
            <w:r>
              <w:t>1.30</w:t>
            </w:r>
          </w:p>
        </w:tc>
        <w:tc>
          <w:tcPr>
            <w:tcW w:w="964" w:type="dxa"/>
            <w:vAlign w:val="center"/>
          </w:tcPr>
          <w:p>
            <w:pPr>
              <w:pStyle w:val="11"/>
            </w:pPr>
            <w:r>
              <w:t>1.30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55.73</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1.10</w:t>
            </w:r>
          </w:p>
        </w:tc>
        <w:tc>
          <w:tcPr>
            <w:tcW w:w="964" w:type="dxa"/>
            <w:vAlign w:val="center"/>
          </w:tcPr>
          <w:p>
            <w:pPr>
              <w:pStyle w:val="11"/>
            </w:pPr>
            <w:r>
              <w:t>1.10</w:t>
            </w:r>
          </w:p>
        </w:tc>
        <w:tc>
          <w:tcPr>
            <w:tcW w:w="964" w:type="dxa"/>
            <w:vAlign w:val="center"/>
          </w:tcPr>
          <w:p>
            <w:pPr>
              <w:pStyle w:val="11"/>
            </w:pPr>
            <w:r>
              <w:t>1.10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2.90</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台</w:t>
            </w:r>
          </w:p>
        </w:tc>
        <w:tc>
          <w:tcPr>
            <w:tcW w:w="850" w:type="dxa"/>
            <w:vAlign w:val="center"/>
          </w:tcPr>
          <w:p>
            <w:pPr>
              <w:pStyle w:val="11"/>
            </w:pPr>
            <w:r>
              <w:t>8</w:t>
            </w:r>
          </w:p>
        </w:tc>
        <w:tc>
          <w:tcPr>
            <w:tcW w:w="850" w:type="dxa"/>
            <w:vAlign w:val="center"/>
          </w:tcPr>
          <w:p>
            <w:pPr>
              <w:pStyle w:val="11"/>
            </w:pPr>
            <w:r>
              <w:t>0.20</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2.90</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0.65</w:t>
            </w:r>
          </w:p>
        </w:tc>
        <w:tc>
          <w:tcPr>
            <w:tcW w:w="964" w:type="dxa"/>
            <w:vAlign w:val="center"/>
          </w:tcPr>
          <w:p>
            <w:pPr>
              <w:pStyle w:val="11"/>
            </w:pPr>
            <w:r>
              <w:t>1.30</w:t>
            </w:r>
          </w:p>
        </w:tc>
        <w:tc>
          <w:tcPr>
            <w:tcW w:w="964" w:type="dxa"/>
            <w:vAlign w:val="center"/>
          </w:tcPr>
          <w:p>
            <w:pPr>
              <w:pStyle w:val="11"/>
            </w:pPr>
            <w:r>
              <w:t>1.30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物业管理费</w:t>
            </w:r>
          </w:p>
        </w:tc>
        <w:tc>
          <w:tcPr>
            <w:tcW w:w="964" w:type="dxa"/>
            <w:vAlign w:val="center"/>
          </w:tcPr>
          <w:p>
            <w:pPr>
              <w:pStyle w:val="11"/>
            </w:pPr>
            <w:r>
              <w:t>8.30</w:t>
            </w:r>
          </w:p>
        </w:tc>
        <w:tc>
          <w:tcPr>
            <w:tcW w:w="1134" w:type="dxa"/>
            <w:vAlign w:val="center"/>
          </w:tcPr>
          <w:p>
            <w:pPr>
              <w:pStyle w:val="12"/>
            </w:pPr>
            <w:r>
              <w:t>物业管理服务</w:t>
            </w:r>
          </w:p>
        </w:tc>
        <w:tc>
          <w:tcPr>
            <w:tcW w:w="1134" w:type="dxa"/>
            <w:vAlign w:val="center"/>
          </w:tcPr>
          <w:p>
            <w:pPr>
              <w:pStyle w:val="12"/>
            </w:pPr>
            <w:r>
              <w:t>C21040000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8.30</w:t>
            </w:r>
          </w:p>
        </w:tc>
        <w:tc>
          <w:tcPr>
            <w:tcW w:w="964" w:type="dxa"/>
            <w:vAlign w:val="center"/>
          </w:tcPr>
          <w:p>
            <w:pPr>
              <w:pStyle w:val="11"/>
            </w:pPr>
            <w:r>
              <w:t>8.30</w:t>
            </w:r>
          </w:p>
        </w:tc>
        <w:tc>
          <w:tcPr>
            <w:tcW w:w="964" w:type="dxa"/>
            <w:vAlign w:val="center"/>
          </w:tcPr>
          <w:p>
            <w:pPr>
              <w:pStyle w:val="11"/>
            </w:pPr>
            <w:r>
              <w:t>8.30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网络基础能力保障专项经费</w:t>
            </w:r>
          </w:p>
        </w:tc>
        <w:tc>
          <w:tcPr>
            <w:tcW w:w="964" w:type="dxa"/>
            <w:vAlign w:val="center"/>
          </w:tcPr>
          <w:p>
            <w:pPr>
              <w:pStyle w:val="11"/>
            </w:pPr>
            <w:r>
              <w:t>230.00</w:t>
            </w:r>
          </w:p>
        </w:tc>
        <w:tc>
          <w:tcPr>
            <w:tcW w:w="1134" w:type="dxa"/>
            <w:vAlign w:val="center"/>
          </w:tcPr>
          <w:p>
            <w:pPr>
              <w:pStyle w:val="12"/>
            </w:pPr>
            <w:r>
              <w:t>网络接入服务</w:t>
            </w:r>
          </w:p>
        </w:tc>
        <w:tc>
          <w:tcPr>
            <w:tcW w:w="1134" w:type="dxa"/>
            <w:vAlign w:val="center"/>
          </w:tcPr>
          <w:p>
            <w:pPr>
              <w:pStyle w:val="12"/>
            </w:pPr>
            <w:r>
              <w:t>C17010200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22.30</w:t>
            </w:r>
          </w:p>
        </w:tc>
        <w:tc>
          <w:tcPr>
            <w:tcW w:w="964" w:type="dxa"/>
            <w:vAlign w:val="center"/>
          </w:tcPr>
          <w:p>
            <w:pPr>
              <w:pStyle w:val="11"/>
            </w:pPr>
            <w:r>
              <w:t>22.30</w:t>
            </w:r>
          </w:p>
        </w:tc>
        <w:tc>
          <w:tcPr>
            <w:tcW w:w="964" w:type="dxa"/>
            <w:vAlign w:val="center"/>
          </w:tcPr>
          <w:p>
            <w:pPr>
              <w:pStyle w:val="11"/>
            </w:pPr>
            <w:r>
              <w:t>22.30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bookmarkStart w:id="1" w:name="_GoBack"/>
      <w:bookmarkEnd w:id="1"/>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中共石家庄市委网络安全和信息化委员会办公室本级上年末固定资产金额为0.00万元（详见下表）。本年度拟购置固定资产总额为0.00万元，已按要求列入政府采购预算，详见政府采购预算表。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224001中共石家庄市委网络安全和信息化委员会办公室本级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232F57D"/>
    <w:multiLevelType w:val="singleLevel"/>
    <w:tmpl w:val="F232F57D"/>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F56959"/>
    <w:rsid w:val="0B3923C7"/>
    <w:rsid w:val="16B259A4"/>
    <w:rsid w:val="173D6DF1"/>
    <w:rsid w:val="17C77596"/>
    <w:rsid w:val="35570DCD"/>
    <w:rsid w:val="36236673"/>
    <w:rsid w:val="4DC957C4"/>
    <w:rsid w:val="4F2D24CE"/>
    <w:rsid w:val="5DE6488C"/>
    <w:rsid w:val="6FE34A63"/>
    <w:rsid w:val="73EA3F9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37</Pages>
  <TotalTime>9</TotalTime>
  <ScaleCrop>false</ScaleCrop>
  <LinksUpToDate>false</LinksUpToDate>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2026-02-09T14:42:00Z</dcterms:created>
  <dc:creator>LENOVOY</dc:creator>
  <cp:lastModifiedBy>薄荷绿</cp:lastModifiedBy>
  <cp:lastPrinted>2026-02-09T08:04:00Z</cp:lastPrinted>
  <dcterms:modified xsi:type="dcterms:W3CDTF">2026-02-11T01:56:08Z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