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7</w:t>
      </w:r>
      <w:r>
        <w:fldChar w:fldCharType="end"/>
      </w:r>
      <w:r>
        <w:fldChar w:fldCharType="end"/>
      </w:r>
    </w:p>
    <w:p>
      <w:pPr>
        <w:pStyle w:val="3"/>
        <w:tabs>
          <w:tab w:val="right" w:leader="dot" w:pos="14562"/>
        </w:tabs>
        <w:rPr>
          <w:rFonts w:hint="eastAsia" w:eastAsia="方正仿宋_GBK"/>
          <w:lang w:val="en-US" w:eastAsia="zh-CN"/>
        </w:rPr>
      </w:pPr>
      <w:r>
        <w:fldChar w:fldCharType="begin"/>
      </w:r>
      <w:r>
        <w:instrText xml:space="preserve">HYPERLINK \l _Toc_3_3_0000000017</w:instrText>
      </w:r>
      <w:r>
        <w:fldChar w:fldCharType="separate"/>
      </w:r>
      <w:r>
        <w:t>八、政府采购预算情况</w:t>
      </w:r>
      <w:r>
        <w:tab/>
      </w:r>
      <w:r>
        <w:rPr>
          <w:rFonts w:hint="eastAsia"/>
          <w:lang w:val="en-US" w:eastAsia="zh-CN"/>
        </w:rPr>
        <w:t>1</w:t>
      </w:r>
      <w:r>
        <w:fldChar w:fldCharType="end"/>
      </w:r>
      <w:r>
        <w:rPr>
          <w:rFonts w:hint="eastAsia"/>
          <w:lang w:val="en-US" w:eastAsia="zh-CN"/>
        </w:rPr>
        <w:t>9</w:t>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224中共石家庄市委网络安全和信息化委员会办公室</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2128.55</w:t>
            </w:r>
          </w:p>
        </w:tc>
        <w:tc>
          <w:tcPr>
            <w:tcW w:w="4535" w:type="dxa"/>
            <w:vAlign w:val="center"/>
          </w:tcPr>
          <w:p>
            <w:pPr>
              <w:pStyle w:val="13"/>
            </w:pPr>
            <w:r>
              <w:t>一、一般公共服务支出</w:t>
            </w:r>
          </w:p>
        </w:tc>
        <w:tc>
          <w:tcPr>
            <w:tcW w:w="2126" w:type="dxa"/>
            <w:vAlign w:val="center"/>
          </w:tcPr>
          <w:p>
            <w:pPr>
              <w:pStyle w:val="12"/>
            </w:pPr>
            <w:r>
              <w:t>1872.71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119.49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48.90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87.45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2128.55</w:t>
            </w:r>
          </w:p>
        </w:tc>
        <w:tc>
          <w:tcPr>
            <w:tcW w:w="4535" w:type="dxa"/>
            <w:vAlign w:val="center"/>
          </w:tcPr>
          <w:p>
            <w:pPr>
              <w:pStyle w:val="15"/>
            </w:pPr>
            <w:r>
              <w:t>本年支出合计</w:t>
            </w:r>
          </w:p>
        </w:tc>
        <w:tc>
          <w:tcPr>
            <w:tcW w:w="2126" w:type="dxa"/>
            <w:vAlign w:val="center"/>
          </w:tcPr>
          <w:p>
            <w:pPr>
              <w:pStyle w:val="16"/>
            </w:pPr>
            <w:r>
              <w:t>2128.55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2128.55</w:t>
            </w:r>
          </w:p>
        </w:tc>
        <w:tc>
          <w:tcPr>
            <w:tcW w:w="4535" w:type="dxa"/>
            <w:vAlign w:val="center"/>
          </w:tcPr>
          <w:p>
            <w:pPr>
              <w:pStyle w:val="15"/>
            </w:pPr>
            <w:r>
              <w:t>支出总计</w:t>
            </w:r>
          </w:p>
        </w:tc>
        <w:tc>
          <w:tcPr>
            <w:tcW w:w="2126" w:type="dxa"/>
            <w:vAlign w:val="center"/>
          </w:tcPr>
          <w:p>
            <w:pPr>
              <w:pStyle w:val="16"/>
            </w:pPr>
            <w:r>
              <w:t>2128.55</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224中共石家庄市委网络安全和信息化委员会办公室</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2128.55</w:t>
            </w:r>
          </w:p>
        </w:tc>
        <w:tc>
          <w:tcPr>
            <w:tcW w:w="1134" w:type="dxa"/>
            <w:vAlign w:val="center"/>
          </w:tcPr>
          <w:p>
            <w:pPr>
              <w:pStyle w:val="16"/>
            </w:pPr>
            <w:r>
              <w:t>2128.55</w:t>
            </w:r>
          </w:p>
        </w:tc>
        <w:tc>
          <w:tcPr>
            <w:tcW w:w="1134" w:type="dxa"/>
            <w:vAlign w:val="center"/>
          </w:tcPr>
          <w:p>
            <w:pPr>
              <w:pStyle w:val="16"/>
            </w:pPr>
            <w:r>
              <w:t>2128.55</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1872.71</w:t>
            </w:r>
          </w:p>
        </w:tc>
        <w:tc>
          <w:tcPr>
            <w:tcW w:w="1134" w:type="dxa"/>
            <w:vAlign w:val="center"/>
          </w:tcPr>
          <w:p>
            <w:pPr>
              <w:pStyle w:val="12"/>
            </w:pPr>
            <w:r>
              <w:t>1872.71</w:t>
            </w:r>
          </w:p>
        </w:tc>
        <w:tc>
          <w:tcPr>
            <w:tcW w:w="1134" w:type="dxa"/>
            <w:vAlign w:val="center"/>
          </w:tcPr>
          <w:p>
            <w:pPr>
              <w:pStyle w:val="12"/>
            </w:pPr>
            <w:r>
              <w:t>1872.71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20137</w:t>
            </w:r>
          </w:p>
        </w:tc>
        <w:tc>
          <w:tcPr>
            <w:tcW w:w="1559" w:type="dxa"/>
            <w:vAlign w:val="center"/>
          </w:tcPr>
          <w:p>
            <w:pPr>
              <w:pStyle w:val="13"/>
            </w:pPr>
            <w:r>
              <w:t>网信事务</w:t>
            </w:r>
          </w:p>
        </w:tc>
        <w:tc>
          <w:tcPr>
            <w:tcW w:w="1134" w:type="dxa"/>
            <w:vAlign w:val="center"/>
          </w:tcPr>
          <w:p>
            <w:pPr>
              <w:pStyle w:val="12"/>
            </w:pPr>
            <w:r>
              <w:t>1872.71</w:t>
            </w:r>
          </w:p>
        </w:tc>
        <w:tc>
          <w:tcPr>
            <w:tcW w:w="1134" w:type="dxa"/>
            <w:vAlign w:val="center"/>
          </w:tcPr>
          <w:p>
            <w:pPr>
              <w:pStyle w:val="12"/>
            </w:pPr>
            <w:r>
              <w:t>1872.71</w:t>
            </w:r>
          </w:p>
        </w:tc>
        <w:tc>
          <w:tcPr>
            <w:tcW w:w="1134" w:type="dxa"/>
            <w:vAlign w:val="center"/>
          </w:tcPr>
          <w:p>
            <w:pPr>
              <w:pStyle w:val="12"/>
            </w:pPr>
            <w:r>
              <w:t>1872.71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2013701</w:t>
            </w:r>
          </w:p>
        </w:tc>
        <w:tc>
          <w:tcPr>
            <w:tcW w:w="1559" w:type="dxa"/>
            <w:vAlign w:val="center"/>
          </w:tcPr>
          <w:p>
            <w:pPr>
              <w:pStyle w:val="13"/>
            </w:pPr>
            <w:r>
              <w:t>行政运行</w:t>
            </w:r>
          </w:p>
        </w:tc>
        <w:tc>
          <w:tcPr>
            <w:tcW w:w="1134" w:type="dxa"/>
            <w:vAlign w:val="center"/>
          </w:tcPr>
          <w:p>
            <w:pPr>
              <w:pStyle w:val="12"/>
            </w:pPr>
            <w:r>
              <w:t>889.21</w:t>
            </w:r>
          </w:p>
        </w:tc>
        <w:tc>
          <w:tcPr>
            <w:tcW w:w="1134" w:type="dxa"/>
            <w:vAlign w:val="center"/>
          </w:tcPr>
          <w:p>
            <w:pPr>
              <w:pStyle w:val="12"/>
            </w:pPr>
            <w:r>
              <w:t>889.21</w:t>
            </w:r>
          </w:p>
        </w:tc>
        <w:tc>
          <w:tcPr>
            <w:tcW w:w="1134" w:type="dxa"/>
            <w:vAlign w:val="center"/>
          </w:tcPr>
          <w:p>
            <w:pPr>
              <w:pStyle w:val="12"/>
            </w:pPr>
            <w:r>
              <w:t>889.21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2013702</w:t>
            </w:r>
          </w:p>
        </w:tc>
        <w:tc>
          <w:tcPr>
            <w:tcW w:w="1559" w:type="dxa"/>
            <w:vAlign w:val="center"/>
          </w:tcPr>
          <w:p>
            <w:pPr>
              <w:pStyle w:val="13"/>
            </w:pPr>
            <w:r>
              <w:t>一般行政管理事务</w:t>
            </w:r>
          </w:p>
        </w:tc>
        <w:tc>
          <w:tcPr>
            <w:tcW w:w="1134" w:type="dxa"/>
            <w:vAlign w:val="center"/>
          </w:tcPr>
          <w:p>
            <w:pPr>
              <w:pStyle w:val="12"/>
            </w:pPr>
            <w:r>
              <w:t>983.50</w:t>
            </w:r>
          </w:p>
        </w:tc>
        <w:tc>
          <w:tcPr>
            <w:tcW w:w="1134" w:type="dxa"/>
            <w:vAlign w:val="center"/>
          </w:tcPr>
          <w:p>
            <w:pPr>
              <w:pStyle w:val="12"/>
            </w:pPr>
            <w:r>
              <w:t>983.50</w:t>
            </w:r>
          </w:p>
        </w:tc>
        <w:tc>
          <w:tcPr>
            <w:tcW w:w="1134" w:type="dxa"/>
            <w:vAlign w:val="center"/>
          </w:tcPr>
          <w:p>
            <w:pPr>
              <w:pStyle w:val="12"/>
            </w:pPr>
            <w:r>
              <w:t>983.50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119.49</w:t>
            </w:r>
          </w:p>
        </w:tc>
        <w:tc>
          <w:tcPr>
            <w:tcW w:w="1134" w:type="dxa"/>
            <w:vAlign w:val="center"/>
          </w:tcPr>
          <w:p>
            <w:pPr>
              <w:pStyle w:val="12"/>
            </w:pPr>
            <w:r>
              <w:t>119.49</w:t>
            </w:r>
          </w:p>
        </w:tc>
        <w:tc>
          <w:tcPr>
            <w:tcW w:w="1134" w:type="dxa"/>
            <w:vAlign w:val="center"/>
          </w:tcPr>
          <w:p>
            <w:pPr>
              <w:pStyle w:val="12"/>
            </w:pPr>
            <w:r>
              <w:t>119.49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115.04</w:t>
            </w:r>
          </w:p>
        </w:tc>
        <w:tc>
          <w:tcPr>
            <w:tcW w:w="1134" w:type="dxa"/>
            <w:vAlign w:val="center"/>
          </w:tcPr>
          <w:p>
            <w:pPr>
              <w:pStyle w:val="12"/>
            </w:pPr>
            <w:r>
              <w:t>115.04</w:t>
            </w:r>
          </w:p>
        </w:tc>
        <w:tc>
          <w:tcPr>
            <w:tcW w:w="1134" w:type="dxa"/>
            <w:vAlign w:val="center"/>
          </w:tcPr>
          <w:p>
            <w:pPr>
              <w:pStyle w:val="12"/>
            </w:pPr>
            <w:r>
              <w:t>115.04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14.99</w:t>
            </w:r>
          </w:p>
        </w:tc>
        <w:tc>
          <w:tcPr>
            <w:tcW w:w="1134" w:type="dxa"/>
            <w:vAlign w:val="center"/>
          </w:tcPr>
          <w:p>
            <w:pPr>
              <w:pStyle w:val="12"/>
            </w:pPr>
            <w:r>
              <w:t>14.99</w:t>
            </w:r>
          </w:p>
        </w:tc>
        <w:tc>
          <w:tcPr>
            <w:tcW w:w="1134" w:type="dxa"/>
            <w:vAlign w:val="center"/>
          </w:tcPr>
          <w:p>
            <w:pPr>
              <w:pStyle w:val="12"/>
            </w:pPr>
            <w:r>
              <w:t>14.99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100.05</w:t>
            </w:r>
          </w:p>
        </w:tc>
        <w:tc>
          <w:tcPr>
            <w:tcW w:w="1134" w:type="dxa"/>
            <w:vAlign w:val="center"/>
          </w:tcPr>
          <w:p>
            <w:pPr>
              <w:pStyle w:val="12"/>
            </w:pPr>
            <w:r>
              <w:t>100.05</w:t>
            </w:r>
          </w:p>
        </w:tc>
        <w:tc>
          <w:tcPr>
            <w:tcW w:w="1134" w:type="dxa"/>
            <w:vAlign w:val="center"/>
          </w:tcPr>
          <w:p>
            <w:pPr>
              <w:pStyle w:val="12"/>
            </w:pPr>
            <w:r>
              <w:t>100.05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20899</w:t>
            </w:r>
          </w:p>
        </w:tc>
        <w:tc>
          <w:tcPr>
            <w:tcW w:w="1559" w:type="dxa"/>
            <w:vAlign w:val="center"/>
          </w:tcPr>
          <w:p>
            <w:pPr>
              <w:pStyle w:val="13"/>
            </w:pPr>
            <w:r>
              <w:t>其他社会保障和就业支出</w:t>
            </w:r>
          </w:p>
        </w:tc>
        <w:tc>
          <w:tcPr>
            <w:tcW w:w="1134" w:type="dxa"/>
            <w:vAlign w:val="center"/>
          </w:tcPr>
          <w:p>
            <w:pPr>
              <w:pStyle w:val="12"/>
            </w:pPr>
            <w:r>
              <w:t>4.45</w:t>
            </w:r>
          </w:p>
        </w:tc>
        <w:tc>
          <w:tcPr>
            <w:tcW w:w="1134" w:type="dxa"/>
            <w:vAlign w:val="center"/>
          </w:tcPr>
          <w:p>
            <w:pPr>
              <w:pStyle w:val="12"/>
            </w:pPr>
            <w:r>
              <w:t>4.45</w:t>
            </w:r>
          </w:p>
        </w:tc>
        <w:tc>
          <w:tcPr>
            <w:tcW w:w="1134" w:type="dxa"/>
            <w:vAlign w:val="center"/>
          </w:tcPr>
          <w:p>
            <w:pPr>
              <w:pStyle w:val="12"/>
            </w:pPr>
            <w:r>
              <w:t>4.45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2089999</w:t>
            </w:r>
          </w:p>
        </w:tc>
        <w:tc>
          <w:tcPr>
            <w:tcW w:w="1559" w:type="dxa"/>
            <w:vAlign w:val="center"/>
          </w:tcPr>
          <w:p>
            <w:pPr>
              <w:pStyle w:val="13"/>
            </w:pPr>
            <w:r>
              <w:t>其他社会保障和就业支出</w:t>
            </w:r>
          </w:p>
        </w:tc>
        <w:tc>
          <w:tcPr>
            <w:tcW w:w="1134" w:type="dxa"/>
            <w:vAlign w:val="center"/>
          </w:tcPr>
          <w:p>
            <w:pPr>
              <w:pStyle w:val="12"/>
            </w:pPr>
            <w:r>
              <w:t>4.45</w:t>
            </w:r>
          </w:p>
        </w:tc>
        <w:tc>
          <w:tcPr>
            <w:tcW w:w="1134" w:type="dxa"/>
            <w:vAlign w:val="center"/>
          </w:tcPr>
          <w:p>
            <w:pPr>
              <w:pStyle w:val="12"/>
            </w:pPr>
            <w:r>
              <w:t>4.45</w:t>
            </w:r>
          </w:p>
        </w:tc>
        <w:tc>
          <w:tcPr>
            <w:tcW w:w="1134" w:type="dxa"/>
            <w:vAlign w:val="center"/>
          </w:tcPr>
          <w:p>
            <w:pPr>
              <w:pStyle w:val="12"/>
            </w:pPr>
            <w:r>
              <w:t>4.45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48.90</w:t>
            </w:r>
          </w:p>
        </w:tc>
        <w:tc>
          <w:tcPr>
            <w:tcW w:w="1134" w:type="dxa"/>
            <w:vAlign w:val="center"/>
          </w:tcPr>
          <w:p>
            <w:pPr>
              <w:pStyle w:val="12"/>
            </w:pPr>
            <w:r>
              <w:t>48.90</w:t>
            </w:r>
          </w:p>
        </w:tc>
        <w:tc>
          <w:tcPr>
            <w:tcW w:w="1134" w:type="dxa"/>
            <w:vAlign w:val="center"/>
          </w:tcPr>
          <w:p>
            <w:pPr>
              <w:pStyle w:val="12"/>
            </w:pPr>
            <w:r>
              <w:t>48.90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48.90</w:t>
            </w:r>
          </w:p>
        </w:tc>
        <w:tc>
          <w:tcPr>
            <w:tcW w:w="1134" w:type="dxa"/>
            <w:vAlign w:val="center"/>
          </w:tcPr>
          <w:p>
            <w:pPr>
              <w:pStyle w:val="12"/>
            </w:pPr>
            <w:r>
              <w:t>48.90</w:t>
            </w:r>
          </w:p>
        </w:tc>
        <w:tc>
          <w:tcPr>
            <w:tcW w:w="1134" w:type="dxa"/>
            <w:vAlign w:val="center"/>
          </w:tcPr>
          <w:p>
            <w:pPr>
              <w:pStyle w:val="12"/>
            </w:pPr>
            <w:r>
              <w:t>48.90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32.44</w:t>
            </w:r>
          </w:p>
        </w:tc>
        <w:tc>
          <w:tcPr>
            <w:tcW w:w="1134" w:type="dxa"/>
            <w:vAlign w:val="center"/>
          </w:tcPr>
          <w:p>
            <w:pPr>
              <w:pStyle w:val="12"/>
            </w:pPr>
            <w:r>
              <w:t>32.44</w:t>
            </w:r>
          </w:p>
        </w:tc>
        <w:tc>
          <w:tcPr>
            <w:tcW w:w="1134" w:type="dxa"/>
            <w:vAlign w:val="center"/>
          </w:tcPr>
          <w:p>
            <w:pPr>
              <w:pStyle w:val="12"/>
            </w:pPr>
            <w:r>
              <w:t>32.44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2101103</w:t>
            </w:r>
          </w:p>
        </w:tc>
        <w:tc>
          <w:tcPr>
            <w:tcW w:w="1559" w:type="dxa"/>
            <w:vAlign w:val="center"/>
          </w:tcPr>
          <w:p>
            <w:pPr>
              <w:pStyle w:val="13"/>
            </w:pPr>
            <w:r>
              <w:t>公务员医疗补助</w:t>
            </w:r>
          </w:p>
        </w:tc>
        <w:tc>
          <w:tcPr>
            <w:tcW w:w="1134" w:type="dxa"/>
            <w:vAlign w:val="center"/>
          </w:tcPr>
          <w:p>
            <w:pPr>
              <w:pStyle w:val="12"/>
            </w:pPr>
            <w:r>
              <w:t>16.46</w:t>
            </w:r>
          </w:p>
        </w:tc>
        <w:tc>
          <w:tcPr>
            <w:tcW w:w="1134" w:type="dxa"/>
            <w:vAlign w:val="center"/>
          </w:tcPr>
          <w:p>
            <w:pPr>
              <w:pStyle w:val="12"/>
            </w:pPr>
            <w:r>
              <w:t>16.46</w:t>
            </w:r>
          </w:p>
        </w:tc>
        <w:tc>
          <w:tcPr>
            <w:tcW w:w="1134" w:type="dxa"/>
            <w:vAlign w:val="center"/>
          </w:tcPr>
          <w:p>
            <w:pPr>
              <w:pStyle w:val="12"/>
            </w:pPr>
            <w:r>
              <w:t>16.46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87.45</w:t>
            </w:r>
          </w:p>
        </w:tc>
        <w:tc>
          <w:tcPr>
            <w:tcW w:w="1134" w:type="dxa"/>
            <w:vAlign w:val="center"/>
          </w:tcPr>
          <w:p>
            <w:pPr>
              <w:pStyle w:val="12"/>
            </w:pPr>
            <w:r>
              <w:t>87.45</w:t>
            </w:r>
          </w:p>
        </w:tc>
        <w:tc>
          <w:tcPr>
            <w:tcW w:w="1134" w:type="dxa"/>
            <w:vAlign w:val="center"/>
          </w:tcPr>
          <w:p>
            <w:pPr>
              <w:pStyle w:val="12"/>
            </w:pPr>
            <w:r>
              <w:t>87.45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87.45</w:t>
            </w:r>
          </w:p>
        </w:tc>
        <w:tc>
          <w:tcPr>
            <w:tcW w:w="1134" w:type="dxa"/>
            <w:vAlign w:val="center"/>
          </w:tcPr>
          <w:p>
            <w:pPr>
              <w:pStyle w:val="12"/>
            </w:pPr>
            <w:r>
              <w:t>87.45</w:t>
            </w:r>
          </w:p>
        </w:tc>
        <w:tc>
          <w:tcPr>
            <w:tcW w:w="1134" w:type="dxa"/>
            <w:vAlign w:val="center"/>
          </w:tcPr>
          <w:p>
            <w:pPr>
              <w:pStyle w:val="12"/>
            </w:pPr>
            <w:r>
              <w:t>87.45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87.45</w:t>
            </w:r>
          </w:p>
        </w:tc>
        <w:tc>
          <w:tcPr>
            <w:tcW w:w="1134" w:type="dxa"/>
            <w:vAlign w:val="center"/>
          </w:tcPr>
          <w:p>
            <w:pPr>
              <w:pStyle w:val="12"/>
            </w:pPr>
            <w:r>
              <w:t>87.45</w:t>
            </w:r>
          </w:p>
        </w:tc>
        <w:tc>
          <w:tcPr>
            <w:tcW w:w="1134" w:type="dxa"/>
            <w:vAlign w:val="center"/>
          </w:tcPr>
          <w:p>
            <w:pPr>
              <w:pStyle w:val="12"/>
            </w:pPr>
            <w:r>
              <w:t>87.45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224中共石家庄市委网络安全和信息化委员会办公室</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2128.55</w:t>
            </w:r>
          </w:p>
        </w:tc>
        <w:tc>
          <w:tcPr>
            <w:tcW w:w="1361" w:type="dxa"/>
            <w:vAlign w:val="center"/>
          </w:tcPr>
          <w:p>
            <w:pPr>
              <w:pStyle w:val="16"/>
            </w:pPr>
            <w:r>
              <w:t>1145.05</w:t>
            </w:r>
          </w:p>
        </w:tc>
        <w:tc>
          <w:tcPr>
            <w:tcW w:w="1361" w:type="dxa"/>
            <w:vAlign w:val="center"/>
          </w:tcPr>
          <w:p>
            <w:pPr>
              <w:pStyle w:val="16"/>
            </w:pPr>
            <w:r>
              <w:t>983.50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1872.71</w:t>
            </w:r>
          </w:p>
        </w:tc>
        <w:tc>
          <w:tcPr>
            <w:tcW w:w="1361" w:type="dxa"/>
            <w:vAlign w:val="center"/>
          </w:tcPr>
          <w:p>
            <w:pPr>
              <w:pStyle w:val="12"/>
            </w:pPr>
            <w:r>
              <w:t>889.21</w:t>
            </w:r>
          </w:p>
        </w:tc>
        <w:tc>
          <w:tcPr>
            <w:tcW w:w="1361" w:type="dxa"/>
            <w:vAlign w:val="center"/>
          </w:tcPr>
          <w:p>
            <w:pPr>
              <w:pStyle w:val="12"/>
            </w:pPr>
            <w:r>
              <w:t>983.50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20137</w:t>
            </w:r>
          </w:p>
        </w:tc>
        <w:tc>
          <w:tcPr>
            <w:tcW w:w="4535" w:type="dxa"/>
            <w:vAlign w:val="center"/>
          </w:tcPr>
          <w:p>
            <w:pPr>
              <w:pStyle w:val="13"/>
            </w:pPr>
            <w:r>
              <w:t>网信事务</w:t>
            </w:r>
          </w:p>
        </w:tc>
        <w:tc>
          <w:tcPr>
            <w:tcW w:w="1361" w:type="dxa"/>
            <w:vAlign w:val="center"/>
          </w:tcPr>
          <w:p>
            <w:pPr>
              <w:pStyle w:val="12"/>
            </w:pPr>
            <w:r>
              <w:t>1872.71</w:t>
            </w:r>
          </w:p>
        </w:tc>
        <w:tc>
          <w:tcPr>
            <w:tcW w:w="1361" w:type="dxa"/>
            <w:vAlign w:val="center"/>
          </w:tcPr>
          <w:p>
            <w:pPr>
              <w:pStyle w:val="12"/>
            </w:pPr>
            <w:r>
              <w:t>889.21</w:t>
            </w:r>
          </w:p>
        </w:tc>
        <w:tc>
          <w:tcPr>
            <w:tcW w:w="1361" w:type="dxa"/>
            <w:vAlign w:val="center"/>
          </w:tcPr>
          <w:p>
            <w:pPr>
              <w:pStyle w:val="12"/>
            </w:pPr>
            <w:r>
              <w:t>983.50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2013701</w:t>
            </w:r>
          </w:p>
        </w:tc>
        <w:tc>
          <w:tcPr>
            <w:tcW w:w="4535" w:type="dxa"/>
            <w:vAlign w:val="center"/>
          </w:tcPr>
          <w:p>
            <w:pPr>
              <w:pStyle w:val="13"/>
            </w:pPr>
            <w:r>
              <w:t>行政运行</w:t>
            </w:r>
          </w:p>
        </w:tc>
        <w:tc>
          <w:tcPr>
            <w:tcW w:w="1361" w:type="dxa"/>
            <w:vAlign w:val="center"/>
          </w:tcPr>
          <w:p>
            <w:pPr>
              <w:pStyle w:val="12"/>
            </w:pPr>
            <w:r>
              <w:t>889.21</w:t>
            </w:r>
          </w:p>
        </w:tc>
        <w:tc>
          <w:tcPr>
            <w:tcW w:w="1361" w:type="dxa"/>
            <w:vAlign w:val="center"/>
          </w:tcPr>
          <w:p>
            <w:pPr>
              <w:pStyle w:val="12"/>
            </w:pPr>
            <w:r>
              <w:t>889.21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2013702</w:t>
            </w:r>
          </w:p>
        </w:tc>
        <w:tc>
          <w:tcPr>
            <w:tcW w:w="4535" w:type="dxa"/>
            <w:vAlign w:val="center"/>
          </w:tcPr>
          <w:p>
            <w:pPr>
              <w:pStyle w:val="13"/>
            </w:pPr>
            <w:r>
              <w:t>一般行政管理事务</w:t>
            </w:r>
          </w:p>
        </w:tc>
        <w:tc>
          <w:tcPr>
            <w:tcW w:w="1361" w:type="dxa"/>
            <w:vAlign w:val="center"/>
          </w:tcPr>
          <w:p>
            <w:pPr>
              <w:pStyle w:val="12"/>
            </w:pPr>
            <w:r>
              <w:t>983.50</w:t>
            </w:r>
          </w:p>
        </w:tc>
        <w:tc>
          <w:tcPr>
            <w:tcW w:w="1361" w:type="dxa"/>
            <w:vAlign w:val="center"/>
          </w:tcPr>
          <w:p>
            <w:pPr>
              <w:pStyle w:val="12"/>
            </w:pPr>
          </w:p>
        </w:tc>
        <w:tc>
          <w:tcPr>
            <w:tcW w:w="1361" w:type="dxa"/>
            <w:vAlign w:val="center"/>
          </w:tcPr>
          <w:p>
            <w:pPr>
              <w:pStyle w:val="12"/>
            </w:pPr>
            <w:r>
              <w:t>983.50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119.49</w:t>
            </w:r>
          </w:p>
        </w:tc>
        <w:tc>
          <w:tcPr>
            <w:tcW w:w="1361" w:type="dxa"/>
            <w:vAlign w:val="center"/>
          </w:tcPr>
          <w:p>
            <w:pPr>
              <w:pStyle w:val="12"/>
            </w:pPr>
            <w:r>
              <w:t>119.49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115.04</w:t>
            </w:r>
          </w:p>
        </w:tc>
        <w:tc>
          <w:tcPr>
            <w:tcW w:w="1361" w:type="dxa"/>
            <w:vAlign w:val="center"/>
          </w:tcPr>
          <w:p>
            <w:pPr>
              <w:pStyle w:val="12"/>
            </w:pPr>
            <w:r>
              <w:t>115.04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14.99</w:t>
            </w:r>
          </w:p>
        </w:tc>
        <w:tc>
          <w:tcPr>
            <w:tcW w:w="1361" w:type="dxa"/>
            <w:vAlign w:val="center"/>
          </w:tcPr>
          <w:p>
            <w:pPr>
              <w:pStyle w:val="12"/>
            </w:pPr>
            <w:r>
              <w:t>14.99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100.05</w:t>
            </w:r>
          </w:p>
        </w:tc>
        <w:tc>
          <w:tcPr>
            <w:tcW w:w="1361" w:type="dxa"/>
            <w:vAlign w:val="center"/>
          </w:tcPr>
          <w:p>
            <w:pPr>
              <w:pStyle w:val="12"/>
            </w:pPr>
            <w:r>
              <w:t>100.05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20899</w:t>
            </w:r>
          </w:p>
        </w:tc>
        <w:tc>
          <w:tcPr>
            <w:tcW w:w="4535" w:type="dxa"/>
            <w:vAlign w:val="center"/>
          </w:tcPr>
          <w:p>
            <w:pPr>
              <w:pStyle w:val="13"/>
            </w:pPr>
            <w:r>
              <w:t>其他社会保障和就业支出</w:t>
            </w:r>
          </w:p>
        </w:tc>
        <w:tc>
          <w:tcPr>
            <w:tcW w:w="1361" w:type="dxa"/>
            <w:vAlign w:val="center"/>
          </w:tcPr>
          <w:p>
            <w:pPr>
              <w:pStyle w:val="12"/>
            </w:pPr>
            <w:r>
              <w:t>4.45</w:t>
            </w:r>
          </w:p>
        </w:tc>
        <w:tc>
          <w:tcPr>
            <w:tcW w:w="1361" w:type="dxa"/>
            <w:vAlign w:val="center"/>
          </w:tcPr>
          <w:p>
            <w:pPr>
              <w:pStyle w:val="12"/>
            </w:pPr>
            <w:r>
              <w:t>4.45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2089999</w:t>
            </w:r>
          </w:p>
        </w:tc>
        <w:tc>
          <w:tcPr>
            <w:tcW w:w="4535" w:type="dxa"/>
            <w:vAlign w:val="center"/>
          </w:tcPr>
          <w:p>
            <w:pPr>
              <w:pStyle w:val="13"/>
            </w:pPr>
            <w:r>
              <w:t>其他社会保障和就业支出</w:t>
            </w:r>
          </w:p>
        </w:tc>
        <w:tc>
          <w:tcPr>
            <w:tcW w:w="1361" w:type="dxa"/>
            <w:vAlign w:val="center"/>
          </w:tcPr>
          <w:p>
            <w:pPr>
              <w:pStyle w:val="12"/>
            </w:pPr>
            <w:r>
              <w:t>4.45</w:t>
            </w:r>
          </w:p>
        </w:tc>
        <w:tc>
          <w:tcPr>
            <w:tcW w:w="1361" w:type="dxa"/>
            <w:vAlign w:val="center"/>
          </w:tcPr>
          <w:p>
            <w:pPr>
              <w:pStyle w:val="12"/>
            </w:pPr>
            <w:r>
              <w:t>4.45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48.90</w:t>
            </w:r>
          </w:p>
        </w:tc>
        <w:tc>
          <w:tcPr>
            <w:tcW w:w="1361" w:type="dxa"/>
            <w:vAlign w:val="center"/>
          </w:tcPr>
          <w:p>
            <w:pPr>
              <w:pStyle w:val="12"/>
            </w:pPr>
            <w:r>
              <w:t>48.90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48.90</w:t>
            </w:r>
          </w:p>
        </w:tc>
        <w:tc>
          <w:tcPr>
            <w:tcW w:w="1361" w:type="dxa"/>
            <w:vAlign w:val="center"/>
          </w:tcPr>
          <w:p>
            <w:pPr>
              <w:pStyle w:val="12"/>
            </w:pPr>
            <w:r>
              <w:t>48.90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32.44</w:t>
            </w:r>
          </w:p>
        </w:tc>
        <w:tc>
          <w:tcPr>
            <w:tcW w:w="1361" w:type="dxa"/>
            <w:vAlign w:val="center"/>
          </w:tcPr>
          <w:p>
            <w:pPr>
              <w:pStyle w:val="12"/>
            </w:pPr>
            <w:r>
              <w:t>32.44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2101103</w:t>
            </w:r>
          </w:p>
        </w:tc>
        <w:tc>
          <w:tcPr>
            <w:tcW w:w="4535" w:type="dxa"/>
            <w:vAlign w:val="center"/>
          </w:tcPr>
          <w:p>
            <w:pPr>
              <w:pStyle w:val="13"/>
            </w:pPr>
            <w:r>
              <w:t>公务员医疗补助</w:t>
            </w:r>
          </w:p>
        </w:tc>
        <w:tc>
          <w:tcPr>
            <w:tcW w:w="1361" w:type="dxa"/>
            <w:vAlign w:val="center"/>
          </w:tcPr>
          <w:p>
            <w:pPr>
              <w:pStyle w:val="12"/>
            </w:pPr>
            <w:r>
              <w:t>16.46</w:t>
            </w:r>
          </w:p>
        </w:tc>
        <w:tc>
          <w:tcPr>
            <w:tcW w:w="1361" w:type="dxa"/>
            <w:vAlign w:val="center"/>
          </w:tcPr>
          <w:p>
            <w:pPr>
              <w:pStyle w:val="12"/>
            </w:pPr>
            <w:r>
              <w:t>16.46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87.45</w:t>
            </w:r>
          </w:p>
        </w:tc>
        <w:tc>
          <w:tcPr>
            <w:tcW w:w="1361" w:type="dxa"/>
            <w:vAlign w:val="center"/>
          </w:tcPr>
          <w:p>
            <w:pPr>
              <w:pStyle w:val="12"/>
            </w:pPr>
            <w:r>
              <w:t>87.45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87.45</w:t>
            </w:r>
          </w:p>
        </w:tc>
        <w:tc>
          <w:tcPr>
            <w:tcW w:w="1361" w:type="dxa"/>
            <w:vAlign w:val="center"/>
          </w:tcPr>
          <w:p>
            <w:pPr>
              <w:pStyle w:val="12"/>
            </w:pPr>
            <w:r>
              <w:t>87.45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87.45</w:t>
            </w:r>
          </w:p>
        </w:tc>
        <w:tc>
          <w:tcPr>
            <w:tcW w:w="1361" w:type="dxa"/>
            <w:vAlign w:val="center"/>
          </w:tcPr>
          <w:p>
            <w:pPr>
              <w:pStyle w:val="12"/>
            </w:pPr>
            <w:r>
              <w:t>87.45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224中共石家庄市委网络安全和信息化委员会办公室</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2128.55</w:t>
            </w:r>
          </w:p>
        </w:tc>
        <w:tc>
          <w:tcPr>
            <w:tcW w:w="3402" w:type="dxa"/>
            <w:vAlign w:val="center"/>
          </w:tcPr>
          <w:p>
            <w:pPr>
              <w:pStyle w:val="13"/>
            </w:pPr>
            <w:r>
              <w:t>一、一般公共服务支出</w:t>
            </w:r>
          </w:p>
        </w:tc>
        <w:tc>
          <w:tcPr>
            <w:tcW w:w="1474" w:type="dxa"/>
            <w:vAlign w:val="center"/>
          </w:tcPr>
          <w:p>
            <w:pPr>
              <w:pStyle w:val="12"/>
            </w:pPr>
            <w:r>
              <w:t>1872.71</w:t>
            </w:r>
          </w:p>
        </w:tc>
        <w:tc>
          <w:tcPr>
            <w:tcW w:w="1474" w:type="dxa"/>
            <w:vAlign w:val="center"/>
          </w:tcPr>
          <w:p>
            <w:pPr>
              <w:pStyle w:val="12"/>
            </w:pPr>
            <w:r>
              <w:t>1872.71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119.49</w:t>
            </w:r>
          </w:p>
        </w:tc>
        <w:tc>
          <w:tcPr>
            <w:tcW w:w="1474" w:type="dxa"/>
            <w:vAlign w:val="center"/>
          </w:tcPr>
          <w:p>
            <w:pPr>
              <w:pStyle w:val="12"/>
            </w:pPr>
            <w:r>
              <w:t>119.49</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48.90</w:t>
            </w:r>
          </w:p>
        </w:tc>
        <w:tc>
          <w:tcPr>
            <w:tcW w:w="1474" w:type="dxa"/>
            <w:vAlign w:val="center"/>
          </w:tcPr>
          <w:p>
            <w:pPr>
              <w:pStyle w:val="12"/>
            </w:pPr>
            <w:r>
              <w:t>48.90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87.45</w:t>
            </w:r>
          </w:p>
        </w:tc>
        <w:tc>
          <w:tcPr>
            <w:tcW w:w="1474" w:type="dxa"/>
            <w:vAlign w:val="center"/>
          </w:tcPr>
          <w:p>
            <w:pPr>
              <w:pStyle w:val="12"/>
            </w:pPr>
            <w:r>
              <w:t>87.45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2128.55</w:t>
            </w:r>
          </w:p>
        </w:tc>
        <w:tc>
          <w:tcPr>
            <w:tcW w:w="3402" w:type="dxa"/>
            <w:vAlign w:val="center"/>
          </w:tcPr>
          <w:p>
            <w:pPr>
              <w:pStyle w:val="15"/>
            </w:pPr>
            <w:r>
              <w:t>本年支出合计</w:t>
            </w:r>
          </w:p>
        </w:tc>
        <w:tc>
          <w:tcPr>
            <w:tcW w:w="1474" w:type="dxa"/>
            <w:vAlign w:val="center"/>
          </w:tcPr>
          <w:p>
            <w:pPr>
              <w:pStyle w:val="16"/>
            </w:pPr>
            <w:r>
              <w:t>2128.55</w:t>
            </w:r>
          </w:p>
        </w:tc>
        <w:tc>
          <w:tcPr>
            <w:tcW w:w="1474" w:type="dxa"/>
            <w:vAlign w:val="center"/>
          </w:tcPr>
          <w:p>
            <w:pPr>
              <w:pStyle w:val="16"/>
            </w:pPr>
            <w:r>
              <w:t>2128.55</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2128.55</w:t>
            </w:r>
          </w:p>
        </w:tc>
        <w:tc>
          <w:tcPr>
            <w:tcW w:w="3402" w:type="dxa"/>
            <w:vAlign w:val="center"/>
          </w:tcPr>
          <w:p>
            <w:pPr>
              <w:pStyle w:val="15"/>
            </w:pPr>
            <w:r>
              <w:t>支出总计</w:t>
            </w:r>
          </w:p>
        </w:tc>
        <w:tc>
          <w:tcPr>
            <w:tcW w:w="1474" w:type="dxa"/>
            <w:vAlign w:val="center"/>
          </w:tcPr>
          <w:p>
            <w:pPr>
              <w:pStyle w:val="16"/>
            </w:pPr>
            <w:r>
              <w:t>2128.55</w:t>
            </w:r>
          </w:p>
        </w:tc>
        <w:tc>
          <w:tcPr>
            <w:tcW w:w="1474" w:type="dxa"/>
            <w:vAlign w:val="center"/>
          </w:tcPr>
          <w:p>
            <w:pPr>
              <w:pStyle w:val="16"/>
            </w:pPr>
            <w:r>
              <w:t>2128.55</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224中共石家庄市委网络安全和信息化委员会办公室</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2128.55</w:t>
            </w:r>
          </w:p>
        </w:tc>
        <w:tc>
          <w:tcPr>
            <w:tcW w:w="2551" w:type="dxa"/>
            <w:vAlign w:val="center"/>
          </w:tcPr>
          <w:p>
            <w:pPr>
              <w:pStyle w:val="16"/>
            </w:pPr>
            <w:r>
              <w:t>1145.05</w:t>
            </w:r>
          </w:p>
        </w:tc>
        <w:tc>
          <w:tcPr>
            <w:tcW w:w="2551" w:type="dxa"/>
            <w:vAlign w:val="center"/>
          </w:tcPr>
          <w:p>
            <w:pPr>
              <w:pStyle w:val="16"/>
            </w:pPr>
            <w:r>
              <w:t>983.50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1872.71</w:t>
            </w:r>
          </w:p>
        </w:tc>
        <w:tc>
          <w:tcPr>
            <w:tcW w:w="2551" w:type="dxa"/>
            <w:vAlign w:val="center"/>
          </w:tcPr>
          <w:p>
            <w:pPr>
              <w:pStyle w:val="12"/>
            </w:pPr>
            <w:r>
              <w:t>889.21</w:t>
            </w:r>
          </w:p>
        </w:tc>
        <w:tc>
          <w:tcPr>
            <w:tcW w:w="2551" w:type="dxa"/>
            <w:vAlign w:val="center"/>
          </w:tcPr>
          <w:p>
            <w:pPr>
              <w:pStyle w:val="12"/>
            </w:pPr>
            <w:r>
              <w:t>983.50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20137</w:t>
            </w:r>
          </w:p>
        </w:tc>
        <w:tc>
          <w:tcPr>
            <w:tcW w:w="4535" w:type="dxa"/>
            <w:vAlign w:val="center"/>
          </w:tcPr>
          <w:p>
            <w:pPr>
              <w:pStyle w:val="13"/>
            </w:pPr>
            <w:r>
              <w:t>网信事务</w:t>
            </w:r>
          </w:p>
        </w:tc>
        <w:tc>
          <w:tcPr>
            <w:tcW w:w="2551" w:type="dxa"/>
            <w:vAlign w:val="center"/>
          </w:tcPr>
          <w:p>
            <w:pPr>
              <w:pStyle w:val="12"/>
            </w:pPr>
            <w:r>
              <w:t>1872.71</w:t>
            </w:r>
          </w:p>
        </w:tc>
        <w:tc>
          <w:tcPr>
            <w:tcW w:w="2551" w:type="dxa"/>
            <w:vAlign w:val="center"/>
          </w:tcPr>
          <w:p>
            <w:pPr>
              <w:pStyle w:val="12"/>
            </w:pPr>
            <w:r>
              <w:t>889.21</w:t>
            </w:r>
          </w:p>
        </w:tc>
        <w:tc>
          <w:tcPr>
            <w:tcW w:w="2551" w:type="dxa"/>
            <w:vAlign w:val="center"/>
          </w:tcPr>
          <w:p>
            <w:pPr>
              <w:pStyle w:val="12"/>
            </w:pPr>
            <w:r>
              <w:t>983.50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2013701</w:t>
            </w:r>
          </w:p>
        </w:tc>
        <w:tc>
          <w:tcPr>
            <w:tcW w:w="4535" w:type="dxa"/>
            <w:vAlign w:val="center"/>
          </w:tcPr>
          <w:p>
            <w:pPr>
              <w:pStyle w:val="13"/>
            </w:pPr>
            <w:r>
              <w:t>行政运行</w:t>
            </w:r>
          </w:p>
        </w:tc>
        <w:tc>
          <w:tcPr>
            <w:tcW w:w="2551" w:type="dxa"/>
            <w:vAlign w:val="center"/>
          </w:tcPr>
          <w:p>
            <w:pPr>
              <w:pStyle w:val="12"/>
            </w:pPr>
            <w:r>
              <w:t>889.21</w:t>
            </w:r>
          </w:p>
        </w:tc>
        <w:tc>
          <w:tcPr>
            <w:tcW w:w="2551" w:type="dxa"/>
            <w:vAlign w:val="center"/>
          </w:tcPr>
          <w:p>
            <w:pPr>
              <w:pStyle w:val="12"/>
            </w:pPr>
            <w:r>
              <w:t>889.21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2013702</w:t>
            </w:r>
          </w:p>
        </w:tc>
        <w:tc>
          <w:tcPr>
            <w:tcW w:w="4535" w:type="dxa"/>
            <w:vAlign w:val="center"/>
          </w:tcPr>
          <w:p>
            <w:pPr>
              <w:pStyle w:val="13"/>
            </w:pPr>
            <w:r>
              <w:t>一般行政管理事务</w:t>
            </w:r>
          </w:p>
        </w:tc>
        <w:tc>
          <w:tcPr>
            <w:tcW w:w="2551" w:type="dxa"/>
            <w:vAlign w:val="center"/>
          </w:tcPr>
          <w:p>
            <w:pPr>
              <w:pStyle w:val="12"/>
            </w:pPr>
            <w:r>
              <w:t>983.50</w:t>
            </w:r>
          </w:p>
        </w:tc>
        <w:tc>
          <w:tcPr>
            <w:tcW w:w="2551" w:type="dxa"/>
            <w:vAlign w:val="center"/>
          </w:tcPr>
          <w:p>
            <w:pPr>
              <w:pStyle w:val="12"/>
            </w:pPr>
          </w:p>
        </w:tc>
        <w:tc>
          <w:tcPr>
            <w:tcW w:w="2551" w:type="dxa"/>
            <w:vAlign w:val="center"/>
          </w:tcPr>
          <w:p>
            <w:pPr>
              <w:pStyle w:val="12"/>
            </w:pPr>
            <w:r>
              <w:t>983.50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119.49</w:t>
            </w:r>
          </w:p>
        </w:tc>
        <w:tc>
          <w:tcPr>
            <w:tcW w:w="2551" w:type="dxa"/>
            <w:vAlign w:val="center"/>
          </w:tcPr>
          <w:p>
            <w:pPr>
              <w:pStyle w:val="12"/>
            </w:pPr>
            <w:r>
              <w:t>119.49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115.04</w:t>
            </w:r>
          </w:p>
        </w:tc>
        <w:tc>
          <w:tcPr>
            <w:tcW w:w="2551" w:type="dxa"/>
            <w:vAlign w:val="center"/>
          </w:tcPr>
          <w:p>
            <w:pPr>
              <w:pStyle w:val="12"/>
            </w:pPr>
            <w:r>
              <w:t>115.04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14.99</w:t>
            </w:r>
          </w:p>
        </w:tc>
        <w:tc>
          <w:tcPr>
            <w:tcW w:w="2551" w:type="dxa"/>
            <w:vAlign w:val="center"/>
          </w:tcPr>
          <w:p>
            <w:pPr>
              <w:pStyle w:val="12"/>
            </w:pPr>
            <w:r>
              <w:t>14.99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100.05</w:t>
            </w:r>
          </w:p>
        </w:tc>
        <w:tc>
          <w:tcPr>
            <w:tcW w:w="2551" w:type="dxa"/>
            <w:vAlign w:val="center"/>
          </w:tcPr>
          <w:p>
            <w:pPr>
              <w:pStyle w:val="12"/>
            </w:pPr>
            <w:r>
              <w:t>100.05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20899</w:t>
            </w:r>
          </w:p>
        </w:tc>
        <w:tc>
          <w:tcPr>
            <w:tcW w:w="4535" w:type="dxa"/>
            <w:vAlign w:val="center"/>
          </w:tcPr>
          <w:p>
            <w:pPr>
              <w:pStyle w:val="13"/>
            </w:pPr>
            <w:r>
              <w:t>其他社会保障和就业支出</w:t>
            </w:r>
          </w:p>
        </w:tc>
        <w:tc>
          <w:tcPr>
            <w:tcW w:w="2551" w:type="dxa"/>
            <w:vAlign w:val="center"/>
          </w:tcPr>
          <w:p>
            <w:pPr>
              <w:pStyle w:val="12"/>
            </w:pPr>
            <w:r>
              <w:t>4.45</w:t>
            </w:r>
          </w:p>
        </w:tc>
        <w:tc>
          <w:tcPr>
            <w:tcW w:w="2551" w:type="dxa"/>
            <w:vAlign w:val="center"/>
          </w:tcPr>
          <w:p>
            <w:pPr>
              <w:pStyle w:val="12"/>
            </w:pPr>
            <w:r>
              <w:t>4.45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2089999</w:t>
            </w:r>
          </w:p>
        </w:tc>
        <w:tc>
          <w:tcPr>
            <w:tcW w:w="4535" w:type="dxa"/>
            <w:vAlign w:val="center"/>
          </w:tcPr>
          <w:p>
            <w:pPr>
              <w:pStyle w:val="13"/>
            </w:pPr>
            <w:r>
              <w:t>其他社会保障和就业支出</w:t>
            </w:r>
          </w:p>
        </w:tc>
        <w:tc>
          <w:tcPr>
            <w:tcW w:w="2551" w:type="dxa"/>
            <w:vAlign w:val="center"/>
          </w:tcPr>
          <w:p>
            <w:pPr>
              <w:pStyle w:val="12"/>
            </w:pPr>
            <w:r>
              <w:t>4.45</w:t>
            </w:r>
          </w:p>
        </w:tc>
        <w:tc>
          <w:tcPr>
            <w:tcW w:w="2551" w:type="dxa"/>
            <w:vAlign w:val="center"/>
          </w:tcPr>
          <w:p>
            <w:pPr>
              <w:pStyle w:val="12"/>
            </w:pPr>
            <w:r>
              <w:t>4.45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90" w:hRule="atLeast"/>
          <w:jc w:val="center"/>
        </w:trPr>
        <w:tc>
          <w:tcPr>
            <w:tcW w:w="850" w:type="dxa"/>
            <w:vAlign w:val="center"/>
          </w:tcPr>
          <w:p>
            <w:pPr>
              <w:pStyle w:val="14"/>
            </w:pPr>
            <w:r>
              <w:t>12</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48.90</w:t>
            </w:r>
          </w:p>
        </w:tc>
        <w:tc>
          <w:tcPr>
            <w:tcW w:w="2551" w:type="dxa"/>
            <w:vAlign w:val="center"/>
          </w:tcPr>
          <w:p>
            <w:pPr>
              <w:pStyle w:val="12"/>
            </w:pPr>
            <w:r>
              <w:t>48.90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48.90</w:t>
            </w:r>
          </w:p>
        </w:tc>
        <w:tc>
          <w:tcPr>
            <w:tcW w:w="2551" w:type="dxa"/>
            <w:vAlign w:val="center"/>
          </w:tcPr>
          <w:p>
            <w:pPr>
              <w:pStyle w:val="12"/>
            </w:pPr>
            <w:r>
              <w:t>48.90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32.44</w:t>
            </w:r>
          </w:p>
        </w:tc>
        <w:tc>
          <w:tcPr>
            <w:tcW w:w="2551" w:type="dxa"/>
            <w:vAlign w:val="center"/>
          </w:tcPr>
          <w:p>
            <w:pPr>
              <w:pStyle w:val="12"/>
            </w:pPr>
            <w:r>
              <w:t>32.44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2101103</w:t>
            </w:r>
          </w:p>
        </w:tc>
        <w:tc>
          <w:tcPr>
            <w:tcW w:w="4535" w:type="dxa"/>
            <w:vAlign w:val="center"/>
          </w:tcPr>
          <w:p>
            <w:pPr>
              <w:pStyle w:val="13"/>
            </w:pPr>
            <w:r>
              <w:t>公务员医疗补助</w:t>
            </w:r>
          </w:p>
        </w:tc>
        <w:tc>
          <w:tcPr>
            <w:tcW w:w="2551" w:type="dxa"/>
            <w:vAlign w:val="center"/>
          </w:tcPr>
          <w:p>
            <w:pPr>
              <w:pStyle w:val="12"/>
            </w:pPr>
            <w:r>
              <w:t>16.46</w:t>
            </w:r>
          </w:p>
        </w:tc>
        <w:tc>
          <w:tcPr>
            <w:tcW w:w="2551" w:type="dxa"/>
            <w:vAlign w:val="center"/>
          </w:tcPr>
          <w:p>
            <w:pPr>
              <w:pStyle w:val="12"/>
            </w:pPr>
            <w:r>
              <w:t>16.46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87.45</w:t>
            </w:r>
          </w:p>
        </w:tc>
        <w:tc>
          <w:tcPr>
            <w:tcW w:w="2551" w:type="dxa"/>
            <w:vAlign w:val="center"/>
          </w:tcPr>
          <w:p>
            <w:pPr>
              <w:pStyle w:val="12"/>
            </w:pPr>
            <w:r>
              <w:t>87.45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87.45</w:t>
            </w:r>
          </w:p>
        </w:tc>
        <w:tc>
          <w:tcPr>
            <w:tcW w:w="2551" w:type="dxa"/>
            <w:vAlign w:val="center"/>
          </w:tcPr>
          <w:p>
            <w:pPr>
              <w:pStyle w:val="12"/>
            </w:pPr>
            <w:r>
              <w:t>87.45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87.45</w:t>
            </w:r>
          </w:p>
        </w:tc>
        <w:tc>
          <w:tcPr>
            <w:tcW w:w="2551" w:type="dxa"/>
            <w:vAlign w:val="center"/>
          </w:tcPr>
          <w:p>
            <w:pPr>
              <w:pStyle w:val="12"/>
            </w:pPr>
            <w:r>
              <w:t>87.45</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224中共石家庄市委网络安全和信息化委员会办公室</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1145.05</w:t>
            </w:r>
          </w:p>
        </w:tc>
        <w:tc>
          <w:tcPr>
            <w:tcW w:w="2551" w:type="dxa"/>
            <w:vAlign w:val="center"/>
          </w:tcPr>
          <w:p>
            <w:pPr>
              <w:pStyle w:val="16"/>
            </w:pPr>
            <w:r>
              <w:t>1040.50</w:t>
            </w:r>
          </w:p>
        </w:tc>
        <w:tc>
          <w:tcPr>
            <w:tcW w:w="2551" w:type="dxa"/>
            <w:vAlign w:val="center"/>
          </w:tcPr>
          <w:p>
            <w:pPr>
              <w:pStyle w:val="16"/>
            </w:pPr>
            <w:r>
              <w:t>104.55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1023.86</w:t>
            </w:r>
          </w:p>
        </w:tc>
        <w:tc>
          <w:tcPr>
            <w:tcW w:w="2551" w:type="dxa"/>
            <w:vAlign w:val="center"/>
          </w:tcPr>
          <w:p>
            <w:pPr>
              <w:pStyle w:val="12"/>
            </w:pPr>
            <w:r>
              <w:t>1023.86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269.68</w:t>
            </w:r>
          </w:p>
        </w:tc>
        <w:tc>
          <w:tcPr>
            <w:tcW w:w="2551" w:type="dxa"/>
            <w:vAlign w:val="center"/>
          </w:tcPr>
          <w:p>
            <w:pPr>
              <w:pStyle w:val="12"/>
            </w:pPr>
            <w:r>
              <w:t>269.68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155.11</w:t>
            </w:r>
          </w:p>
        </w:tc>
        <w:tc>
          <w:tcPr>
            <w:tcW w:w="2551" w:type="dxa"/>
            <w:vAlign w:val="center"/>
          </w:tcPr>
          <w:p>
            <w:pPr>
              <w:pStyle w:val="12"/>
            </w:pPr>
            <w:r>
              <w:t>155.11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188.87</w:t>
            </w:r>
          </w:p>
        </w:tc>
        <w:tc>
          <w:tcPr>
            <w:tcW w:w="2551" w:type="dxa"/>
            <w:vAlign w:val="center"/>
          </w:tcPr>
          <w:p>
            <w:pPr>
              <w:pStyle w:val="12"/>
            </w:pPr>
            <w:r>
              <w:t>188.87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153.04</w:t>
            </w:r>
          </w:p>
        </w:tc>
        <w:tc>
          <w:tcPr>
            <w:tcW w:w="2551" w:type="dxa"/>
            <w:vAlign w:val="center"/>
          </w:tcPr>
          <w:p>
            <w:pPr>
              <w:pStyle w:val="12"/>
            </w:pPr>
            <w:r>
              <w:t>153.04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100.05</w:t>
            </w:r>
          </w:p>
        </w:tc>
        <w:tc>
          <w:tcPr>
            <w:tcW w:w="2551" w:type="dxa"/>
            <w:vAlign w:val="center"/>
          </w:tcPr>
          <w:p>
            <w:pPr>
              <w:pStyle w:val="12"/>
            </w:pPr>
            <w:r>
              <w:t>100.05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32.44</w:t>
            </w:r>
          </w:p>
        </w:tc>
        <w:tc>
          <w:tcPr>
            <w:tcW w:w="2551" w:type="dxa"/>
            <w:vAlign w:val="center"/>
          </w:tcPr>
          <w:p>
            <w:pPr>
              <w:pStyle w:val="12"/>
            </w:pPr>
            <w:r>
              <w:t>32.44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16.46</w:t>
            </w:r>
          </w:p>
        </w:tc>
        <w:tc>
          <w:tcPr>
            <w:tcW w:w="2551" w:type="dxa"/>
            <w:vAlign w:val="center"/>
          </w:tcPr>
          <w:p>
            <w:pPr>
              <w:pStyle w:val="12"/>
            </w:pPr>
            <w:r>
              <w:t>16.46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4.45</w:t>
            </w:r>
          </w:p>
        </w:tc>
        <w:tc>
          <w:tcPr>
            <w:tcW w:w="2551" w:type="dxa"/>
            <w:vAlign w:val="center"/>
          </w:tcPr>
          <w:p>
            <w:pPr>
              <w:pStyle w:val="12"/>
            </w:pPr>
            <w:r>
              <w:t>4.45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87.45</w:t>
            </w:r>
          </w:p>
        </w:tc>
        <w:tc>
          <w:tcPr>
            <w:tcW w:w="2551" w:type="dxa"/>
            <w:vAlign w:val="center"/>
          </w:tcPr>
          <w:p>
            <w:pPr>
              <w:pStyle w:val="12"/>
            </w:pPr>
            <w:r>
              <w:t>87.45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16.31</w:t>
            </w:r>
          </w:p>
        </w:tc>
        <w:tc>
          <w:tcPr>
            <w:tcW w:w="2551" w:type="dxa"/>
            <w:vAlign w:val="center"/>
          </w:tcPr>
          <w:p>
            <w:pPr>
              <w:pStyle w:val="12"/>
            </w:pPr>
            <w:r>
              <w:t>16.31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104.55</w:t>
            </w:r>
          </w:p>
        </w:tc>
        <w:tc>
          <w:tcPr>
            <w:tcW w:w="2551" w:type="dxa"/>
            <w:vAlign w:val="center"/>
          </w:tcPr>
          <w:p>
            <w:pPr>
              <w:pStyle w:val="12"/>
            </w:pPr>
          </w:p>
        </w:tc>
        <w:tc>
          <w:tcPr>
            <w:tcW w:w="2551" w:type="dxa"/>
            <w:vAlign w:val="center"/>
          </w:tcPr>
          <w:p>
            <w:pPr>
              <w:pStyle w:val="12"/>
            </w:pPr>
            <w:r>
              <w:t>104.55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11.25</w:t>
            </w:r>
          </w:p>
        </w:tc>
        <w:tc>
          <w:tcPr>
            <w:tcW w:w="2551" w:type="dxa"/>
            <w:vAlign w:val="center"/>
          </w:tcPr>
          <w:p>
            <w:pPr>
              <w:pStyle w:val="12"/>
            </w:pPr>
          </w:p>
        </w:tc>
        <w:tc>
          <w:tcPr>
            <w:tcW w:w="2551" w:type="dxa"/>
            <w:vAlign w:val="center"/>
          </w:tcPr>
          <w:p>
            <w:pPr>
              <w:pStyle w:val="12"/>
            </w:pPr>
            <w:r>
              <w:t>11.25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22.25</w:t>
            </w:r>
          </w:p>
        </w:tc>
        <w:tc>
          <w:tcPr>
            <w:tcW w:w="2551" w:type="dxa"/>
            <w:vAlign w:val="center"/>
          </w:tcPr>
          <w:p>
            <w:pPr>
              <w:pStyle w:val="12"/>
            </w:pPr>
          </w:p>
        </w:tc>
        <w:tc>
          <w:tcPr>
            <w:tcW w:w="2551" w:type="dxa"/>
            <w:vAlign w:val="center"/>
          </w:tcPr>
          <w:p>
            <w:pPr>
              <w:pStyle w:val="12"/>
            </w:pPr>
            <w:r>
              <w:t>22.25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9.90</w:t>
            </w:r>
          </w:p>
        </w:tc>
        <w:tc>
          <w:tcPr>
            <w:tcW w:w="2551" w:type="dxa"/>
            <w:vAlign w:val="center"/>
          </w:tcPr>
          <w:p>
            <w:pPr>
              <w:pStyle w:val="12"/>
            </w:pPr>
          </w:p>
        </w:tc>
        <w:tc>
          <w:tcPr>
            <w:tcW w:w="2551" w:type="dxa"/>
            <w:vAlign w:val="center"/>
          </w:tcPr>
          <w:p>
            <w:pPr>
              <w:pStyle w:val="12"/>
            </w:pPr>
            <w:r>
              <w:t>9.90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30215</w:t>
            </w:r>
          </w:p>
        </w:tc>
        <w:tc>
          <w:tcPr>
            <w:tcW w:w="4535" w:type="dxa"/>
            <w:vAlign w:val="center"/>
          </w:tcPr>
          <w:p>
            <w:pPr>
              <w:pStyle w:val="13"/>
            </w:pPr>
            <w:r>
              <w:t>会议费</w:t>
            </w:r>
          </w:p>
        </w:tc>
        <w:tc>
          <w:tcPr>
            <w:tcW w:w="2551" w:type="dxa"/>
            <w:vAlign w:val="center"/>
          </w:tcPr>
          <w:p>
            <w:pPr>
              <w:pStyle w:val="12"/>
            </w:pPr>
            <w:r>
              <w:t>0.87</w:t>
            </w:r>
          </w:p>
        </w:tc>
        <w:tc>
          <w:tcPr>
            <w:tcW w:w="2551" w:type="dxa"/>
            <w:vAlign w:val="center"/>
          </w:tcPr>
          <w:p>
            <w:pPr>
              <w:pStyle w:val="12"/>
            </w:pPr>
          </w:p>
        </w:tc>
        <w:tc>
          <w:tcPr>
            <w:tcW w:w="2551" w:type="dxa"/>
            <w:vAlign w:val="center"/>
          </w:tcPr>
          <w:p>
            <w:pPr>
              <w:pStyle w:val="12"/>
            </w:pPr>
            <w:r>
              <w:t>0.87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30216</w:t>
            </w:r>
          </w:p>
        </w:tc>
        <w:tc>
          <w:tcPr>
            <w:tcW w:w="4535" w:type="dxa"/>
            <w:vAlign w:val="center"/>
          </w:tcPr>
          <w:p>
            <w:pPr>
              <w:pStyle w:val="13"/>
            </w:pPr>
            <w:r>
              <w:t>培训费</w:t>
            </w:r>
          </w:p>
        </w:tc>
        <w:tc>
          <w:tcPr>
            <w:tcW w:w="2551" w:type="dxa"/>
            <w:vAlign w:val="center"/>
          </w:tcPr>
          <w:p>
            <w:pPr>
              <w:pStyle w:val="12"/>
            </w:pPr>
            <w:r>
              <w:t>1.48</w:t>
            </w:r>
          </w:p>
        </w:tc>
        <w:tc>
          <w:tcPr>
            <w:tcW w:w="2551" w:type="dxa"/>
            <w:vAlign w:val="center"/>
          </w:tcPr>
          <w:p>
            <w:pPr>
              <w:pStyle w:val="12"/>
            </w:pPr>
          </w:p>
        </w:tc>
        <w:tc>
          <w:tcPr>
            <w:tcW w:w="2551" w:type="dxa"/>
            <w:vAlign w:val="center"/>
          </w:tcPr>
          <w:p>
            <w:pPr>
              <w:pStyle w:val="12"/>
            </w:pPr>
            <w:r>
              <w:t>1.48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30217</w:t>
            </w:r>
          </w:p>
        </w:tc>
        <w:tc>
          <w:tcPr>
            <w:tcW w:w="4535" w:type="dxa"/>
            <w:vAlign w:val="center"/>
          </w:tcPr>
          <w:p>
            <w:pPr>
              <w:pStyle w:val="13"/>
            </w:pPr>
            <w:r>
              <w:t>公务接待费</w:t>
            </w:r>
          </w:p>
        </w:tc>
        <w:tc>
          <w:tcPr>
            <w:tcW w:w="2551" w:type="dxa"/>
            <w:vAlign w:val="center"/>
          </w:tcPr>
          <w:p>
            <w:pPr>
              <w:pStyle w:val="12"/>
            </w:pPr>
            <w:r>
              <w:t>0.59</w:t>
            </w:r>
          </w:p>
        </w:tc>
        <w:tc>
          <w:tcPr>
            <w:tcW w:w="2551" w:type="dxa"/>
            <w:vAlign w:val="center"/>
          </w:tcPr>
          <w:p>
            <w:pPr>
              <w:pStyle w:val="12"/>
            </w:pPr>
          </w:p>
        </w:tc>
        <w:tc>
          <w:tcPr>
            <w:tcW w:w="2551" w:type="dxa"/>
            <w:vAlign w:val="center"/>
          </w:tcPr>
          <w:p>
            <w:pPr>
              <w:pStyle w:val="12"/>
            </w:pPr>
            <w:r>
              <w:t>0.59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9.40</w:t>
            </w:r>
          </w:p>
        </w:tc>
        <w:tc>
          <w:tcPr>
            <w:tcW w:w="2551" w:type="dxa"/>
            <w:vAlign w:val="center"/>
          </w:tcPr>
          <w:p>
            <w:pPr>
              <w:pStyle w:val="12"/>
            </w:pPr>
          </w:p>
        </w:tc>
        <w:tc>
          <w:tcPr>
            <w:tcW w:w="2551" w:type="dxa"/>
            <w:vAlign w:val="center"/>
          </w:tcPr>
          <w:p>
            <w:pPr>
              <w:pStyle w:val="12"/>
            </w:pPr>
            <w:r>
              <w:t>9.40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2.23</w:t>
            </w:r>
          </w:p>
        </w:tc>
        <w:tc>
          <w:tcPr>
            <w:tcW w:w="2551" w:type="dxa"/>
            <w:vAlign w:val="center"/>
          </w:tcPr>
          <w:p>
            <w:pPr>
              <w:pStyle w:val="12"/>
            </w:pPr>
          </w:p>
        </w:tc>
        <w:tc>
          <w:tcPr>
            <w:tcW w:w="2551" w:type="dxa"/>
            <w:vAlign w:val="center"/>
          </w:tcPr>
          <w:p>
            <w:pPr>
              <w:pStyle w:val="12"/>
            </w:pPr>
            <w:r>
              <w:t>2.23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30.00</w:t>
            </w:r>
          </w:p>
        </w:tc>
        <w:tc>
          <w:tcPr>
            <w:tcW w:w="2551" w:type="dxa"/>
            <w:vAlign w:val="center"/>
          </w:tcPr>
          <w:p>
            <w:pPr>
              <w:pStyle w:val="12"/>
            </w:pPr>
          </w:p>
        </w:tc>
        <w:tc>
          <w:tcPr>
            <w:tcW w:w="2551" w:type="dxa"/>
            <w:vAlign w:val="center"/>
          </w:tcPr>
          <w:p>
            <w:pPr>
              <w:pStyle w:val="12"/>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16.58</w:t>
            </w:r>
          </w:p>
        </w:tc>
        <w:tc>
          <w:tcPr>
            <w:tcW w:w="2551" w:type="dxa"/>
            <w:vAlign w:val="center"/>
          </w:tcPr>
          <w:p>
            <w:pPr>
              <w:pStyle w:val="12"/>
            </w:pPr>
          </w:p>
        </w:tc>
        <w:tc>
          <w:tcPr>
            <w:tcW w:w="2551" w:type="dxa"/>
            <w:vAlign w:val="center"/>
          </w:tcPr>
          <w:p>
            <w:pPr>
              <w:pStyle w:val="12"/>
            </w:pPr>
            <w:r>
              <w:t>16.58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16.64</w:t>
            </w:r>
          </w:p>
        </w:tc>
        <w:tc>
          <w:tcPr>
            <w:tcW w:w="2551" w:type="dxa"/>
            <w:vAlign w:val="center"/>
          </w:tcPr>
          <w:p>
            <w:pPr>
              <w:pStyle w:val="12"/>
            </w:pPr>
            <w:r>
              <w:t>16.64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14.99</w:t>
            </w:r>
          </w:p>
        </w:tc>
        <w:tc>
          <w:tcPr>
            <w:tcW w:w="2551" w:type="dxa"/>
            <w:vAlign w:val="center"/>
          </w:tcPr>
          <w:p>
            <w:pPr>
              <w:pStyle w:val="12"/>
            </w:pPr>
            <w:r>
              <w:t>14.99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30309</w:t>
            </w:r>
          </w:p>
        </w:tc>
        <w:tc>
          <w:tcPr>
            <w:tcW w:w="4535" w:type="dxa"/>
            <w:vAlign w:val="center"/>
          </w:tcPr>
          <w:p>
            <w:pPr>
              <w:pStyle w:val="13"/>
            </w:pPr>
            <w:r>
              <w:t>奖励金</w:t>
            </w:r>
          </w:p>
        </w:tc>
        <w:tc>
          <w:tcPr>
            <w:tcW w:w="2551" w:type="dxa"/>
            <w:vAlign w:val="center"/>
          </w:tcPr>
          <w:p>
            <w:pPr>
              <w:pStyle w:val="12"/>
            </w:pPr>
            <w:r>
              <w:t>1.65</w:t>
            </w:r>
          </w:p>
        </w:tc>
        <w:tc>
          <w:tcPr>
            <w:tcW w:w="2551" w:type="dxa"/>
            <w:vAlign w:val="center"/>
          </w:tcPr>
          <w:p>
            <w:pPr>
              <w:pStyle w:val="12"/>
            </w:pPr>
            <w:r>
              <w:t>1.65</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224中共石家庄市委网络安全和信息化委员会办公室</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224中共石家庄市委网络安全和信息化委员会办公室</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224中共石家庄市委网络安全和信息化委员会办公室</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“三公”经费小计</w:t>
            </w:r>
          </w:p>
        </w:tc>
        <w:tc>
          <w:tcPr>
            <w:tcW w:w="2381" w:type="dxa"/>
            <w:vAlign w:val="center"/>
          </w:tcPr>
          <w:p>
            <w:pPr>
              <w:pStyle w:val="16"/>
            </w:pPr>
            <w:r>
              <w:t>2.82</w:t>
            </w:r>
          </w:p>
        </w:tc>
        <w:tc>
          <w:tcPr>
            <w:tcW w:w="2381" w:type="dxa"/>
            <w:vAlign w:val="center"/>
          </w:tcPr>
          <w:p>
            <w:pPr>
              <w:pStyle w:val="16"/>
            </w:pPr>
            <w:r>
              <w:t>2.82</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二、公务用车购置及运维费</w:t>
            </w:r>
          </w:p>
        </w:tc>
        <w:tc>
          <w:tcPr>
            <w:tcW w:w="2381" w:type="dxa"/>
            <w:vAlign w:val="center"/>
          </w:tcPr>
          <w:p>
            <w:pPr>
              <w:pStyle w:val="12"/>
            </w:pPr>
            <w:r>
              <w:t>2.23</w:t>
            </w:r>
          </w:p>
        </w:tc>
        <w:tc>
          <w:tcPr>
            <w:tcW w:w="2381" w:type="dxa"/>
            <w:vAlign w:val="center"/>
          </w:tcPr>
          <w:p>
            <w:pPr>
              <w:pStyle w:val="12"/>
            </w:pPr>
            <w:r>
              <w:t>2.23</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公务用车运行维护费</w:t>
            </w:r>
          </w:p>
        </w:tc>
        <w:tc>
          <w:tcPr>
            <w:tcW w:w="2381" w:type="dxa"/>
            <w:vAlign w:val="center"/>
          </w:tcPr>
          <w:p>
            <w:pPr>
              <w:pStyle w:val="12"/>
            </w:pPr>
            <w:r>
              <w:t>2.23</w:t>
            </w:r>
          </w:p>
        </w:tc>
        <w:tc>
          <w:tcPr>
            <w:tcW w:w="2381" w:type="dxa"/>
            <w:vAlign w:val="center"/>
          </w:tcPr>
          <w:p>
            <w:pPr>
              <w:pStyle w:val="12"/>
            </w:pPr>
            <w:r>
              <w:t>2.23</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三、公务接待费</w:t>
            </w:r>
          </w:p>
        </w:tc>
        <w:tc>
          <w:tcPr>
            <w:tcW w:w="2381" w:type="dxa"/>
            <w:vAlign w:val="center"/>
          </w:tcPr>
          <w:p>
            <w:pPr>
              <w:pStyle w:val="12"/>
            </w:pPr>
            <w:r>
              <w:t>0.59</w:t>
            </w:r>
          </w:p>
        </w:tc>
        <w:tc>
          <w:tcPr>
            <w:tcW w:w="2381" w:type="dxa"/>
            <w:vAlign w:val="center"/>
          </w:tcPr>
          <w:p>
            <w:pPr>
              <w:pStyle w:val="12"/>
            </w:pPr>
            <w:r>
              <w:t>0.59</w:t>
            </w: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中共石家庄市委网络安全和信息化委员会办公室2026年部门预算信息公开情况说明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中共石家庄市委网络安全和信息化委员会办公室2026年部门预算信息公开情况说明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按照《中华人民共和国预算法》、《地方预决算公开操作规程》和《关于进一步推进预算公开工作的实施意见》规定，现将中共石家庄市委网络安全和信息化委员会办公室2026年部门预算公开如下：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500" w:lineRule="exact"/>
        <w:ind w:firstLine="56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pPr>
        <w:spacing w:before="0" w:after="0" w:line="500" w:lineRule="exact"/>
        <w:ind w:firstLine="560"/>
        <w:jc w:val="left"/>
        <w:outlineLvl w:val="9"/>
      </w:pPr>
      <w:r>
        <w:rPr>
          <w:rFonts w:ascii="Times New Roman" w:hAnsi="Times New Roman" w:eastAsia="方正仿宋_GBK" w:cs="Times New Roman"/>
          <w:color w:val="000000"/>
          <w:sz w:val="28"/>
        </w:rPr>
        <w:t>根据《中共石家庄市委网络安全和信息化委员会办公室职能配置、内设机构和人员编制规定》，中共石家庄市委网络安全和信息化委员会办公室的主要职责是：</w:t>
      </w:r>
    </w:p>
    <w:p>
      <w:pPr>
        <w:pStyle w:val="18"/>
        <w:keepNext w:val="0"/>
        <w:keepLines w:val="0"/>
        <w:pageBreakBefore w:val="0"/>
        <w:widowControl/>
        <w:kinsoku/>
        <w:wordWrap/>
        <w:overflowPunct/>
        <w:topLinePunct w:val="0"/>
        <w:autoSpaceDE/>
        <w:autoSpaceDN/>
        <w:bidi w:val="0"/>
        <w:adjustRightInd/>
        <w:snapToGrid/>
        <w:ind w:firstLine="560" w:firstLineChars="200"/>
        <w:textAlignment w:val="auto"/>
        <w:rPr>
          <w:rFonts w:hint="eastAsia"/>
        </w:rPr>
      </w:pPr>
      <w:r>
        <w:rPr>
          <w:rFonts w:hint="eastAsia"/>
        </w:rPr>
        <w:t>一、负责处理市委网络安全和信息化委员会日常事务工作。</w:t>
      </w:r>
    </w:p>
    <w:p>
      <w:pPr>
        <w:pStyle w:val="18"/>
        <w:keepNext w:val="0"/>
        <w:keepLines w:val="0"/>
        <w:pageBreakBefore w:val="0"/>
        <w:widowControl/>
        <w:kinsoku/>
        <w:wordWrap/>
        <w:overflowPunct/>
        <w:topLinePunct w:val="0"/>
        <w:autoSpaceDE/>
        <w:autoSpaceDN/>
        <w:bidi w:val="0"/>
        <w:adjustRightInd/>
        <w:snapToGrid/>
        <w:ind w:firstLine="560" w:firstLineChars="200"/>
        <w:textAlignment w:val="auto"/>
        <w:rPr>
          <w:rFonts w:hint="eastAsia"/>
        </w:rPr>
      </w:pPr>
      <w:r>
        <w:rPr>
          <w:rFonts w:hint="eastAsia"/>
        </w:rPr>
        <w:t>二、贯彻落实网络安全和信息化发展战略、宏观规划和重大政策。</w:t>
      </w:r>
    </w:p>
    <w:p>
      <w:pPr>
        <w:pStyle w:val="18"/>
        <w:keepNext w:val="0"/>
        <w:keepLines w:val="0"/>
        <w:pageBreakBefore w:val="0"/>
        <w:widowControl/>
        <w:kinsoku/>
        <w:wordWrap/>
        <w:overflowPunct/>
        <w:topLinePunct w:val="0"/>
        <w:autoSpaceDE/>
        <w:autoSpaceDN/>
        <w:bidi w:val="0"/>
        <w:adjustRightInd/>
        <w:snapToGrid/>
        <w:ind w:firstLine="560" w:firstLineChars="200"/>
        <w:textAlignment w:val="auto"/>
        <w:rPr>
          <w:rFonts w:hint="eastAsia"/>
        </w:rPr>
      </w:pPr>
      <w:r>
        <w:rPr>
          <w:rFonts w:hint="eastAsia"/>
        </w:rPr>
        <w:t>三、负责互联网信息内容管理。</w:t>
      </w:r>
    </w:p>
    <w:p>
      <w:pPr>
        <w:pStyle w:val="18"/>
        <w:keepNext w:val="0"/>
        <w:keepLines w:val="0"/>
        <w:pageBreakBefore w:val="0"/>
        <w:widowControl/>
        <w:kinsoku/>
        <w:wordWrap/>
        <w:overflowPunct/>
        <w:topLinePunct w:val="0"/>
        <w:autoSpaceDE/>
        <w:autoSpaceDN/>
        <w:bidi w:val="0"/>
        <w:adjustRightInd/>
        <w:snapToGrid/>
        <w:ind w:firstLine="560" w:firstLineChars="200"/>
        <w:textAlignment w:val="auto"/>
        <w:rPr>
          <w:rFonts w:hint="eastAsia"/>
        </w:rPr>
      </w:pPr>
      <w:r>
        <w:rPr>
          <w:rFonts w:hint="eastAsia"/>
        </w:rPr>
        <w:t>四、统筹协调网络数据安全和个人信息保护工作。</w:t>
      </w:r>
    </w:p>
    <w:p>
      <w:pPr>
        <w:pStyle w:val="18"/>
        <w:keepNext w:val="0"/>
        <w:keepLines w:val="0"/>
        <w:pageBreakBefore w:val="0"/>
        <w:widowControl/>
        <w:kinsoku/>
        <w:wordWrap/>
        <w:overflowPunct/>
        <w:topLinePunct w:val="0"/>
        <w:autoSpaceDE/>
        <w:autoSpaceDN/>
        <w:bidi w:val="0"/>
        <w:adjustRightInd/>
        <w:snapToGrid/>
        <w:ind w:firstLine="560" w:firstLineChars="200"/>
        <w:textAlignment w:val="auto"/>
        <w:rPr>
          <w:rFonts w:hint="eastAsia"/>
        </w:rPr>
      </w:pPr>
      <w:r>
        <w:rPr>
          <w:rFonts w:hint="eastAsia"/>
        </w:rPr>
        <w:t>五、推动全市网络阵地建设和重点新闻网站规划建设。</w:t>
      </w:r>
    </w:p>
    <w:p>
      <w:pPr>
        <w:pStyle w:val="18"/>
        <w:keepNext w:val="0"/>
        <w:keepLines w:val="0"/>
        <w:pageBreakBefore w:val="0"/>
        <w:widowControl/>
        <w:kinsoku/>
        <w:wordWrap/>
        <w:overflowPunct/>
        <w:topLinePunct w:val="0"/>
        <w:autoSpaceDE/>
        <w:autoSpaceDN/>
        <w:bidi w:val="0"/>
        <w:adjustRightInd/>
        <w:snapToGrid/>
        <w:ind w:firstLine="560" w:firstLineChars="200"/>
        <w:textAlignment w:val="auto"/>
        <w:rPr>
          <w:rFonts w:hint="eastAsia"/>
        </w:rPr>
      </w:pPr>
      <w:r>
        <w:rPr>
          <w:rFonts w:hint="eastAsia"/>
        </w:rPr>
        <w:t>六、协调推动全市网络社会工作和网络文化、网络文明建设。</w:t>
      </w:r>
    </w:p>
    <w:p>
      <w:pPr>
        <w:pStyle w:val="18"/>
        <w:keepNext w:val="0"/>
        <w:keepLines w:val="0"/>
        <w:pageBreakBefore w:val="0"/>
        <w:widowControl/>
        <w:kinsoku/>
        <w:wordWrap/>
        <w:overflowPunct/>
        <w:topLinePunct w:val="0"/>
        <w:autoSpaceDE/>
        <w:autoSpaceDN/>
        <w:bidi w:val="0"/>
        <w:adjustRightInd/>
        <w:snapToGrid/>
        <w:ind w:firstLine="560" w:firstLineChars="200"/>
        <w:textAlignment w:val="auto"/>
        <w:rPr>
          <w:rFonts w:hint="eastAsia"/>
        </w:rPr>
      </w:pPr>
      <w:r>
        <w:rPr>
          <w:rFonts w:hint="eastAsia"/>
        </w:rPr>
        <w:t>七、指导各县（市、区）和有关</w:t>
      </w:r>
      <w:r>
        <w:rPr>
          <w:rFonts w:hint="eastAsia"/>
          <w:lang w:eastAsia="zh-CN"/>
        </w:rPr>
        <w:t>单位</w:t>
      </w:r>
      <w:r>
        <w:rPr>
          <w:rFonts w:hint="eastAsia"/>
        </w:rPr>
        <w:t>网络安全和信息化工作。</w:t>
      </w:r>
    </w:p>
    <w:p>
      <w:pPr>
        <w:pStyle w:val="18"/>
        <w:keepNext w:val="0"/>
        <w:keepLines w:val="0"/>
        <w:pageBreakBefore w:val="0"/>
        <w:widowControl/>
        <w:kinsoku/>
        <w:wordWrap/>
        <w:overflowPunct/>
        <w:topLinePunct w:val="0"/>
        <w:autoSpaceDE/>
        <w:autoSpaceDN/>
        <w:bidi w:val="0"/>
        <w:adjustRightInd/>
        <w:snapToGrid/>
        <w:ind w:firstLine="560" w:firstLineChars="200"/>
        <w:textAlignment w:val="auto"/>
      </w:pPr>
      <w:r>
        <w:rPr>
          <w:rFonts w:hint="eastAsia"/>
        </w:rPr>
        <w:t>八、完成省委网络安全和信息化委员会办公室（省互联网信息办公室）和市委、市政府及市委网络安全和信息化委员会、市委宣传部交办的其他事项。</w:t>
      </w:r>
    </w:p>
    <w:p>
      <w:pPr>
        <w:pStyle w:val="26"/>
        <w:sectPr>
          <w:pgSz w:w="11900" w:h="16840"/>
          <w:pgMar w:top="1361" w:right="1020" w:bottom="1361" w:left="1020" w:header="720" w:footer="720" w:gutter="0"/>
          <w:pgNumType w:start="1"/>
          <w:cols w:space="720" w:num="1"/>
        </w:sectPr>
      </w:pPr>
    </w:p>
    <w:p>
      <w:pPr>
        <w:spacing w:before="0" w:after="0" w:line="240" w:lineRule="auto"/>
        <w:ind w:firstLine="640"/>
        <w:jc w:val="left"/>
        <w:outlineLvl w:val="9"/>
      </w:pP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中共石家庄市委网络安全和信息化委员会办公室本级</w:t>
            </w:r>
          </w:p>
        </w:tc>
        <w:tc>
          <w:tcPr>
            <w:tcW w:w="1843" w:type="dxa"/>
            <w:vAlign w:val="center"/>
          </w:tcPr>
          <w:p>
            <w:pPr>
              <w:pStyle w:val="14"/>
            </w:pPr>
            <w:r>
              <w:t>行政</w:t>
            </w:r>
          </w:p>
        </w:tc>
        <w:tc>
          <w:tcPr>
            <w:tcW w:w="2126" w:type="dxa"/>
            <w:vAlign w:val="center"/>
          </w:tcPr>
          <w:p>
            <w:pPr>
              <w:pStyle w:val="14"/>
            </w:pPr>
            <w:r>
              <w:t>正处（县）级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keepNext w:val="0"/>
        <w:keepLines w:val="0"/>
        <w:pageBreakBefore w:val="0"/>
        <w:widowControl/>
        <w:kinsoku/>
        <w:wordWrap/>
        <w:overflowPunct/>
        <w:topLinePunct w:val="0"/>
        <w:autoSpaceDE/>
        <w:autoSpaceDN/>
        <w:bidi w:val="0"/>
        <w:adjustRightInd/>
        <w:snapToGrid/>
        <w:ind w:left="0" w:leftChars="0" w:firstLine="560" w:firstLineChars="200"/>
        <w:textAlignment w:val="auto"/>
        <w:rPr>
          <w:rFonts w:hint="eastAsia"/>
        </w:rPr>
      </w:pPr>
      <w:r>
        <w:rPr>
          <w:rFonts w:hint="eastAsia"/>
        </w:rPr>
        <w:t>按照预算管理有关规定，目前我市部门预算的编制实行综合预算管理，即全部收入和支出都反映在预算中。中共石家庄市委网络安全和信息化委员会办公室机关及所属事业单位的收支包含在部门预算中。</w:t>
      </w:r>
    </w:p>
    <w:p>
      <w:pPr>
        <w:pStyle w:val="19"/>
        <w:keepNext w:val="0"/>
        <w:keepLines w:val="0"/>
        <w:pageBreakBefore w:val="0"/>
        <w:widowControl/>
        <w:kinsoku/>
        <w:wordWrap/>
        <w:overflowPunct/>
        <w:topLinePunct w:val="0"/>
        <w:autoSpaceDE/>
        <w:autoSpaceDN/>
        <w:bidi w:val="0"/>
        <w:adjustRightInd/>
        <w:snapToGrid/>
        <w:ind w:firstLine="560" w:firstLineChars="200"/>
        <w:textAlignment w:val="auto"/>
        <w:rPr>
          <w:rFonts w:hint="eastAsia"/>
        </w:rPr>
      </w:pPr>
      <w:r>
        <w:rPr>
          <w:rFonts w:hint="eastAsia"/>
        </w:rPr>
        <w:t>1.收入说明</w:t>
      </w:r>
    </w:p>
    <w:p>
      <w:pPr>
        <w:pStyle w:val="19"/>
        <w:keepNext w:val="0"/>
        <w:keepLines w:val="0"/>
        <w:pageBreakBefore w:val="0"/>
        <w:widowControl/>
        <w:kinsoku/>
        <w:wordWrap/>
        <w:overflowPunct/>
        <w:topLinePunct w:val="0"/>
        <w:autoSpaceDE/>
        <w:autoSpaceDN/>
        <w:bidi w:val="0"/>
        <w:adjustRightInd/>
        <w:snapToGrid/>
        <w:ind w:left="0" w:leftChars="0" w:firstLine="560" w:firstLineChars="200"/>
        <w:textAlignment w:val="auto"/>
        <w:rPr>
          <w:rFonts w:hint="eastAsia"/>
        </w:rPr>
      </w:pPr>
      <w:r>
        <w:rPr>
          <w:rFonts w:hint="eastAsia"/>
        </w:rPr>
        <w:t>反映本部门当年全部收入。202</w:t>
      </w:r>
      <w:r>
        <w:rPr>
          <w:rFonts w:hint="eastAsia"/>
          <w:lang w:val="en-US" w:eastAsia="zh-CN"/>
        </w:rPr>
        <w:t>6</w:t>
      </w:r>
      <w:r>
        <w:rPr>
          <w:rFonts w:hint="eastAsia"/>
        </w:rPr>
        <w:t>年预算收入</w:t>
      </w:r>
      <w:r>
        <w:t>2128.55</w:t>
      </w:r>
      <w:r>
        <w:rPr>
          <w:rFonts w:hint="eastAsia"/>
        </w:rPr>
        <w:t>万元，其中：一般公共预算收入</w:t>
      </w:r>
      <w:r>
        <w:t>2128.55</w:t>
      </w:r>
      <w:r>
        <w:rPr>
          <w:rFonts w:hint="eastAsia"/>
        </w:rPr>
        <w:t>万元，基金预算收入 0万元，财政专户核拨收入 0 万元，其他来源收入 0 万元。</w:t>
      </w:r>
    </w:p>
    <w:p>
      <w:pPr>
        <w:pStyle w:val="19"/>
        <w:keepNext w:val="0"/>
        <w:keepLines w:val="0"/>
        <w:pageBreakBefore w:val="0"/>
        <w:widowControl/>
        <w:kinsoku/>
        <w:wordWrap/>
        <w:overflowPunct/>
        <w:topLinePunct w:val="0"/>
        <w:autoSpaceDE/>
        <w:autoSpaceDN/>
        <w:bidi w:val="0"/>
        <w:adjustRightInd/>
        <w:snapToGrid/>
        <w:ind w:firstLine="560" w:firstLineChars="200"/>
        <w:textAlignment w:val="auto"/>
        <w:rPr>
          <w:rFonts w:hint="eastAsia"/>
        </w:rPr>
      </w:pPr>
      <w:r>
        <w:rPr>
          <w:rFonts w:hint="eastAsia"/>
        </w:rPr>
        <w:t>2.支出说明</w:t>
      </w:r>
    </w:p>
    <w:p>
      <w:pPr>
        <w:pStyle w:val="19"/>
        <w:keepNext w:val="0"/>
        <w:keepLines w:val="0"/>
        <w:pageBreakBefore w:val="0"/>
        <w:widowControl/>
        <w:kinsoku/>
        <w:wordWrap/>
        <w:overflowPunct/>
        <w:topLinePunct w:val="0"/>
        <w:autoSpaceDE/>
        <w:autoSpaceDN/>
        <w:bidi w:val="0"/>
        <w:adjustRightInd/>
        <w:snapToGrid/>
        <w:ind w:firstLine="560" w:firstLineChars="200"/>
        <w:textAlignment w:val="auto"/>
        <w:rPr>
          <w:rFonts w:hint="eastAsia"/>
        </w:rPr>
      </w:pPr>
      <w:r>
        <w:rPr>
          <w:rFonts w:hint="eastAsia"/>
        </w:rPr>
        <w:t>收支预算总表支出栏、基本支出表、项目支出表按经济分类和支出功能分类科目编制，反映市委网信办年度部门</w:t>
      </w:r>
      <w:r>
        <w:rPr>
          <w:rFonts w:hint="eastAsia"/>
          <w:lang w:eastAsia="zh-CN"/>
        </w:rPr>
        <w:t>预</w:t>
      </w:r>
      <w:r>
        <w:rPr>
          <w:rFonts w:hint="eastAsia"/>
        </w:rPr>
        <w:t>算中支出预算的总体情况。202</w:t>
      </w:r>
      <w:r>
        <w:rPr>
          <w:rFonts w:hint="eastAsia"/>
          <w:lang w:val="en-US" w:eastAsia="zh-CN"/>
        </w:rPr>
        <w:t>6</w:t>
      </w:r>
      <w:r>
        <w:rPr>
          <w:rFonts w:hint="eastAsia"/>
        </w:rPr>
        <w:t>年部门支出预算为</w:t>
      </w:r>
      <w:r>
        <w:t>2128.55</w:t>
      </w:r>
      <w:r>
        <w:rPr>
          <w:rFonts w:hint="eastAsia"/>
        </w:rPr>
        <w:t>万元，其中基本支出</w:t>
      </w:r>
      <w:r>
        <w:rPr>
          <w:rFonts w:hint="eastAsia"/>
          <w:lang w:val="en-US" w:eastAsia="zh-CN"/>
        </w:rPr>
        <w:t>1145.05</w:t>
      </w:r>
      <w:r>
        <w:rPr>
          <w:rFonts w:hint="eastAsia"/>
        </w:rPr>
        <w:t>万元，人员经费</w:t>
      </w:r>
      <w:r>
        <w:rPr>
          <w:rFonts w:hint="eastAsia"/>
          <w:lang w:val="en-US" w:eastAsia="zh-CN"/>
        </w:rPr>
        <w:t>1040.50</w:t>
      </w:r>
      <w:r>
        <w:rPr>
          <w:rFonts w:hint="eastAsia"/>
        </w:rPr>
        <w:t xml:space="preserve">万元，日常公用经费 </w:t>
      </w:r>
      <w:r>
        <w:rPr>
          <w:rFonts w:hint="eastAsia"/>
          <w:lang w:val="en-US" w:eastAsia="zh-CN"/>
        </w:rPr>
        <w:t>104.55</w:t>
      </w:r>
      <w:r>
        <w:rPr>
          <w:rFonts w:hint="eastAsia"/>
        </w:rPr>
        <w:t xml:space="preserve">万元。项目支出 </w:t>
      </w:r>
      <w:r>
        <w:rPr>
          <w:rFonts w:hint="eastAsia"/>
          <w:lang w:val="en-US" w:eastAsia="zh-CN"/>
        </w:rPr>
        <w:t>983.5</w:t>
      </w:r>
      <w:r>
        <w:rPr>
          <w:rFonts w:hint="eastAsia"/>
        </w:rPr>
        <w:t xml:space="preserve">万元，主要为网络基础能力保障专项经费 </w:t>
      </w:r>
      <w:r>
        <w:rPr>
          <w:rFonts w:hint="eastAsia"/>
          <w:lang w:val="en-US" w:eastAsia="zh-CN"/>
        </w:rPr>
        <w:t>230</w:t>
      </w:r>
      <w:r>
        <w:rPr>
          <w:rFonts w:hint="eastAsia"/>
        </w:rPr>
        <w:t>万元</w:t>
      </w:r>
      <w:r>
        <w:rPr>
          <w:rFonts w:hint="eastAsia"/>
          <w:lang w:eastAsia="zh-CN"/>
        </w:rPr>
        <w:t>，</w:t>
      </w:r>
      <w:r>
        <w:rPr>
          <w:rFonts w:hint="eastAsia"/>
        </w:rPr>
        <w:t>工作场地租用费</w:t>
      </w:r>
      <w:r>
        <w:rPr>
          <w:rFonts w:hint="eastAsia"/>
          <w:lang w:val="en-US" w:eastAsia="zh-CN"/>
        </w:rPr>
        <w:t>73.5</w:t>
      </w:r>
      <w:r>
        <w:rPr>
          <w:rFonts w:hint="eastAsia"/>
        </w:rPr>
        <w:t xml:space="preserve">万元，网络文明建设专项经费 </w:t>
      </w:r>
      <w:r>
        <w:rPr>
          <w:rFonts w:hint="eastAsia"/>
          <w:lang w:val="en-US" w:eastAsia="zh-CN"/>
        </w:rPr>
        <w:t>70</w:t>
      </w:r>
      <w:r>
        <w:rPr>
          <w:rFonts w:hint="eastAsia"/>
        </w:rPr>
        <w:t>万元</w:t>
      </w:r>
      <w:r>
        <w:rPr>
          <w:rFonts w:hint="eastAsia"/>
          <w:lang w:val="en-US" w:eastAsia="zh-CN"/>
        </w:rPr>
        <w:t>,</w:t>
      </w:r>
      <w:r>
        <w:rPr>
          <w:rFonts w:hint="eastAsia"/>
        </w:rPr>
        <w:t>等；其他支出 0万元。</w:t>
      </w:r>
    </w:p>
    <w:p>
      <w:pPr>
        <w:pStyle w:val="19"/>
        <w:keepNext w:val="0"/>
        <w:keepLines w:val="0"/>
        <w:pageBreakBefore w:val="0"/>
        <w:widowControl/>
        <w:kinsoku/>
        <w:wordWrap/>
        <w:overflowPunct/>
        <w:topLinePunct w:val="0"/>
        <w:autoSpaceDE/>
        <w:autoSpaceDN/>
        <w:bidi w:val="0"/>
        <w:adjustRightInd/>
        <w:snapToGrid/>
        <w:ind w:firstLine="560" w:firstLineChars="200"/>
        <w:textAlignment w:val="auto"/>
        <w:rPr>
          <w:rFonts w:hint="eastAsia"/>
        </w:rPr>
      </w:pPr>
      <w:r>
        <w:rPr>
          <w:rFonts w:hint="eastAsia"/>
        </w:rPr>
        <w:t>3.比上年增减情况</w:t>
      </w:r>
    </w:p>
    <w:p>
      <w:pPr>
        <w:pStyle w:val="19"/>
        <w:keepNext w:val="0"/>
        <w:keepLines w:val="0"/>
        <w:pageBreakBefore w:val="0"/>
        <w:widowControl/>
        <w:kinsoku/>
        <w:wordWrap/>
        <w:overflowPunct/>
        <w:topLinePunct w:val="0"/>
        <w:autoSpaceDE/>
        <w:autoSpaceDN/>
        <w:bidi w:val="0"/>
        <w:adjustRightInd/>
        <w:snapToGrid/>
        <w:ind w:firstLine="560" w:firstLineChars="200"/>
        <w:textAlignment w:val="auto"/>
        <w:rPr>
          <w:highlight w:val="none"/>
        </w:rPr>
      </w:pPr>
      <w:r>
        <w:rPr>
          <w:rFonts w:hint="eastAsia"/>
        </w:rPr>
        <w:t>202</w:t>
      </w:r>
      <w:r>
        <w:rPr>
          <w:rFonts w:hint="eastAsia"/>
          <w:lang w:val="en-US" w:eastAsia="zh-CN"/>
        </w:rPr>
        <w:t>6</w:t>
      </w:r>
      <w:r>
        <w:rPr>
          <w:rFonts w:hint="eastAsia"/>
        </w:rPr>
        <w:t>年部门预算收支安排</w:t>
      </w:r>
      <w:r>
        <w:t>2128.5</w:t>
      </w:r>
      <w:r>
        <w:rPr>
          <w:highlight w:val="none"/>
        </w:rPr>
        <w:t>5</w:t>
      </w:r>
      <w:r>
        <w:rPr>
          <w:rFonts w:hint="eastAsia"/>
          <w:highlight w:val="none"/>
        </w:rPr>
        <w:t xml:space="preserve"> 万元，较 202</w:t>
      </w:r>
      <w:r>
        <w:rPr>
          <w:rFonts w:hint="eastAsia"/>
          <w:highlight w:val="none"/>
          <w:lang w:val="en-US" w:eastAsia="zh-CN"/>
        </w:rPr>
        <w:t>5</w:t>
      </w:r>
      <w:r>
        <w:rPr>
          <w:rFonts w:hint="eastAsia"/>
          <w:highlight w:val="none"/>
        </w:rPr>
        <w:t>年</w:t>
      </w:r>
      <w:r>
        <w:rPr>
          <w:rFonts w:hint="eastAsia"/>
          <w:highlight w:val="none"/>
          <w:lang w:eastAsia="zh-CN"/>
        </w:rPr>
        <w:t>减少</w:t>
      </w:r>
      <w:r>
        <w:rPr>
          <w:rFonts w:hint="eastAsia"/>
          <w:highlight w:val="none"/>
        </w:rPr>
        <w:t xml:space="preserve"> </w:t>
      </w:r>
      <w:r>
        <w:rPr>
          <w:rFonts w:hint="eastAsia"/>
          <w:highlight w:val="none"/>
          <w:lang w:val="en-US" w:eastAsia="zh-CN"/>
        </w:rPr>
        <w:t>230.04</w:t>
      </w:r>
      <w:r>
        <w:rPr>
          <w:rFonts w:hint="eastAsia"/>
          <w:highlight w:val="none"/>
        </w:rPr>
        <w:t>万元，其中基本支出</w:t>
      </w:r>
      <w:r>
        <w:rPr>
          <w:rFonts w:hint="eastAsia"/>
          <w:highlight w:val="none"/>
          <w:lang w:eastAsia="zh-CN"/>
        </w:rPr>
        <w:t>减少</w:t>
      </w:r>
      <w:r>
        <w:rPr>
          <w:rFonts w:hint="eastAsia"/>
          <w:highlight w:val="none"/>
          <w:lang w:val="en-US" w:eastAsia="zh-CN"/>
        </w:rPr>
        <w:t>6.7</w:t>
      </w:r>
      <w:r>
        <w:rPr>
          <w:rFonts w:hint="eastAsia"/>
          <w:highlight w:val="none"/>
        </w:rPr>
        <w:t>万元，主要为日常公用经费</w:t>
      </w:r>
      <w:r>
        <w:rPr>
          <w:rFonts w:hint="eastAsia"/>
          <w:highlight w:val="none"/>
          <w:lang w:eastAsia="zh-CN"/>
        </w:rPr>
        <w:t>减少</w:t>
      </w:r>
      <w:r>
        <w:rPr>
          <w:rFonts w:hint="eastAsia"/>
          <w:highlight w:val="none"/>
        </w:rPr>
        <w:t>支出。项目支出</w:t>
      </w:r>
      <w:r>
        <w:rPr>
          <w:rFonts w:hint="eastAsia"/>
          <w:highlight w:val="none"/>
          <w:lang w:eastAsia="zh-CN"/>
        </w:rPr>
        <w:t>较去年减少</w:t>
      </w:r>
      <w:r>
        <w:rPr>
          <w:rFonts w:hint="eastAsia"/>
          <w:highlight w:val="none"/>
          <w:lang w:val="en-US" w:eastAsia="zh-CN"/>
        </w:rPr>
        <w:t>223.34万元，主要原因为落实上级要求，压减项目支出</w:t>
      </w:r>
      <w:r>
        <w:rPr>
          <w:rFonts w:hint="eastAsia"/>
          <w:highlight w:val="none"/>
          <w:lang w:eastAsia="zh-CN"/>
        </w:rPr>
        <w:t>。</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ind w:left="0" w:leftChars="0" w:firstLine="560" w:firstLineChars="200"/>
      </w:pPr>
      <w:r>
        <w:rPr>
          <w:rFonts w:hint="eastAsia" w:ascii="Times New Roman" w:hAnsi="Times New Roman" w:eastAsia="方正仿宋_GBK" w:cs="Times New Roman"/>
          <w:sz w:val="28"/>
          <w:szCs w:val="24"/>
          <w:lang w:val="en-US" w:eastAsia="uk-UA" w:bidi="ar-SA"/>
        </w:rPr>
        <w:t>202</w:t>
      </w:r>
      <w:r>
        <w:rPr>
          <w:rFonts w:hint="eastAsia" w:eastAsia="方正仿宋_GBK" w:cs="Times New Roman"/>
          <w:sz w:val="28"/>
          <w:szCs w:val="24"/>
          <w:lang w:val="en-US" w:eastAsia="zh-CN" w:bidi="ar-SA"/>
        </w:rPr>
        <w:t>6</w:t>
      </w:r>
      <w:r>
        <w:rPr>
          <w:rFonts w:hint="eastAsia" w:ascii="Times New Roman" w:hAnsi="Times New Roman" w:eastAsia="方正仿宋_GBK" w:cs="Times New Roman"/>
          <w:sz w:val="28"/>
          <w:szCs w:val="24"/>
          <w:lang w:val="en-US" w:eastAsia="uk-UA" w:bidi="ar-SA"/>
        </w:rPr>
        <w:t xml:space="preserve">年，我部门机关运行经费共计安排 </w:t>
      </w:r>
      <w:r>
        <w:rPr>
          <w:rFonts w:hint="eastAsia" w:cs="Times New Roman"/>
          <w:sz w:val="28"/>
          <w:szCs w:val="24"/>
          <w:lang w:val="en-US" w:eastAsia="zh-CN" w:bidi="ar-SA"/>
        </w:rPr>
        <w:t>104.55</w:t>
      </w:r>
      <w:r>
        <w:rPr>
          <w:rFonts w:hint="eastAsia" w:ascii="Times New Roman" w:hAnsi="Times New Roman" w:eastAsia="方正仿宋_GBK" w:cs="Times New Roman"/>
          <w:sz w:val="28"/>
          <w:szCs w:val="24"/>
          <w:lang w:val="en-US" w:eastAsia="uk-UA" w:bidi="ar-SA"/>
        </w:rPr>
        <w:t>万元，主要用于保障机关正常运转的办公及印刷费、邮电费、差旅费、会议费、 福利费、公务车运行维护费等支出。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rPr>
          <w:rFonts w:hint="eastAsia"/>
        </w:rPr>
        <w:t>202</w:t>
      </w:r>
      <w:r>
        <w:rPr>
          <w:rFonts w:hint="eastAsia"/>
          <w:lang w:val="en-US" w:eastAsia="zh-CN"/>
        </w:rPr>
        <w:t>6</w:t>
      </w:r>
      <w:r>
        <w:rPr>
          <w:rFonts w:hint="eastAsia"/>
        </w:rPr>
        <w:t>年，我部门财政拨款“三公”经费预算安排</w:t>
      </w:r>
      <w:r>
        <w:rPr>
          <w:rFonts w:hint="eastAsia"/>
          <w:lang w:val="en-US" w:eastAsia="zh-CN"/>
        </w:rPr>
        <w:t>2.82</w:t>
      </w:r>
      <w:r>
        <w:rPr>
          <w:rFonts w:hint="eastAsia"/>
        </w:rPr>
        <w:t xml:space="preserve"> 万元，较</w:t>
      </w:r>
      <w:r>
        <w:rPr>
          <w:rFonts w:hint="eastAsia"/>
          <w:highlight w:val="none"/>
        </w:rPr>
        <w:t xml:space="preserve"> 202</w:t>
      </w:r>
      <w:r>
        <w:rPr>
          <w:rFonts w:hint="eastAsia"/>
          <w:highlight w:val="none"/>
          <w:lang w:val="en-US" w:eastAsia="zh-CN"/>
        </w:rPr>
        <w:t>5</w:t>
      </w:r>
      <w:r>
        <w:rPr>
          <w:rFonts w:hint="eastAsia"/>
          <w:highlight w:val="none"/>
        </w:rPr>
        <w:t xml:space="preserve"> 年</w:t>
      </w:r>
      <w:r>
        <w:rPr>
          <w:rFonts w:hint="eastAsia"/>
          <w:highlight w:val="none"/>
          <w:lang w:eastAsia="zh-CN"/>
        </w:rPr>
        <w:t>减少</w:t>
      </w:r>
      <w:r>
        <w:rPr>
          <w:rFonts w:hint="eastAsia"/>
          <w:highlight w:val="none"/>
          <w:lang w:val="en-US" w:eastAsia="zh-CN"/>
        </w:rPr>
        <w:t>0.07万元</w:t>
      </w:r>
      <w:r>
        <w:rPr>
          <w:rFonts w:hint="eastAsia"/>
          <w:highlight w:val="none"/>
        </w:rPr>
        <w:t>，</w:t>
      </w:r>
      <w:r>
        <w:rPr>
          <w:rFonts w:hint="eastAsia"/>
          <w:highlight w:val="none"/>
          <w:lang w:eastAsia="zh-CN"/>
        </w:rPr>
        <w:t>主要原</w:t>
      </w:r>
      <w:r>
        <w:rPr>
          <w:rFonts w:hint="eastAsia"/>
          <w:lang w:eastAsia="zh-CN"/>
        </w:rPr>
        <w:t>因为</w:t>
      </w:r>
      <w:r>
        <w:rPr>
          <w:rFonts w:hint="eastAsia"/>
        </w:rPr>
        <w:t>厉行节约</w:t>
      </w:r>
      <w:r>
        <w:rPr>
          <w:rFonts w:hint="eastAsia"/>
          <w:lang w:eastAsia="zh-CN"/>
        </w:rPr>
        <w:t>，减少支出。</w:t>
      </w:r>
      <w:r>
        <w:rPr>
          <w:rFonts w:hint="eastAsia"/>
        </w:rPr>
        <w:t>其中因公出国（境）费 0 万元，较 202</w:t>
      </w:r>
      <w:r>
        <w:rPr>
          <w:rFonts w:hint="eastAsia"/>
          <w:lang w:val="en-US" w:eastAsia="zh-CN"/>
        </w:rPr>
        <w:t>5</w:t>
      </w:r>
      <w:r>
        <w:rPr>
          <w:rFonts w:hint="eastAsia"/>
        </w:rPr>
        <w:t>年无变化，主要原因是年初没有安排因公出国费；公务用车购置及运行维护费</w:t>
      </w:r>
      <w:r>
        <w:rPr>
          <w:rFonts w:hint="eastAsia"/>
          <w:lang w:val="en-US" w:eastAsia="zh-CN"/>
        </w:rPr>
        <w:t>2.23</w:t>
      </w:r>
      <w:r>
        <w:rPr>
          <w:rFonts w:hint="eastAsia"/>
        </w:rPr>
        <w:t xml:space="preserve">万元（其中：公务用车购置费为 0 万元，公务用车运行维护费 </w:t>
      </w:r>
      <w:r>
        <w:rPr>
          <w:rFonts w:hint="eastAsia"/>
          <w:lang w:val="en-US" w:eastAsia="zh-CN"/>
        </w:rPr>
        <w:t>2.23</w:t>
      </w:r>
      <w:r>
        <w:rPr>
          <w:rFonts w:hint="eastAsia"/>
        </w:rPr>
        <w:t>万元)，</w:t>
      </w:r>
      <w:r>
        <w:rPr>
          <w:rFonts w:hint="eastAsia"/>
          <w:highlight w:val="none"/>
        </w:rPr>
        <w:t>较 202</w:t>
      </w:r>
      <w:r>
        <w:rPr>
          <w:rFonts w:hint="eastAsia"/>
          <w:highlight w:val="none"/>
          <w:lang w:val="en-US" w:eastAsia="zh-CN"/>
        </w:rPr>
        <w:t>5</w:t>
      </w:r>
      <w:r>
        <w:rPr>
          <w:rFonts w:hint="eastAsia"/>
          <w:highlight w:val="none"/>
        </w:rPr>
        <w:t>年</w:t>
      </w:r>
      <w:r>
        <w:rPr>
          <w:rFonts w:hint="eastAsia"/>
          <w:highlight w:val="none"/>
          <w:lang w:eastAsia="zh-CN"/>
        </w:rPr>
        <w:t>增加</w:t>
      </w:r>
      <w:r>
        <w:rPr>
          <w:rFonts w:hint="eastAsia"/>
          <w:highlight w:val="none"/>
          <w:lang w:val="en-US" w:eastAsia="zh-CN"/>
        </w:rPr>
        <w:t>0.04万元</w:t>
      </w:r>
      <w:r>
        <w:rPr>
          <w:rFonts w:hint="eastAsia"/>
        </w:rPr>
        <w:t>，主要原因是</w:t>
      </w:r>
      <w:r>
        <w:rPr>
          <w:rFonts w:hint="eastAsia"/>
          <w:lang w:eastAsia="zh-CN"/>
        </w:rPr>
        <w:t>公务活动增多</w:t>
      </w:r>
      <w:r>
        <w:rPr>
          <w:rFonts w:hint="eastAsia"/>
        </w:rPr>
        <w:t>；公务接待费</w:t>
      </w:r>
      <w:r>
        <w:rPr>
          <w:rFonts w:hint="eastAsia"/>
          <w:lang w:val="en-US" w:eastAsia="zh-CN"/>
        </w:rPr>
        <w:t>0.59</w:t>
      </w:r>
      <w:r>
        <w:rPr>
          <w:rFonts w:hint="eastAsia"/>
        </w:rPr>
        <w:t>万元，较 202</w:t>
      </w:r>
      <w:r>
        <w:rPr>
          <w:rFonts w:hint="eastAsia"/>
          <w:lang w:val="en-US" w:eastAsia="zh-CN"/>
        </w:rPr>
        <w:t>5</w:t>
      </w:r>
      <w:r>
        <w:rPr>
          <w:rFonts w:hint="eastAsia"/>
        </w:rPr>
        <w:t>年</w:t>
      </w:r>
      <w:r>
        <w:rPr>
          <w:rFonts w:hint="eastAsia"/>
          <w:lang w:eastAsia="zh-CN"/>
        </w:rPr>
        <w:t>无变化。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keepNext w:val="0"/>
        <w:keepLines w:val="0"/>
        <w:pageBreakBefore w:val="0"/>
        <w:widowControl w:val="0"/>
        <w:kinsoku/>
        <w:wordWrap/>
        <w:overflowPunct/>
        <w:topLinePunct w:val="0"/>
        <w:autoSpaceDE/>
        <w:autoSpaceDN/>
        <w:bidi w:val="0"/>
        <w:adjustRightInd/>
        <w:snapToGrid/>
        <w:spacing w:before="0" w:after="0" w:line="600" w:lineRule="exact"/>
        <w:ind w:firstLine="560" w:firstLineChars="200"/>
        <w:jc w:val="both"/>
        <w:textAlignment w:val="auto"/>
      </w:pPr>
      <w:r>
        <w:t>以习近平新时代中国特色社会主义思想特别是习近平总书记关于网络强国的重要思想为指导，深入贯彻落实中央、省、市有关要求，准确把握网信工作面临的新形势新任务。巩固壮大网络空间正能量；加强网络舆论引导；加强网络文明建设；强化网络安全管理，更加扎实有效地做好网信工作。</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keepNext w:val="0"/>
        <w:keepLines w:val="0"/>
        <w:pageBreakBefore w:val="0"/>
        <w:widowControl w:val="0"/>
        <w:kinsoku/>
        <w:wordWrap/>
        <w:overflowPunct/>
        <w:topLinePunct w:val="0"/>
        <w:autoSpaceDE/>
        <w:autoSpaceDN/>
        <w:bidi w:val="0"/>
        <w:adjustRightInd/>
        <w:snapToGrid/>
        <w:spacing w:before="0" w:after="0" w:line="600" w:lineRule="exact"/>
        <w:ind w:firstLine="560" w:firstLineChars="200"/>
        <w:jc w:val="both"/>
        <w:textAlignment w:val="auto"/>
      </w:pPr>
      <w:r>
        <w:t>1.</w:t>
      </w:r>
      <w:r>
        <w:rPr>
          <w:rFonts w:hint="eastAsia"/>
          <w:lang w:eastAsia="zh-CN"/>
        </w:rPr>
        <w:t>网络主题宣传工作</w:t>
      </w:r>
    </w:p>
    <w:p>
      <w:pPr>
        <w:pStyle w:val="23"/>
        <w:keepNext w:val="0"/>
        <w:keepLines w:val="0"/>
        <w:pageBreakBefore w:val="0"/>
        <w:widowControl w:val="0"/>
        <w:kinsoku/>
        <w:wordWrap/>
        <w:overflowPunct/>
        <w:topLinePunct w:val="0"/>
        <w:autoSpaceDE/>
        <w:autoSpaceDN/>
        <w:bidi w:val="0"/>
        <w:adjustRightInd/>
        <w:snapToGrid/>
        <w:spacing w:before="0" w:after="0" w:line="600" w:lineRule="exact"/>
        <w:ind w:firstLine="560" w:firstLineChars="200"/>
        <w:jc w:val="both"/>
        <w:textAlignment w:val="auto"/>
      </w:pPr>
      <w:r>
        <w:t>绩效目标：借助重点新闻网站和主流商业网站优势，围绕党委、政府中心工作，通过开设专题专栏，开展网络主题活动，创作一批融媒体作品，组织征选展播活动，持续提升城市知名度、美誉度和影响力。</w:t>
      </w:r>
    </w:p>
    <w:p>
      <w:pPr>
        <w:pStyle w:val="23"/>
        <w:keepNext w:val="0"/>
        <w:keepLines w:val="0"/>
        <w:pageBreakBefore w:val="0"/>
        <w:widowControl w:val="0"/>
        <w:kinsoku/>
        <w:wordWrap/>
        <w:overflowPunct/>
        <w:topLinePunct w:val="0"/>
        <w:autoSpaceDE/>
        <w:autoSpaceDN/>
        <w:bidi w:val="0"/>
        <w:adjustRightInd/>
        <w:snapToGrid/>
        <w:spacing w:before="0" w:after="0" w:line="600" w:lineRule="exact"/>
        <w:ind w:firstLine="560" w:firstLineChars="200"/>
        <w:jc w:val="both"/>
        <w:textAlignment w:val="auto"/>
        <w:rPr>
          <w:rFonts w:hint="eastAsia"/>
          <w:lang w:eastAsia="zh-CN"/>
        </w:rPr>
      </w:pPr>
      <w:r>
        <w:t>绩效指标：</w:t>
      </w:r>
      <w:r>
        <w:rPr>
          <w:rFonts w:hint="eastAsia"/>
          <w:lang w:eastAsia="zh-CN"/>
        </w:rPr>
        <w:t>加强网上正面宣传，进一步弘扬主旋律，传播正能量，为加快建设现代化、国际化美丽省会城市营造浓厚网络氛围。</w:t>
      </w:r>
    </w:p>
    <w:p>
      <w:pPr>
        <w:pStyle w:val="23"/>
        <w:keepNext w:val="0"/>
        <w:keepLines w:val="0"/>
        <w:pageBreakBefore w:val="0"/>
        <w:widowControl w:val="0"/>
        <w:kinsoku/>
        <w:wordWrap/>
        <w:overflowPunct/>
        <w:topLinePunct w:val="0"/>
        <w:autoSpaceDE/>
        <w:autoSpaceDN/>
        <w:bidi w:val="0"/>
        <w:adjustRightInd/>
        <w:snapToGrid/>
        <w:spacing w:before="0" w:after="0" w:line="600" w:lineRule="exact"/>
        <w:ind w:firstLine="560" w:firstLineChars="200"/>
        <w:jc w:val="both"/>
        <w:textAlignment w:val="auto"/>
        <w:rPr>
          <w:rFonts w:hint="eastAsia" w:ascii="Times New Roman" w:hAnsi="Times New Roman" w:cs="Times New Roman"/>
          <w:b w:val="0"/>
          <w:lang w:eastAsia="zh-CN"/>
        </w:rPr>
      </w:pPr>
      <w:r>
        <w:rPr>
          <w:rFonts w:ascii="Times New Roman" w:hAnsi="Times New Roman" w:cs="Times New Roman"/>
          <w:b w:val="0"/>
        </w:rPr>
        <w:t>2.网络</w:t>
      </w:r>
      <w:r>
        <w:rPr>
          <w:rFonts w:hint="eastAsia" w:ascii="Times New Roman" w:hAnsi="Times New Roman" w:cs="Times New Roman"/>
          <w:b w:val="0"/>
          <w:lang w:eastAsia="zh-CN"/>
        </w:rPr>
        <w:t>文明建设工作</w:t>
      </w:r>
    </w:p>
    <w:p>
      <w:pPr>
        <w:pStyle w:val="23"/>
        <w:keepNext w:val="0"/>
        <w:keepLines w:val="0"/>
        <w:pageBreakBefore w:val="0"/>
        <w:widowControl w:val="0"/>
        <w:kinsoku/>
        <w:wordWrap/>
        <w:overflowPunct/>
        <w:topLinePunct w:val="0"/>
        <w:autoSpaceDE/>
        <w:autoSpaceDN/>
        <w:bidi w:val="0"/>
        <w:adjustRightInd/>
        <w:snapToGrid/>
        <w:spacing w:before="0" w:after="0" w:line="600" w:lineRule="exact"/>
        <w:ind w:firstLine="560" w:firstLineChars="200"/>
        <w:jc w:val="both"/>
        <w:textAlignment w:val="auto"/>
        <w:rPr>
          <w:rFonts w:hint="eastAsia" w:ascii="Times New Roman" w:hAnsi="Times New Roman" w:eastAsia="方正仿宋_GBK" w:cs="Times New Roman"/>
          <w:b w:val="0"/>
          <w:lang w:eastAsia="zh-CN"/>
        </w:rPr>
      </w:pPr>
      <w:r>
        <w:rPr>
          <w:rFonts w:ascii="Times New Roman" w:hAnsi="Times New Roman" w:cs="Times New Roman"/>
          <w:b w:val="0"/>
        </w:rPr>
        <w:t>绩效目标：</w:t>
      </w:r>
      <w:r>
        <w:rPr>
          <w:rFonts w:hint="eastAsia" w:ascii="Times New Roman" w:hAnsi="Times New Roman" w:cs="Times New Roman"/>
          <w:b w:val="0"/>
          <w:lang w:eastAsia="zh-CN"/>
        </w:rPr>
        <w:t>一是</w:t>
      </w:r>
      <w:r>
        <w:rPr>
          <w:rFonts w:ascii="Times New Roman" w:hAnsi="Times New Roman" w:cs="Times New Roman"/>
          <w:b w:val="0"/>
        </w:rPr>
        <w:t>互联网行业党建稳步推进提升</w:t>
      </w:r>
      <w:r>
        <w:rPr>
          <w:rFonts w:hint="eastAsia" w:ascii="Times New Roman" w:hAnsi="Times New Roman" w:cs="Times New Roman"/>
          <w:b w:val="0"/>
          <w:lang w:eastAsia="zh-CN"/>
        </w:rPr>
        <w:t>。二是</w:t>
      </w:r>
      <w:r>
        <w:rPr>
          <w:rFonts w:ascii="Times New Roman" w:hAnsi="Times New Roman" w:cs="Times New Roman"/>
          <w:b w:val="0"/>
        </w:rPr>
        <w:t>组织开展重点网络平台互动宣传、网络文明主题活动、城市更新系列短视频创作宣发等</w:t>
      </w:r>
      <w:r>
        <w:rPr>
          <w:rFonts w:hint="eastAsia" w:ascii="Times New Roman" w:hAnsi="Times New Roman" w:cs="Times New Roman"/>
          <w:b w:val="0"/>
          <w:lang w:eastAsia="zh-CN"/>
        </w:rPr>
        <w:t>工作。</w:t>
      </w:r>
    </w:p>
    <w:p>
      <w:pPr>
        <w:pStyle w:val="23"/>
        <w:keepNext w:val="0"/>
        <w:keepLines w:val="0"/>
        <w:pageBreakBefore w:val="0"/>
        <w:widowControl w:val="0"/>
        <w:kinsoku/>
        <w:wordWrap/>
        <w:overflowPunct/>
        <w:topLinePunct w:val="0"/>
        <w:autoSpaceDE/>
        <w:autoSpaceDN/>
        <w:bidi w:val="0"/>
        <w:adjustRightInd/>
        <w:snapToGrid/>
        <w:spacing w:before="0" w:after="0" w:line="600" w:lineRule="exact"/>
        <w:ind w:firstLine="560" w:firstLineChars="200"/>
        <w:jc w:val="both"/>
        <w:textAlignment w:val="auto"/>
        <w:rPr>
          <w:rFonts w:ascii="方正黑体_GBK" w:hAnsi="方正黑体_GBK" w:eastAsia="方正黑体_GBK" w:cs="方正黑体_GBK"/>
          <w:color w:val="000000"/>
          <w:sz w:val="28"/>
        </w:rPr>
      </w:pPr>
      <w:r>
        <w:t>绩效指标：</w:t>
      </w:r>
      <w:r>
        <w:rPr>
          <w:rFonts w:hint="eastAsia"/>
        </w:rPr>
        <w:t>围绕市委</w:t>
      </w:r>
      <w:r>
        <w:rPr>
          <w:rFonts w:hint="eastAsia"/>
          <w:lang w:eastAsia="zh-CN"/>
        </w:rPr>
        <w:t>、</w:t>
      </w:r>
      <w:r>
        <w:rPr>
          <w:rFonts w:hint="eastAsia"/>
        </w:rPr>
        <w:t>市政府中心工作，组织开展网上主题互动宣传，引导创作推出更多优秀网络文化作品，全市网络文明环境持续向好；非公互联网企业、网络社会组织党建工作稳步推进，“两个覆盖”水平不断提升，党对互联网行业领导更加有力。</w:t>
      </w:r>
    </w:p>
    <w:p>
      <w:pPr>
        <w:pStyle w:val="23"/>
        <w:keepNext w:val="0"/>
        <w:keepLines w:val="0"/>
        <w:pageBreakBefore w:val="0"/>
        <w:widowControl w:val="0"/>
        <w:kinsoku/>
        <w:wordWrap/>
        <w:overflowPunct/>
        <w:topLinePunct w:val="0"/>
        <w:autoSpaceDE/>
        <w:autoSpaceDN/>
        <w:bidi w:val="0"/>
        <w:adjustRightInd/>
        <w:snapToGrid/>
        <w:spacing w:before="0" w:after="0" w:line="600" w:lineRule="exact"/>
        <w:ind w:firstLine="560" w:firstLineChars="200"/>
        <w:jc w:val="both"/>
        <w:textAlignment w:val="auto"/>
        <w:rPr>
          <w:rFonts w:hint="default" w:ascii="Times New Roman" w:hAnsi="Times New Roman" w:cs="Times New Roman"/>
          <w:b w:val="0"/>
          <w:lang w:val="en-US" w:eastAsia="zh-CN"/>
        </w:rPr>
      </w:pPr>
      <w:r>
        <w:rPr>
          <w:rFonts w:hint="eastAsia"/>
          <w:lang w:val="en-US" w:eastAsia="zh-CN"/>
        </w:rPr>
        <w:t>3</w:t>
      </w:r>
      <w:r>
        <w:rPr>
          <w:rFonts w:hint="eastAsia" w:ascii="Times New Roman" w:hAnsi="Times New Roman" w:cs="Times New Roman"/>
          <w:b w:val="0"/>
          <w:lang w:val="en-US" w:eastAsia="zh-CN"/>
        </w:rPr>
        <w:t>.网络基础能力保障工作</w:t>
      </w:r>
    </w:p>
    <w:p>
      <w:pPr>
        <w:pStyle w:val="23"/>
        <w:keepNext w:val="0"/>
        <w:keepLines w:val="0"/>
        <w:pageBreakBefore w:val="0"/>
        <w:widowControl w:val="0"/>
        <w:kinsoku/>
        <w:wordWrap/>
        <w:overflowPunct/>
        <w:topLinePunct w:val="0"/>
        <w:autoSpaceDE/>
        <w:autoSpaceDN/>
        <w:bidi w:val="0"/>
        <w:adjustRightInd/>
        <w:snapToGrid/>
        <w:spacing w:before="0" w:after="0" w:line="600" w:lineRule="exact"/>
        <w:ind w:firstLine="560" w:firstLineChars="200"/>
        <w:jc w:val="both"/>
        <w:textAlignment w:val="auto"/>
      </w:pPr>
      <w:r>
        <w:rPr>
          <w:rFonts w:hint="eastAsia" w:ascii="Times New Roman" w:hAnsi="Times New Roman" w:cs="Times New Roman"/>
          <w:b w:val="0"/>
          <w:lang w:val="en-US" w:eastAsia="uk-UA"/>
        </w:rPr>
        <w:t>绩效目标：</w:t>
      </w:r>
      <w:r>
        <w:rPr>
          <w:rFonts w:hint="eastAsia" w:ascii="Times New Roman" w:hAnsi="Times New Roman" w:cs="Times New Roman"/>
          <w:b w:val="0"/>
          <w:lang w:val="en-US" w:eastAsia="zh-CN"/>
        </w:rPr>
        <w:t>一是</w:t>
      </w:r>
      <w:r>
        <w:rPr>
          <w:rFonts w:hint="eastAsia" w:ascii="Times New Roman" w:hAnsi="Times New Roman" w:cs="Times New Roman"/>
          <w:b w:val="0"/>
          <w:lang w:val="en-US" w:eastAsia="uk-UA"/>
        </w:rPr>
        <w:t>进一步推进网络生态环境治理工作，营造网上清朗环境</w:t>
      </w:r>
      <w:r>
        <w:rPr>
          <w:rFonts w:hint="eastAsia" w:ascii="Times New Roman" w:hAnsi="Times New Roman" w:cs="Times New Roman"/>
          <w:b w:val="0"/>
          <w:lang w:val="en-US" w:eastAsia="zh-CN"/>
        </w:rPr>
        <w:t>。二是</w:t>
      </w:r>
      <w:r>
        <w:rPr>
          <w:rFonts w:hint="eastAsia" w:ascii="Times New Roman" w:hAnsi="Times New Roman" w:cs="Times New Roman"/>
          <w:b w:val="0"/>
          <w:lang w:val="en-US" w:eastAsia="uk-UA"/>
        </w:rPr>
        <w:t>深入开展网络普法系列活动，不断</w:t>
      </w:r>
      <w:r>
        <w:t>提升全市网民网络法治素养，形成遵法守法学法用法的良好氛围。</w:t>
      </w:r>
    </w:p>
    <w:p>
      <w:pPr>
        <w:pStyle w:val="23"/>
        <w:keepNext w:val="0"/>
        <w:keepLines w:val="0"/>
        <w:pageBreakBefore w:val="0"/>
        <w:widowControl w:val="0"/>
        <w:kinsoku/>
        <w:wordWrap/>
        <w:overflowPunct/>
        <w:topLinePunct w:val="0"/>
        <w:autoSpaceDE/>
        <w:autoSpaceDN/>
        <w:bidi w:val="0"/>
        <w:adjustRightInd/>
        <w:snapToGrid/>
        <w:spacing w:before="0" w:after="0" w:line="600" w:lineRule="exact"/>
        <w:ind w:firstLine="560" w:firstLineChars="200"/>
        <w:jc w:val="both"/>
        <w:textAlignment w:val="auto"/>
        <w:rPr>
          <w:rFonts w:hint="eastAsia"/>
          <w:lang w:eastAsia="zh-CN"/>
        </w:rPr>
      </w:pPr>
      <w:r>
        <w:rPr>
          <w:rFonts w:hint="eastAsia"/>
        </w:rPr>
        <w:t>绩效指标：强化网络行政执法工作，开展网络生态治理宣传，积极营造依法办网、依法上网、依法管网浓厚氛围，促进网络生态理念深入人心</w:t>
      </w:r>
      <w:r>
        <w:rPr>
          <w:rFonts w:hint="eastAsia"/>
          <w:lang w:eastAsia="zh-CN"/>
        </w:rPr>
        <w:t>；深入开展网络普法系列活动，不断提升全市网民网络法治素养，形成遵法守法学法用法的良好氛围。</w:t>
      </w:r>
    </w:p>
    <w:p>
      <w:pPr>
        <w:pStyle w:val="23"/>
        <w:keepNext w:val="0"/>
        <w:keepLines w:val="0"/>
        <w:pageBreakBefore w:val="0"/>
        <w:widowControl w:val="0"/>
        <w:kinsoku/>
        <w:wordWrap/>
        <w:overflowPunct/>
        <w:topLinePunct w:val="0"/>
        <w:autoSpaceDE/>
        <w:autoSpaceDN/>
        <w:bidi w:val="0"/>
        <w:adjustRightInd/>
        <w:snapToGrid/>
        <w:spacing w:before="0" w:after="0" w:line="600" w:lineRule="exact"/>
        <w:ind w:firstLine="560" w:firstLineChars="200"/>
        <w:jc w:val="both"/>
        <w:textAlignment w:val="auto"/>
        <w:rPr>
          <w:rFonts w:hint="eastAsia" w:ascii="Times New Roman" w:hAnsi="Times New Roman" w:cs="Times New Roman"/>
          <w:b w:val="0"/>
          <w:lang w:val="en-US" w:eastAsia="zh-CN"/>
        </w:rPr>
      </w:pPr>
      <w:r>
        <w:rPr>
          <w:rFonts w:hint="eastAsia"/>
          <w:lang w:val="en-US" w:eastAsia="zh-CN"/>
        </w:rPr>
        <w:t>4.网</w:t>
      </w:r>
      <w:r>
        <w:rPr>
          <w:rFonts w:hint="eastAsia" w:ascii="Times New Roman" w:hAnsi="Times New Roman" w:cs="Times New Roman"/>
          <w:b w:val="0"/>
          <w:lang w:val="en-US" w:eastAsia="zh-CN"/>
        </w:rPr>
        <w:t>络安全监管及信息化专项经费</w:t>
      </w:r>
    </w:p>
    <w:p>
      <w:pPr>
        <w:pStyle w:val="23"/>
        <w:keepNext w:val="0"/>
        <w:keepLines w:val="0"/>
        <w:pageBreakBefore w:val="0"/>
        <w:widowControl w:val="0"/>
        <w:kinsoku/>
        <w:wordWrap/>
        <w:overflowPunct/>
        <w:topLinePunct w:val="0"/>
        <w:autoSpaceDE/>
        <w:autoSpaceDN/>
        <w:bidi w:val="0"/>
        <w:adjustRightInd/>
        <w:snapToGrid/>
        <w:spacing w:before="0" w:after="0" w:line="600" w:lineRule="exact"/>
        <w:ind w:firstLine="560" w:firstLineChars="200"/>
        <w:jc w:val="both"/>
        <w:textAlignment w:val="auto"/>
        <w:rPr>
          <w:rFonts w:hint="eastAsia" w:ascii="Times New Roman" w:hAnsi="Times New Roman" w:eastAsia="方正仿宋_GBK" w:cs="Times New Roman"/>
          <w:b w:val="0"/>
          <w:lang w:val="en-US" w:eastAsia="zh-CN"/>
        </w:rPr>
      </w:pPr>
      <w:r>
        <w:rPr>
          <w:rFonts w:hint="eastAsia" w:ascii="Times New Roman" w:hAnsi="Times New Roman" w:cs="Times New Roman"/>
          <w:b w:val="0"/>
          <w:lang w:val="en-US" w:eastAsia="uk-UA"/>
        </w:rPr>
        <w:t>绩效目标：</w:t>
      </w:r>
      <w:r>
        <w:rPr>
          <w:rFonts w:hint="eastAsia" w:ascii="Times New Roman" w:hAnsi="Times New Roman" w:cs="Times New Roman"/>
          <w:b w:val="0"/>
          <w:lang w:val="en-US" w:eastAsia="zh-CN"/>
        </w:rPr>
        <w:t>一是</w:t>
      </w:r>
      <w:r>
        <w:rPr>
          <w:rFonts w:hint="eastAsia" w:ascii="Times New Roman" w:hAnsi="Times New Roman" w:cs="Times New Roman"/>
          <w:b w:val="0"/>
          <w:lang w:val="en-US" w:eastAsia="uk-UA"/>
        </w:rPr>
        <w:t>持续提升我市网络安全监管能力。</w:t>
      </w:r>
      <w:r>
        <w:rPr>
          <w:rFonts w:hint="eastAsia" w:ascii="Times New Roman" w:hAnsi="Times New Roman" w:cs="Times New Roman"/>
          <w:b w:val="0"/>
          <w:lang w:val="en-US" w:eastAsia="zh-CN"/>
        </w:rPr>
        <w:t>二是</w:t>
      </w:r>
      <w:r>
        <w:rPr>
          <w:rFonts w:hint="eastAsia" w:ascii="Times New Roman" w:hAnsi="Times New Roman" w:cs="Times New Roman"/>
          <w:b w:val="0"/>
          <w:lang w:val="en-US" w:eastAsia="uk-UA"/>
        </w:rPr>
        <w:t>完成App违法违规收集使用个人信息整治工作。</w:t>
      </w:r>
      <w:r>
        <w:rPr>
          <w:rFonts w:hint="eastAsia" w:ascii="Times New Roman" w:hAnsi="Times New Roman" w:cs="Times New Roman"/>
          <w:b w:val="0"/>
          <w:lang w:val="en-US" w:eastAsia="zh-CN"/>
        </w:rPr>
        <w:t>三是</w:t>
      </w:r>
      <w:r>
        <w:t>对重点网站和信息系统开展渗透测试和流量监测，</w:t>
      </w:r>
      <w:r>
        <w:rPr>
          <w:rFonts w:hint="eastAsia"/>
          <w:lang w:eastAsia="zh-CN"/>
        </w:rPr>
        <w:t>防范</w:t>
      </w:r>
      <w:r>
        <w:t>网络安全风险，增强防护能力</w:t>
      </w:r>
      <w:r>
        <w:rPr>
          <w:rFonts w:hint="eastAsia"/>
          <w:lang w:eastAsia="zh-CN"/>
        </w:rPr>
        <w:t>。</w:t>
      </w:r>
    </w:p>
    <w:p>
      <w:pPr>
        <w:pStyle w:val="23"/>
        <w:keepNext w:val="0"/>
        <w:keepLines w:val="0"/>
        <w:pageBreakBefore w:val="0"/>
        <w:widowControl w:val="0"/>
        <w:kinsoku/>
        <w:wordWrap/>
        <w:overflowPunct/>
        <w:topLinePunct w:val="0"/>
        <w:autoSpaceDE/>
        <w:autoSpaceDN/>
        <w:bidi w:val="0"/>
        <w:adjustRightInd/>
        <w:snapToGrid/>
        <w:spacing w:before="0" w:after="0" w:line="600" w:lineRule="exact"/>
        <w:ind w:firstLine="560" w:firstLineChars="200"/>
        <w:jc w:val="both"/>
        <w:textAlignment w:val="auto"/>
      </w:pPr>
      <w:r>
        <w:rPr>
          <w:rFonts w:hint="eastAsia"/>
        </w:rPr>
        <w:t>绩效指标：</w:t>
      </w:r>
      <w:r>
        <w:t>开展网络安全应急演练，提升各单位网络安全应急能力和水平</w:t>
      </w:r>
      <w:r>
        <w:rPr>
          <w:rFonts w:hint="eastAsia"/>
          <w:lang w:eastAsia="zh-CN"/>
        </w:rPr>
        <w:t>；</w:t>
      </w:r>
      <w:r>
        <w:t>选取全市重点单位开展网络安全检查，通过检查集中发现一批网络安全风险问题，及时整改。</w:t>
      </w:r>
      <w:r>
        <w:rPr>
          <w:rFonts w:hint="eastAsia"/>
          <w:lang w:eastAsia="zh-CN"/>
        </w:rPr>
        <w:t>开展网络安全渗透测试，及时</w:t>
      </w:r>
      <w:r>
        <w:rPr>
          <w:rFonts w:hint="eastAsia"/>
        </w:rPr>
        <w:t>发现被渗透单位网络安全风险，修复安全漏洞。</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keepNext w:val="0"/>
        <w:keepLines w:val="0"/>
        <w:pageBreakBefore w:val="0"/>
        <w:widowControl w:val="0"/>
        <w:kinsoku/>
        <w:wordWrap/>
        <w:overflowPunct/>
        <w:topLinePunct w:val="0"/>
        <w:autoSpaceDE/>
        <w:autoSpaceDN/>
        <w:bidi w:val="0"/>
        <w:adjustRightInd/>
        <w:snapToGrid/>
        <w:spacing w:before="0" w:after="0" w:line="600" w:lineRule="exact"/>
        <w:ind w:firstLine="560" w:firstLineChars="200"/>
        <w:jc w:val="both"/>
        <w:textAlignment w:val="auto"/>
      </w:pPr>
      <w:r>
        <w:t>1.完善制度建设。制定完善预算绩效管理制度、搭建绩效管理运行体系，按照本部门制定的财务制度，确保资金支出有序进行，为全年预算绩效目标的实现奠定制度基础。</w:t>
      </w:r>
    </w:p>
    <w:p>
      <w:pPr>
        <w:pStyle w:val="24"/>
        <w:keepNext w:val="0"/>
        <w:keepLines w:val="0"/>
        <w:pageBreakBefore w:val="0"/>
        <w:widowControl w:val="0"/>
        <w:kinsoku/>
        <w:wordWrap/>
        <w:overflowPunct/>
        <w:topLinePunct w:val="0"/>
        <w:autoSpaceDE/>
        <w:autoSpaceDN/>
        <w:bidi w:val="0"/>
        <w:adjustRightInd/>
        <w:snapToGrid/>
        <w:spacing w:before="0" w:after="0" w:line="600" w:lineRule="exact"/>
        <w:ind w:firstLine="560" w:firstLineChars="200"/>
        <w:jc w:val="both"/>
        <w:textAlignment w:val="auto"/>
      </w:pPr>
      <w:r>
        <w:t>2.加强预算绩效管理。年初统筹规划，编实编细项目预算。开展绩效运行监控，加强对重点、难点绩效指标的运行监控，及时梳理分析执行中存在问题，采取有效措施，保障绩效目标如期顺利完成。</w:t>
      </w:r>
    </w:p>
    <w:p>
      <w:pPr>
        <w:pStyle w:val="24"/>
        <w:keepNext w:val="0"/>
        <w:keepLines w:val="0"/>
        <w:pageBreakBefore w:val="0"/>
        <w:widowControl w:val="0"/>
        <w:kinsoku/>
        <w:wordWrap/>
        <w:overflowPunct/>
        <w:topLinePunct w:val="0"/>
        <w:autoSpaceDE/>
        <w:autoSpaceDN/>
        <w:bidi w:val="0"/>
        <w:adjustRightInd/>
        <w:snapToGrid/>
        <w:spacing w:before="0" w:after="0" w:line="600" w:lineRule="exact"/>
        <w:ind w:firstLine="560" w:firstLineChars="200"/>
        <w:jc w:val="both"/>
        <w:textAlignment w:val="auto"/>
      </w:pPr>
      <w:r>
        <w:t>3.做好绩效自评工作。积极开展年度部门预算绩效自评工作，对自评中发现的问题及时有效整改，不断调整优化支出结构，提高财政资金使用效益。</w:t>
      </w:r>
    </w:p>
    <w:p>
      <w:pPr>
        <w:pStyle w:val="24"/>
        <w:sectPr>
          <w:pgSz w:w="16840" w:h="11900" w:orient="landscape"/>
          <w:pgMar w:top="1361" w:right="1020" w:bottom="1361" w:left="1020" w:header="720" w:footer="720" w:gutter="0"/>
          <w:cols w:space="720" w:num="1"/>
        </w:sectPr>
      </w:pPr>
    </w:p>
    <w:p>
      <w:pPr>
        <w:numPr>
          <w:ilvl w:val="0"/>
          <w:numId w:val="1"/>
        </w:numPr>
        <w:spacing w:before="10" w:after="10" w:line="360" w:lineRule="auto"/>
        <w:ind w:firstLine="640"/>
        <w:jc w:val="left"/>
        <w:outlineLvl w:val="2"/>
        <w:rPr>
          <w:rFonts w:hint="eastAsia" w:ascii="黑体" w:hAnsi="黑体" w:eastAsia="黑体" w:cs="黑体"/>
          <w:color w:val="000000"/>
          <w:sz w:val="32"/>
          <w:lang w:eastAsia="zh-CN"/>
        </w:rPr>
      </w:pPr>
      <w:bookmarkStart w:id="14" w:name="_Toc_3_3_0000000015"/>
      <w:r>
        <w:rPr>
          <w:rFonts w:ascii="黑体" w:hAnsi="黑体" w:eastAsia="黑体" w:cs="黑体"/>
          <w:color w:val="000000"/>
          <w:sz w:val="32"/>
        </w:rPr>
        <w:t>部门主管专项资金预算安排情况及绩效目标</w:t>
      </w:r>
      <w:bookmarkEnd w:id="14"/>
    </w:p>
    <w:p>
      <w:pPr>
        <w:numPr>
          <w:ilvl w:val="0"/>
          <w:numId w:val="0"/>
        </w:numPr>
        <w:spacing w:before="10" w:after="10" w:line="360" w:lineRule="auto"/>
        <w:ind w:firstLine="1120" w:firstLineChars="400"/>
        <w:jc w:val="left"/>
        <w:outlineLvl w:val="2"/>
        <w:rPr>
          <w:rFonts w:hint="default"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本部门2026年无专项资金预算。</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1、办公设备购置绩效目标表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13010026P009712106062</w:t>
            </w:r>
          </w:p>
        </w:tc>
        <w:tc>
          <w:tcPr>
            <w:tcW w:w="2835" w:type="dxa"/>
            <w:vAlign w:val="center"/>
          </w:tcPr>
          <w:p>
            <w:pPr>
              <w:pStyle w:val="11"/>
            </w:pPr>
            <w:r>
              <w:t>项目名称</w:t>
            </w:r>
          </w:p>
        </w:tc>
        <w:tc>
          <w:tcPr>
            <w:tcW w:w="6095" w:type="dxa"/>
            <w:gridSpan w:val="3"/>
            <w:vAlign w:val="center"/>
          </w:tcPr>
          <w:p>
            <w:pPr>
              <w:pStyle w:val="13"/>
            </w:pPr>
            <w:r>
              <w:t>办公设备购置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2.90</w:t>
            </w:r>
          </w:p>
        </w:tc>
        <w:tc>
          <w:tcPr>
            <w:tcW w:w="2835" w:type="dxa"/>
            <w:vAlign w:val="center"/>
          </w:tcPr>
          <w:p>
            <w:pPr>
              <w:pStyle w:val="11"/>
            </w:pPr>
            <w:r>
              <w:t>其中：财政    资金</w:t>
            </w:r>
          </w:p>
        </w:tc>
        <w:tc>
          <w:tcPr>
            <w:tcW w:w="2551" w:type="dxa"/>
            <w:vAlign w:val="center"/>
          </w:tcPr>
          <w:p>
            <w:pPr>
              <w:pStyle w:val="13"/>
            </w:pPr>
            <w:r>
              <w:t>2.90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用于办公设备购置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完成一体机、碎纸机采购。</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购置数量</w:t>
            </w:r>
          </w:p>
        </w:tc>
        <w:tc>
          <w:tcPr>
            <w:tcW w:w="5386" w:type="dxa"/>
            <w:vAlign w:val="center"/>
          </w:tcPr>
          <w:p>
            <w:pPr>
              <w:pStyle w:val="13"/>
            </w:pPr>
            <w:r>
              <w:t>购置办公设备数量</w:t>
            </w:r>
          </w:p>
        </w:tc>
        <w:tc>
          <w:tcPr>
            <w:tcW w:w="2268" w:type="dxa"/>
            <w:vAlign w:val="center"/>
          </w:tcPr>
          <w:p>
            <w:pPr>
              <w:pStyle w:val="13"/>
            </w:pPr>
            <w:r>
              <w:t>10台</w:t>
            </w:r>
          </w:p>
        </w:tc>
        <w:tc>
          <w:tcPr>
            <w:tcW w:w="1276" w:type="dxa"/>
            <w:vAlign w:val="center"/>
          </w:tcPr>
          <w:p>
            <w:pPr>
              <w:pStyle w:val="13"/>
            </w:pPr>
            <w:r>
              <w:t>资产配置标准及实际使用情况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合格率</w:t>
            </w:r>
          </w:p>
        </w:tc>
        <w:tc>
          <w:tcPr>
            <w:tcW w:w="5386" w:type="dxa"/>
            <w:vAlign w:val="center"/>
          </w:tcPr>
          <w:p>
            <w:pPr>
              <w:pStyle w:val="13"/>
            </w:pPr>
            <w:r>
              <w:t>设备合格率</w:t>
            </w:r>
          </w:p>
        </w:tc>
        <w:tc>
          <w:tcPr>
            <w:tcW w:w="2268" w:type="dxa"/>
            <w:vAlign w:val="center"/>
          </w:tcPr>
          <w:p>
            <w:pPr>
              <w:pStyle w:val="13"/>
            </w:pPr>
            <w:r>
              <w:t>≥100%</w:t>
            </w:r>
          </w:p>
        </w:tc>
        <w:tc>
          <w:tcPr>
            <w:tcW w:w="1276" w:type="dxa"/>
            <w:vAlign w:val="center"/>
          </w:tcPr>
          <w:p>
            <w:pPr>
              <w:pStyle w:val="13"/>
            </w:pPr>
            <w:r>
              <w:t>资产配置标准及实际使用情况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及时性</w:t>
            </w:r>
          </w:p>
        </w:tc>
        <w:tc>
          <w:tcPr>
            <w:tcW w:w="5386" w:type="dxa"/>
            <w:vAlign w:val="center"/>
          </w:tcPr>
          <w:p>
            <w:pPr>
              <w:pStyle w:val="13"/>
            </w:pPr>
            <w:r>
              <w:t>购置时限</w:t>
            </w:r>
          </w:p>
        </w:tc>
        <w:tc>
          <w:tcPr>
            <w:tcW w:w="2268" w:type="dxa"/>
            <w:vAlign w:val="center"/>
          </w:tcPr>
          <w:p>
            <w:pPr>
              <w:pStyle w:val="13"/>
            </w:pPr>
            <w:r>
              <w:t>12月底前完成</w:t>
            </w:r>
          </w:p>
        </w:tc>
        <w:tc>
          <w:tcPr>
            <w:tcW w:w="1276" w:type="dxa"/>
            <w:vAlign w:val="center"/>
          </w:tcPr>
          <w:p>
            <w:pPr>
              <w:pStyle w:val="13"/>
            </w:pPr>
            <w:r>
              <w:t>资产配置标准及实际使用情况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w:t>
            </w:r>
          </w:p>
        </w:tc>
        <w:tc>
          <w:tcPr>
            <w:tcW w:w="5386" w:type="dxa"/>
            <w:vAlign w:val="center"/>
          </w:tcPr>
          <w:p>
            <w:pPr>
              <w:pStyle w:val="13"/>
            </w:pPr>
            <w:r>
              <w:t>预算控制</w:t>
            </w:r>
          </w:p>
        </w:tc>
        <w:tc>
          <w:tcPr>
            <w:tcW w:w="2268" w:type="dxa"/>
            <w:vAlign w:val="center"/>
          </w:tcPr>
          <w:p>
            <w:pPr>
              <w:pStyle w:val="13"/>
            </w:pPr>
            <w:r>
              <w:t>按照框架协议价款进行采购</w:t>
            </w:r>
          </w:p>
        </w:tc>
        <w:tc>
          <w:tcPr>
            <w:tcW w:w="1276" w:type="dxa"/>
            <w:vAlign w:val="center"/>
          </w:tcPr>
          <w:p>
            <w:pPr>
              <w:pStyle w:val="13"/>
            </w:pPr>
            <w:r>
              <w:t>资产配置标准、实际使用情况、预算文本等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保障业务工作有序开展</w:t>
            </w:r>
          </w:p>
        </w:tc>
        <w:tc>
          <w:tcPr>
            <w:tcW w:w="5386" w:type="dxa"/>
            <w:vAlign w:val="center"/>
          </w:tcPr>
          <w:p>
            <w:pPr>
              <w:pStyle w:val="13"/>
            </w:pPr>
            <w:r>
              <w:t>保障业务工作有序开展</w:t>
            </w:r>
          </w:p>
        </w:tc>
        <w:tc>
          <w:tcPr>
            <w:tcW w:w="2268" w:type="dxa"/>
            <w:vAlign w:val="center"/>
          </w:tcPr>
          <w:p>
            <w:pPr>
              <w:pStyle w:val="13"/>
            </w:pPr>
            <w:r>
              <w:t>保障业务工作有序开展</w:t>
            </w:r>
          </w:p>
        </w:tc>
        <w:tc>
          <w:tcPr>
            <w:tcW w:w="1276" w:type="dxa"/>
            <w:vAlign w:val="center"/>
          </w:tcPr>
          <w:p>
            <w:pPr>
              <w:pStyle w:val="13"/>
            </w:pPr>
            <w:r>
              <w:t>资产配置标准及实际使用情况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使用对象满意度</w:t>
            </w:r>
          </w:p>
        </w:tc>
        <w:tc>
          <w:tcPr>
            <w:tcW w:w="5386" w:type="dxa"/>
            <w:vAlign w:val="center"/>
          </w:tcPr>
          <w:p>
            <w:pPr>
              <w:pStyle w:val="13"/>
            </w:pPr>
            <w:r>
              <w:t>使用对象满意度</w:t>
            </w:r>
          </w:p>
        </w:tc>
        <w:tc>
          <w:tcPr>
            <w:tcW w:w="2268" w:type="dxa"/>
            <w:vAlign w:val="center"/>
          </w:tcPr>
          <w:p>
            <w:pPr>
              <w:pStyle w:val="13"/>
            </w:pPr>
            <w:r>
              <w:t>≥90%</w:t>
            </w:r>
          </w:p>
        </w:tc>
        <w:tc>
          <w:tcPr>
            <w:tcW w:w="1276" w:type="dxa"/>
            <w:vAlign w:val="center"/>
          </w:tcPr>
          <w:p>
            <w:pPr>
              <w:pStyle w:val="13"/>
            </w:pPr>
            <w:r>
              <w:t>资产配置标准及实际使用情况</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2、党组织活动经费绩效目标表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13010026P009711105810</w:t>
            </w:r>
          </w:p>
        </w:tc>
        <w:tc>
          <w:tcPr>
            <w:tcW w:w="2835" w:type="dxa"/>
            <w:vAlign w:val="center"/>
          </w:tcPr>
          <w:p>
            <w:pPr>
              <w:pStyle w:val="11"/>
            </w:pPr>
            <w:r>
              <w:t>项目名称</w:t>
            </w:r>
          </w:p>
        </w:tc>
        <w:tc>
          <w:tcPr>
            <w:tcW w:w="6095" w:type="dxa"/>
            <w:gridSpan w:val="3"/>
            <w:vAlign w:val="center"/>
          </w:tcPr>
          <w:p>
            <w:pPr>
              <w:pStyle w:val="13"/>
            </w:pPr>
            <w:r>
              <w:t>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w:t>
            </w:r>
          </w:p>
        </w:tc>
        <w:tc>
          <w:tcPr>
            <w:tcW w:w="2835" w:type="dxa"/>
            <w:vAlign w:val="center"/>
          </w:tcPr>
          <w:p>
            <w:pPr>
              <w:pStyle w:val="11"/>
            </w:pPr>
            <w:r>
              <w:t>其中：财政    资金</w:t>
            </w:r>
          </w:p>
        </w:tc>
        <w:tc>
          <w:tcPr>
            <w:tcW w:w="2551" w:type="dxa"/>
            <w:vAlign w:val="center"/>
          </w:tcPr>
          <w:p>
            <w:pPr>
              <w:pStyle w:val="13"/>
            </w:pPr>
            <w:r>
              <w:t>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按照相关要求，开展“三会一课”、主题党日等党组织活动，营造浓厚党建氛围，不断提高党员干部政治素养和理论水平。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组织党组织活动次数</w:t>
            </w:r>
          </w:p>
        </w:tc>
        <w:tc>
          <w:tcPr>
            <w:tcW w:w="5386" w:type="dxa"/>
            <w:vAlign w:val="center"/>
          </w:tcPr>
          <w:p>
            <w:pPr>
              <w:pStyle w:val="13"/>
            </w:pPr>
            <w:r>
              <w:t>组织党组织活动次数</w:t>
            </w:r>
          </w:p>
        </w:tc>
        <w:tc>
          <w:tcPr>
            <w:tcW w:w="2268" w:type="dxa"/>
            <w:vAlign w:val="center"/>
          </w:tcPr>
          <w:p>
            <w:pPr>
              <w:pStyle w:val="13"/>
            </w:pPr>
            <w:r>
              <w:t>≥8次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活动参与率</w:t>
            </w:r>
          </w:p>
        </w:tc>
        <w:tc>
          <w:tcPr>
            <w:tcW w:w="5386" w:type="dxa"/>
            <w:vAlign w:val="center"/>
          </w:tcPr>
          <w:p>
            <w:pPr>
              <w:pStyle w:val="13"/>
            </w:pPr>
            <w:r>
              <w:t>活动参与率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党组织活动开展频次</w:t>
            </w:r>
          </w:p>
        </w:tc>
        <w:tc>
          <w:tcPr>
            <w:tcW w:w="5386" w:type="dxa"/>
            <w:vAlign w:val="center"/>
          </w:tcPr>
          <w:p>
            <w:pPr>
              <w:pStyle w:val="13"/>
            </w:pPr>
            <w:r>
              <w:t>党组织活动开展频次</w:t>
            </w:r>
          </w:p>
        </w:tc>
        <w:tc>
          <w:tcPr>
            <w:tcW w:w="2268" w:type="dxa"/>
            <w:vAlign w:val="center"/>
          </w:tcPr>
          <w:p>
            <w:pPr>
              <w:pStyle w:val="13"/>
            </w:pPr>
            <w:r>
              <w:t>每季度至少开展一次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总成本控制在预算内</w:t>
            </w:r>
          </w:p>
        </w:tc>
        <w:tc>
          <w:tcPr>
            <w:tcW w:w="5386" w:type="dxa"/>
            <w:vAlign w:val="center"/>
          </w:tcPr>
          <w:p>
            <w:pPr>
              <w:pStyle w:val="13"/>
            </w:pPr>
            <w:r>
              <w:t>总成本控制在预算内</w:t>
            </w:r>
          </w:p>
        </w:tc>
        <w:tc>
          <w:tcPr>
            <w:tcW w:w="2268" w:type="dxa"/>
            <w:vAlign w:val="center"/>
          </w:tcPr>
          <w:p>
            <w:pPr>
              <w:pStyle w:val="13"/>
            </w:pPr>
            <w:r>
              <w:t>≤4万元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党员政治觉悟素养</w:t>
            </w:r>
          </w:p>
        </w:tc>
        <w:tc>
          <w:tcPr>
            <w:tcW w:w="5386" w:type="dxa"/>
            <w:vAlign w:val="center"/>
          </w:tcPr>
          <w:p>
            <w:pPr>
              <w:pStyle w:val="13"/>
            </w:pPr>
            <w:r>
              <w:t>党员政治觉悟素养提升情况</w:t>
            </w:r>
          </w:p>
        </w:tc>
        <w:tc>
          <w:tcPr>
            <w:tcW w:w="2268" w:type="dxa"/>
            <w:vAlign w:val="center"/>
          </w:tcPr>
          <w:p>
            <w:pPr>
              <w:pStyle w:val="13"/>
            </w:pPr>
            <w:r>
              <w:t>较上年提升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党员满意度</w:t>
            </w:r>
          </w:p>
        </w:tc>
        <w:tc>
          <w:tcPr>
            <w:tcW w:w="5386" w:type="dxa"/>
            <w:vAlign w:val="center"/>
          </w:tcPr>
          <w:p>
            <w:pPr>
              <w:pStyle w:val="13"/>
            </w:pPr>
            <w:r>
              <w:t>党员对党组织活动的满意度</w:t>
            </w:r>
          </w:p>
        </w:tc>
        <w:tc>
          <w:tcPr>
            <w:tcW w:w="2268" w:type="dxa"/>
            <w:vAlign w:val="center"/>
          </w:tcPr>
          <w:p>
            <w:pPr>
              <w:pStyle w:val="13"/>
            </w:pPr>
            <w:r>
              <w:t>≥95%</w:t>
            </w:r>
          </w:p>
        </w:tc>
        <w:tc>
          <w:tcPr>
            <w:tcW w:w="1276" w:type="dxa"/>
            <w:vAlign w:val="center"/>
          </w:tcPr>
          <w:p>
            <w:pPr>
              <w:pStyle w:val="13"/>
            </w:pPr>
            <w:r>
              <w:t>调查问卷</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3、法律顾问经费绩效目标表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13010026P00924510109E</w:t>
            </w:r>
          </w:p>
        </w:tc>
        <w:tc>
          <w:tcPr>
            <w:tcW w:w="2835" w:type="dxa"/>
            <w:vAlign w:val="center"/>
          </w:tcPr>
          <w:p>
            <w:pPr>
              <w:pStyle w:val="11"/>
            </w:pPr>
            <w:r>
              <w:t>项目名称</w:t>
            </w:r>
          </w:p>
        </w:tc>
        <w:tc>
          <w:tcPr>
            <w:tcW w:w="6095" w:type="dxa"/>
            <w:gridSpan w:val="3"/>
            <w:vAlign w:val="center"/>
          </w:tcPr>
          <w:p>
            <w:pPr>
              <w:pStyle w:val="13"/>
            </w:pPr>
            <w:r>
              <w:t>法律顾问经费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w:t>
            </w:r>
          </w:p>
        </w:tc>
        <w:tc>
          <w:tcPr>
            <w:tcW w:w="2835" w:type="dxa"/>
            <w:vAlign w:val="center"/>
          </w:tcPr>
          <w:p>
            <w:pPr>
              <w:pStyle w:val="11"/>
            </w:pPr>
            <w:r>
              <w:t>其中：财政    资金</w:t>
            </w:r>
          </w:p>
        </w:tc>
        <w:tc>
          <w:tcPr>
            <w:tcW w:w="2551" w:type="dxa"/>
            <w:vAlign w:val="center"/>
          </w:tcPr>
          <w:p>
            <w:pPr>
              <w:pStyle w:val="13"/>
            </w:pPr>
            <w:r>
              <w:t>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用于法律顾问经费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委托专业人员为我办法律顾问并提供相关服务。</w:t>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签订法律顾问服务合同数量</w:t>
            </w:r>
          </w:p>
        </w:tc>
        <w:tc>
          <w:tcPr>
            <w:tcW w:w="5386" w:type="dxa"/>
            <w:vAlign w:val="center"/>
          </w:tcPr>
          <w:p>
            <w:pPr>
              <w:pStyle w:val="13"/>
            </w:pPr>
            <w:r>
              <w:t>签订法律顾问服务合同数量</w:t>
            </w:r>
          </w:p>
        </w:tc>
        <w:tc>
          <w:tcPr>
            <w:tcW w:w="2268" w:type="dxa"/>
            <w:vAlign w:val="center"/>
          </w:tcPr>
          <w:p>
            <w:pPr>
              <w:pStyle w:val="13"/>
            </w:pPr>
            <w:r>
              <w:t>1份</w:t>
            </w:r>
          </w:p>
        </w:tc>
        <w:tc>
          <w:tcPr>
            <w:tcW w:w="1276" w:type="dxa"/>
            <w:vAlign w:val="center"/>
          </w:tcPr>
          <w:p>
            <w:pPr>
              <w:pStyle w:val="13"/>
            </w:pPr>
            <w:r>
              <w:t>合同签订情况</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法律服务完成质量</w:t>
            </w:r>
          </w:p>
        </w:tc>
        <w:tc>
          <w:tcPr>
            <w:tcW w:w="5386" w:type="dxa"/>
            <w:vAlign w:val="center"/>
          </w:tcPr>
          <w:p>
            <w:pPr>
              <w:pStyle w:val="13"/>
            </w:pPr>
            <w:r>
              <w:t>法律服务完成质量</w:t>
            </w:r>
          </w:p>
        </w:tc>
        <w:tc>
          <w:tcPr>
            <w:tcW w:w="2268" w:type="dxa"/>
            <w:vAlign w:val="center"/>
          </w:tcPr>
          <w:p>
            <w:pPr>
              <w:pStyle w:val="13"/>
            </w:pPr>
            <w:r>
              <w:t>按合同要求完成法律相关服务</w:t>
            </w:r>
          </w:p>
        </w:tc>
        <w:tc>
          <w:tcPr>
            <w:tcW w:w="1276" w:type="dxa"/>
            <w:vAlign w:val="center"/>
          </w:tcPr>
          <w:p>
            <w:pPr>
              <w:pStyle w:val="13"/>
            </w:pPr>
            <w:r>
              <w:t>合同执行情况</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法律服务时间</w:t>
            </w:r>
          </w:p>
        </w:tc>
        <w:tc>
          <w:tcPr>
            <w:tcW w:w="5386" w:type="dxa"/>
            <w:vAlign w:val="center"/>
          </w:tcPr>
          <w:p>
            <w:pPr>
              <w:pStyle w:val="13"/>
            </w:pPr>
            <w:r>
              <w:t>法律服务时间</w:t>
            </w:r>
          </w:p>
        </w:tc>
        <w:tc>
          <w:tcPr>
            <w:tcW w:w="2268" w:type="dxa"/>
            <w:vAlign w:val="center"/>
          </w:tcPr>
          <w:p>
            <w:pPr>
              <w:pStyle w:val="13"/>
            </w:pPr>
            <w:r>
              <w:t>≤1年</w:t>
            </w:r>
          </w:p>
        </w:tc>
        <w:tc>
          <w:tcPr>
            <w:tcW w:w="1276" w:type="dxa"/>
            <w:vAlign w:val="center"/>
          </w:tcPr>
          <w:p>
            <w:pPr>
              <w:pStyle w:val="13"/>
            </w:pPr>
            <w:r>
              <w:t>合同执行情况</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5386" w:type="dxa"/>
            <w:vAlign w:val="center"/>
          </w:tcPr>
          <w:p>
            <w:pPr>
              <w:pStyle w:val="13"/>
            </w:pPr>
            <w:r>
              <w:t>成本控制在预算内</w:t>
            </w:r>
          </w:p>
        </w:tc>
        <w:tc>
          <w:tcPr>
            <w:tcW w:w="2268" w:type="dxa"/>
            <w:vAlign w:val="center"/>
          </w:tcPr>
          <w:p>
            <w:pPr>
              <w:pStyle w:val="13"/>
            </w:pPr>
            <w:r>
              <w:t>≤6万元</w:t>
            </w:r>
          </w:p>
        </w:tc>
        <w:tc>
          <w:tcPr>
            <w:tcW w:w="1276" w:type="dxa"/>
            <w:vAlign w:val="center"/>
          </w:tcPr>
          <w:p>
            <w:pPr>
              <w:pStyle w:val="13"/>
            </w:pPr>
            <w:r>
              <w:t>合同款项支付情况</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提供法律咨询数量（件）</w:t>
            </w:r>
          </w:p>
        </w:tc>
        <w:tc>
          <w:tcPr>
            <w:tcW w:w="5386" w:type="dxa"/>
            <w:vAlign w:val="center"/>
          </w:tcPr>
          <w:p>
            <w:pPr>
              <w:pStyle w:val="13"/>
            </w:pPr>
            <w:r>
              <w:t>提供法律咨询数量（件）</w:t>
            </w:r>
          </w:p>
        </w:tc>
        <w:tc>
          <w:tcPr>
            <w:tcW w:w="2268" w:type="dxa"/>
            <w:vAlign w:val="center"/>
          </w:tcPr>
          <w:p>
            <w:pPr>
              <w:pStyle w:val="13"/>
            </w:pPr>
            <w:r>
              <w:t>按照合同要求提供法律咨询数量</w:t>
            </w:r>
          </w:p>
        </w:tc>
        <w:tc>
          <w:tcPr>
            <w:tcW w:w="1276" w:type="dxa"/>
            <w:vAlign w:val="center"/>
          </w:tcPr>
          <w:p>
            <w:pPr>
              <w:pStyle w:val="13"/>
            </w:pPr>
            <w:r>
              <w:t>合同签订及执行情况</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单位内部使用者满意度</w:t>
            </w:r>
          </w:p>
        </w:tc>
        <w:tc>
          <w:tcPr>
            <w:tcW w:w="5386" w:type="dxa"/>
            <w:vAlign w:val="center"/>
          </w:tcPr>
          <w:p>
            <w:pPr>
              <w:pStyle w:val="13"/>
            </w:pPr>
            <w:r>
              <w:t>单位内部使用者满意度</w:t>
            </w:r>
          </w:p>
        </w:tc>
        <w:tc>
          <w:tcPr>
            <w:tcW w:w="2268" w:type="dxa"/>
            <w:vAlign w:val="center"/>
          </w:tcPr>
          <w:p>
            <w:pPr>
              <w:pStyle w:val="13"/>
            </w:pPr>
            <w:r>
              <w:t>≥90%</w:t>
            </w:r>
          </w:p>
        </w:tc>
        <w:tc>
          <w:tcPr>
            <w:tcW w:w="1276" w:type="dxa"/>
            <w:vAlign w:val="center"/>
          </w:tcPr>
          <w:p>
            <w:pPr>
              <w:pStyle w:val="13"/>
            </w:pPr>
            <w:r>
              <w:t>调查问卷</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4、工作场地租赁费绩效目标表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13010026P00912010122A</w:t>
            </w:r>
          </w:p>
        </w:tc>
        <w:tc>
          <w:tcPr>
            <w:tcW w:w="2835" w:type="dxa"/>
            <w:vAlign w:val="center"/>
          </w:tcPr>
          <w:p>
            <w:pPr>
              <w:pStyle w:val="11"/>
            </w:pPr>
            <w:r>
              <w:t>项目名称</w:t>
            </w:r>
          </w:p>
        </w:tc>
        <w:tc>
          <w:tcPr>
            <w:tcW w:w="6095" w:type="dxa"/>
            <w:gridSpan w:val="3"/>
            <w:vAlign w:val="center"/>
          </w:tcPr>
          <w:p>
            <w:pPr>
              <w:pStyle w:val="13"/>
            </w:pPr>
            <w:r>
              <w:t>工作场地租赁费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73.50</w:t>
            </w:r>
          </w:p>
        </w:tc>
        <w:tc>
          <w:tcPr>
            <w:tcW w:w="2835" w:type="dxa"/>
            <w:vAlign w:val="center"/>
          </w:tcPr>
          <w:p>
            <w:pPr>
              <w:pStyle w:val="11"/>
            </w:pPr>
            <w:r>
              <w:t>其中：财政    资金</w:t>
            </w:r>
          </w:p>
        </w:tc>
        <w:tc>
          <w:tcPr>
            <w:tcW w:w="2551" w:type="dxa"/>
            <w:vAlign w:val="center"/>
          </w:tcPr>
          <w:p>
            <w:pPr>
              <w:pStyle w:val="13"/>
            </w:pPr>
            <w:r>
              <w:t>73.50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用于工作场地租赁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用于我办场地租赁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租用房屋面积</w:t>
            </w:r>
          </w:p>
        </w:tc>
        <w:tc>
          <w:tcPr>
            <w:tcW w:w="5386" w:type="dxa"/>
            <w:vAlign w:val="center"/>
          </w:tcPr>
          <w:p>
            <w:pPr>
              <w:pStyle w:val="13"/>
            </w:pPr>
            <w:r>
              <w:t>符合批复的租用房屋面积</w:t>
            </w:r>
          </w:p>
        </w:tc>
        <w:tc>
          <w:tcPr>
            <w:tcW w:w="2268" w:type="dxa"/>
            <w:vAlign w:val="center"/>
          </w:tcPr>
          <w:p>
            <w:pPr>
              <w:pStyle w:val="13"/>
            </w:pPr>
            <w:r>
              <w:t>≤1531平方米</w:t>
            </w:r>
          </w:p>
        </w:tc>
        <w:tc>
          <w:tcPr>
            <w:tcW w:w="1276" w:type="dxa"/>
            <w:vAlign w:val="center"/>
          </w:tcPr>
          <w:p>
            <w:pPr>
              <w:pStyle w:val="13"/>
            </w:pPr>
            <w:r>
              <w:t>房屋租赁批复及租赁合同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办公场地服务能力</w:t>
            </w:r>
          </w:p>
        </w:tc>
        <w:tc>
          <w:tcPr>
            <w:tcW w:w="5386" w:type="dxa"/>
            <w:vAlign w:val="center"/>
          </w:tcPr>
          <w:p>
            <w:pPr>
              <w:pStyle w:val="13"/>
            </w:pPr>
            <w:r>
              <w:t>办公场地服务能力</w:t>
            </w:r>
          </w:p>
        </w:tc>
        <w:tc>
          <w:tcPr>
            <w:tcW w:w="2268" w:type="dxa"/>
            <w:vAlign w:val="center"/>
          </w:tcPr>
          <w:p>
            <w:pPr>
              <w:pStyle w:val="13"/>
            </w:pPr>
            <w:r>
              <w:t>按照合同约定提供服务。</w:t>
            </w:r>
          </w:p>
        </w:tc>
        <w:tc>
          <w:tcPr>
            <w:tcW w:w="1276" w:type="dxa"/>
            <w:vAlign w:val="center"/>
          </w:tcPr>
          <w:p>
            <w:pPr>
              <w:pStyle w:val="13"/>
            </w:pPr>
            <w:r>
              <w:t>房租合同</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按时拨付房租</w:t>
            </w:r>
          </w:p>
        </w:tc>
        <w:tc>
          <w:tcPr>
            <w:tcW w:w="5386" w:type="dxa"/>
            <w:vAlign w:val="center"/>
          </w:tcPr>
          <w:p>
            <w:pPr>
              <w:pStyle w:val="13"/>
            </w:pPr>
            <w:r>
              <w:t>按照合同约定按时拨付房租</w:t>
            </w:r>
          </w:p>
        </w:tc>
        <w:tc>
          <w:tcPr>
            <w:tcW w:w="2268" w:type="dxa"/>
            <w:vAlign w:val="center"/>
          </w:tcPr>
          <w:p>
            <w:pPr>
              <w:pStyle w:val="13"/>
            </w:pPr>
            <w:r>
              <w:t>按照合同约定按时拨付房租</w:t>
            </w:r>
          </w:p>
        </w:tc>
        <w:tc>
          <w:tcPr>
            <w:tcW w:w="1276" w:type="dxa"/>
            <w:vAlign w:val="center"/>
          </w:tcPr>
          <w:p>
            <w:pPr>
              <w:pStyle w:val="13"/>
            </w:pPr>
            <w:r>
              <w:t>房租合同</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租用成本控制</w:t>
            </w:r>
          </w:p>
        </w:tc>
        <w:tc>
          <w:tcPr>
            <w:tcW w:w="5386" w:type="dxa"/>
            <w:vAlign w:val="center"/>
          </w:tcPr>
          <w:p>
            <w:pPr>
              <w:pStyle w:val="13"/>
            </w:pPr>
            <w:r>
              <w:t>租用成本控制在预算内</w:t>
            </w:r>
          </w:p>
        </w:tc>
        <w:tc>
          <w:tcPr>
            <w:tcW w:w="2268" w:type="dxa"/>
            <w:vAlign w:val="center"/>
          </w:tcPr>
          <w:p>
            <w:pPr>
              <w:pStyle w:val="13"/>
            </w:pPr>
            <w:r>
              <w:t>≤73.5万元</w:t>
            </w:r>
          </w:p>
        </w:tc>
        <w:tc>
          <w:tcPr>
            <w:tcW w:w="1276" w:type="dxa"/>
            <w:vAlign w:val="center"/>
          </w:tcPr>
          <w:p>
            <w:pPr>
              <w:pStyle w:val="13"/>
            </w:pPr>
            <w:r>
              <w:t>房租合同</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持续使用年限</w:t>
            </w:r>
          </w:p>
        </w:tc>
        <w:tc>
          <w:tcPr>
            <w:tcW w:w="5386" w:type="dxa"/>
            <w:vAlign w:val="center"/>
          </w:tcPr>
          <w:p>
            <w:pPr>
              <w:pStyle w:val="13"/>
            </w:pPr>
            <w:r>
              <w:t>按照合同约定使用业务用房时间</w:t>
            </w:r>
          </w:p>
        </w:tc>
        <w:tc>
          <w:tcPr>
            <w:tcW w:w="2268" w:type="dxa"/>
            <w:vAlign w:val="center"/>
          </w:tcPr>
          <w:p>
            <w:pPr>
              <w:pStyle w:val="13"/>
            </w:pPr>
            <w:r>
              <w:t>按照合同约定执行</w:t>
            </w:r>
          </w:p>
        </w:tc>
        <w:tc>
          <w:tcPr>
            <w:tcW w:w="1276" w:type="dxa"/>
            <w:vAlign w:val="center"/>
          </w:tcPr>
          <w:p>
            <w:pPr>
              <w:pStyle w:val="13"/>
            </w:pPr>
            <w:r>
              <w:t>房租合同</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对租用办公场地满意率</w:t>
            </w:r>
          </w:p>
        </w:tc>
        <w:tc>
          <w:tcPr>
            <w:tcW w:w="5386" w:type="dxa"/>
            <w:vAlign w:val="center"/>
          </w:tcPr>
          <w:p>
            <w:pPr>
              <w:pStyle w:val="13"/>
            </w:pPr>
            <w:r>
              <w:t>对租用办公场地满意率</w:t>
            </w:r>
          </w:p>
        </w:tc>
        <w:tc>
          <w:tcPr>
            <w:tcW w:w="2268" w:type="dxa"/>
            <w:vAlign w:val="center"/>
          </w:tcPr>
          <w:p>
            <w:pPr>
              <w:pStyle w:val="13"/>
            </w:pPr>
            <w:r>
              <w:t>≥90%</w:t>
            </w:r>
          </w:p>
        </w:tc>
        <w:tc>
          <w:tcPr>
            <w:tcW w:w="1276" w:type="dxa"/>
            <w:vAlign w:val="center"/>
          </w:tcPr>
          <w:p>
            <w:pPr>
              <w:pStyle w:val="13"/>
            </w:pPr>
            <w:r>
              <w:t>实际使用情况</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5、物业管理费绩效目标表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13010026P00641210390C</w:t>
            </w:r>
          </w:p>
        </w:tc>
        <w:tc>
          <w:tcPr>
            <w:tcW w:w="2835" w:type="dxa"/>
            <w:vAlign w:val="center"/>
          </w:tcPr>
          <w:p>
            <w:pPr>
              <w:pStyle w:val="11"/>
            </w:pPr>
            <w:r>
              <w:t>项目名称</w:t>
            </w:r>
          </w:p>
        </w:tc>
        <w:tc>
          <w:tcPr>
            <w:tcW w:w="6095" w:type="dxa"/>
            <w:gridSpan w:val="3"/>
            <w:vAlign w:val="center"/>
          </w:tcPr>
          <w:p>
            <w:pPr>
              <w:pStyle w:val="13"/>
            </w:pPr>
            <w:r>
              <w:t>物业管理费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8.30</w:t>
            </w:r>
          </w:p>
        </w:tc>
        <w:tc>
          <w:tcPr>
            <w:tcW w:w="2835" w:type="dxa"/>
            <w:vAlign w:val="center"/>
          </w:tcPr>
          <w:p>
            <w:pPr>
              <w:pStyle w:val="11"/>
            </w:pPr>
            <w:r>
              <w:t>其中：财政    资金</w:t>
            </w:r>
          </w:p>
        </w:tc>
        <w:tc>
          <w:tcPr>
            <w:tcW w:w="2551" w:type="dxa"/>
            <w:vAlign w:val="center"/>
          </w:tcPr>
          <w:p>
            <w:pPr>
              <w:pStyle w:val="13"/>
            </w:pPr>
            <w:r>
              <w:t>8.30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用于租赁工作场地的物业管理服务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购买安保、保洁及日常维护等物业管理服务。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物业服务面积</w:t>
            </w:r>
          </w:p>
        </w:tc>
        <w:tc>
          <w:tcPr>
            <w:tcW w:w="5386" w:type="dxa"/>
            <w:vAlign w:val="center"/>
          </w:tcPr>
          <w:p>
            <w:pPr>
              <w:pStyle w:val="13"/>
            </w:pPr>
            <w:r>
              <w:t>物业服务面积</w:t>
            </w:r>
          </w:p>
        </w:tc>
        <w:tc>
          <w:tcPr>
            <w:tcW w:w="2268" w:type="dxa"/>
            <w:vAlign w:val="center"/>
          </w:tcPr>
          <w:p>
            <w:pPr>
              <w:pStyle w:val="13"/>
            </w:pPr>
            <w:r>
              <w:t>1531平方米</w:t>
            </w:r>
          </w:p>
        </w:tc>
        <w:tc>
          <w:tcPr>
            <w:tcW w:w="1276" w:type="dxa"/>
            <w:vAlign w:val="center"/>
          </w:tcPr>
          <w:p>
            <w:pPr>
              <w:pStyle w:val="13"/>
            </w:pPr>
            <w:r>
              <w:t>合同签订情况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物业服务人员日常在岗率</w:t>
            </w:r>
          </w:p>
        </w:tc>
        <w:tc>
          <w:tcPr>
            <w:tcW w:w="5386" w:type="dxa"/>
            <w:vAlign w:val="center"/>
          </w:tcPr>
          <w:p>
            <w:pPr>
              <w:pStyle w:val="13"/>
            </w:pPr>
            <w:r>
              <w:t>物业服务人员日常在岗率</w:t>
            </w:r>
          </w:p>
        </w:tc>
        <w:tc>
          <w:tcPr>
            <w:tcW w:w="2268" w:type="dxa"/>
            <w:vAlign w:val="center"/>
          </w:tcPr>
          <w:p>
            <w:pPr>
              <w:pStyle w:val="13"/>
            </w:pPr>
            <w:r>
              <w:t>≥98</w:t>
            </w:r>
            <w:r>
              <w:rPr>
                <w:rFonts w:hint="eastAsia"/>
                <w:lang w:val="en-US" w:eastAsia="zh-CN"/>
              </w:rPr>
              <w:t>%</w:t>
            </w:r>
            <w:r>
              <w:t>合同约定情况</w:t>
            </w:r>
          </w:p>
        </w:tc>
        <w:tc>
          <w:tcPr>
            <w:tcW w:w="1276" w:type="dxa"/>
            <w:vAlign w:val="center"/>
          </w:tcPr>
          <w:p>
            <w:pPr>
              <w:pStyle w:val="13"/>
            </w:pPr>
            <w:r>
              <w:t>合同签订情况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物业费支付及时率</w:t>
            </w:r>
          </w:p>
        </w:tc>
        <w:tc>
          <w:tcPr>
            <w:tcW w:w="5386" w:type="dxa"/>
            <w:vAlign w:val="center"/>
          </w:tcPr>
          <w:p>
            <w:pPr>
              <w:pStyle w:val="13"/>
            </w:pPr>
            <w:r>
              <w:t>物业费支付及时率</w:t>
            </w:r>
          </w:p>
        </w:tc>
        <w:tc>
          <w:tcPr>
            <w:tcW w:w="2268" w:type="dxa"/>
            <w:vAlign w:val="center"/>
          </w:tcPr>
          <w:p>
            <w:pPr>
              <w:pStyle w:val="13"/>
            </w:pPr>
            <w:r>
              <w:t>90%</w:t>
            </w:r>
          </w:p>
        </w:tc>
        <w:tc>
          <w:tcPr>
            <w:tcW w:w="1276" w:type="dxa"/>
            <w:vAlign w:val="center"/>
          </w:tcPr>
          <w:p>
            <w:pPr>
              <w:pStyle w:val="13"/>
            </w:pPr>
            <w:r>
              <w:t>物业费支付情况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项目单项成本控制</w:t>
            </w:r>
          </w:p>
        </w:tc>
        <w:tc>
          <w:tcPr>
            <w:tcW w:w="5386" w:type="dxa"/>
            <w:vAlign w:val="center"/>
          </w:tcPr>
          <w:p>
            <w:pPr>
              <w:pStyle w:val="13"/>
            </w:pPr>
            <w:r>
              <w:t>项目单项成本</w:t>
            </w:r>
          </w:p>
        </w:tc>
        <w:tc>
          <w:tcPr>
            <w:tcW w:w="2268" w:type="dxa"/>
            <w:vAlign w:val="center"/>
          </w:tcPr>
          <w:p>
            <w:pPr>
              <w:pStyle w:val="13"/>
            </w:pPr>
            <w:r>
              <w:t>≤8.3万元</w:t>
            </w:r>
          </w:p>
        </w:tc>
        <w:tc>
          <w:tcPr>
            <w:tcW w:w="1276" w:type="dxa"/>
            <w:vAlign w:val="center"/>
          </w:tcPr>
          <w:p>
            <w:pPr>
              <w:pStyle w:val="13"/>
            </w:pPr>
            <w:r>
              <w:t>合同金额支付情况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物业服务持续时间</w:t>
            </w:r>
          </w:p>
        </w:tc>
        <w:tc>
          <w:tcPr>
            <w:tcW w:w="5386" w:type="dxa"/>
            <w:vAlign w:val="center"/>
          </w:tcPr>
          <w:p>
            <w:pPr>
              <w:pStyle w:val="13"/>
            </w:pPr>
            <w:r>
              <w:t>物业服务持续时间</w:t>
            </w:r>
          </w:p>
        </w:tc>
        <w:tc>
          <w:tcPr>
            <w:tcW w:w="2268" w:type="dxa"/>
            <w:vAlign w:val="center"/>
          </w:tcPr>
          <w:p>
            <w:pPr>
              <w:pStyle w:val="13"/>
            </w:pPr>
            <w:r>
              <w:t>合同约定时间</w:t>
            </w:r>
          </w:p>
        </w:tc>
        <w:tc>
          <w:tcPr>
            <w:tcW w:w="1276" w:type="dxa"/>
            <w:vAlign w:val="center"/>
          </w:tcPr>
          <w:p>
            <w:pPr>
              <w:pStyle w:val="13"/>
            </w:pPr>
            <w:r>
              <w:t>合同签订情况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单位内部使用者满意度</w:t>
            </w:r>
          </w:p>
        </w:tc>
        <w:tc>
          <w:tcPr>
            <w:tcW w:w="5386" w:type="dxa"/>
            <w:vAlign w:val="center"/>
          </w:tcPr>
          <w:p>
            <w:pPr>
              <w:pStyle w:val="13"/>
            </w:pPr>
            <w:r>
              <w:t>单位内部使用者满意度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6、业务培训费绩效目标表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13010026P00007510231D</w:t>
            </w:r>
          </w:p>
        </w:tc>
        <w:tc>
          <w:tcPr>
            <w:tcW w:w="2835" w:type="dxa"/>
            <w:vAlign w:val="center"/>
          </w:tcPr>
          <w:p>
            <w:pPr>
              <w:pStyle w:val="11"/>
            </w:pPr>
            <w:r>
              <w:t>项目名称</w:t>
            </w:r>
          </w:p>
        </w:tc>
        <w:tc>
          <w:tcPr>
            <w:tcW w:w="6095" w:type="dxa"/>
            <w:gridSpan w:val="3"/>
            <w:vAlign w:val="center"/>
          </w:tcPr>
          <w:p>
            <w:pPr>
              <w:pStyle w:val="13"/>
            </w:pPr>
            <w:r>
              <w:t>业务培训费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w:t>
            </w:r>
          </w:p>
        </w:tc>
        <w:tc>
          <w:tcPr>
            <w:tcW w:w="2835" w:type="dxa"/>
            <w:vAlign w:val="center"/>
          </w:tcPr>
          <w:p>
            <w:pPr>
              <w:pStyle w:val="11"/>
            </w:pPr>
            <w:r>
              <w:t>其中：财政    资金</w:t>
            </w:r>
          </w:p>
        </w:tc>
        <w:tc>
          <w:tcPr>
            <w:tcW w:w="2551" w:type="dxa"/>
            <w:vAlign w:val="center"/>
          </w:tcPr>
          <w:p>
            <w:pPr>
              <w:pStyle w:val="13"/>
            </w:pPr>
            <w:r>
              <w:t>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用于业务培训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1.加强业务培训，提升全市网信干部履行岗位职责的能力水平</w:t>
            </w:r>
          </w:p>
          <w:p>
            <w:pPr>
              <w:pStyle w:val="13"/>
            </w:pPr>
            <w:r>
              <w:t>2.强化理论武装，不断提升网信干部政治理论素养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培训班次</w:t>
            </w:r>
          </w:p>
        </w:tc>
        <w:tc>
          <w:tcPr>
            <w:tcW w:w="5386" w:type="dxa"/>
            <w:vAlign w:val="center"/>
          </w:tcPr>
          <w:p>
            <w:pPr>
              <w:pStyle w:val="13"/>
            </w:pPr>
            <w:r>
              <w:t>全年培训班开办次数</w:t>
            </w:r>
          </w:p>
        </w:tc>
        <w:tc>
          <w:tcPr>
            <w:tcW w:w="2268" w:type="dxa"/>
            <w:vAlign w:val="center"/>
          </w:tcPr>
          <w:p>
            <w:pPr>
              <w:pStyle w:val="13"/>
            </w:pPr>
            <w:r>
              <w:t>1次</w:t>
            </w:r>
          </w:p>
        </w:tc>
        <w:tc>
          <w:tcPr>
            <w:tcW w:w="1276" w:type="dxa"/>
            <w:vAlign w:val="center"/>
          </w:tcPr>
          <w:p>
            <w:pPr>
              <w:pStyle w:val="13"/>
            </w:pPr>
            <w: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参会率</w:t>
            </w:r>
          </w:p>
        </w:tc>
        <w:tc>
          <w:tcPr>
            <w:tcW w:w="5386" w:type="dxa"/>
            <w:vAlign w:val="center"/>
          </w:tcPr>
          <w:p>
            <w:pPr>
              <w:pStyle w:val="13"/>
            </w:pPr>
            <w:r>
              <w:t>实际参与人员数量与计划参与人员数量的比例</w:t>
            </w:r>
          </w:p>
        </w:tc>
        <w:tc>
          <w:tcPr>
            <w:tcW w:w="2268" w:type="dxa"/>
            <w:vAlign w:val="center"/>
          </w:tcPr>
          <w:p>
            <w:pPr>
              <w:pStyle w:val="13"/>
            </w:pPr>
            <w:r>
              <w:t>≥100%</w:t>
            </w:r>
          </w:p>
        </w:tc>
        <w:tc>
          <w:tcPr>
            <w:tcW w:w="1276" w:type="dxa"/>
            <w:vAlign w:val="center"/>
          </w:tcPr>
          <w:p>
            <w:pPr>
              <w:pStyle w:val="13"/>
            </w:pPr>
            <w:r>
              <w:t>签到表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培训完成时间</w:t>
            </w:r>
          </w:p>
        </w:tc>
        <w:tc>
          <w:tcPr>
            <w:tcW w:w="5386" w:type="dxa"/>
            <w:vAlign w:val="center"/>
          </w:tcPr>
          <w:p>
            <w:pPr>
              <w:pStyle w:val="13"/>
            </w:pPr>
            <w:r>
              <w:t>2026年12月31前完成</w:t>
            </w:r>
          </w:p>
        </w:tc>
        <w:tc>
          <w:tcPr>
            <w:tcW w:w="2268" w:type="dxa"/>
            <w:vAlign w:val="center"/>
          </w:tcPr>
          <w:p>
            <w:pPr>
              <w:pStyle w:val="13"/>
            </w:pPr>
            <w:r>
              <w:t>2026年12月31前完成</w:t>
            </w:r>
          </w:p>
        </w:tc>
        <w:tc>
          <w:tcPr>
            <w:tcW w:w="1276" w:type="dxa"/>
            <w:vAlign w:val="center"/>
          </w:tcPr>
          <w:p>
            <w:pPr>
              <w:pStyle w:val="13"/>
            </w:pPr>
            <w:r>
              <w:t>2026年培训工作计划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培训总成本</w:t>
            </w:r>
          </w:p>
        </w:tc>
        <w:tc>
          <w:tcPr>
            <w:tcW w:w="5386" w:type="dxa"/>
            <w:vAlign w:val="center"/>
          </w:tcPr>
          <w:p>
            <w:pPr>
              <w:pStyle w:val="13"/>
            </w:pPr>
            <w:r>
              <w:t>用于培训的总成本</w:t>
            </w:r>
          </w:p>
        </w:tc>
        <w:tc>
          <w:tcPr>
            <w:tcW w:w="2268" w:type="dxa"/>
            <w:vAlign w:val="center"/>
          </w:tcPr>
          <w:p>
            <w:pPr>
              <w:pStyle w:val="13"/>
            </w:pPr>
            <w:r>
              <w:t>≤6万元</w:t>
            </w:r>
          </w:p>
        </w:tc>
        <w:tc>
          <w:tcPr>
            <w:tcW w:w="1276" w:type="dxa"/>
            <w:vAlign w:val="center"/>
          </w:tcPr>
          <w:p>
            <w:pPr>
              <w:pStyle w:val="13"/>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rFonts w:hint="eastAsia" w:eastAsia="方正书宋_GBK"/>
                <w:lang w:eastAsia="zh-CN"/>
              </w:rPr>
            </w:pPr>
            <w:r>
              <w:t>提升参训人员网信业务</w:t>
            </w:r>
            <w:r>
              <w:rPr>
                <w:rFonts w:hint="eastAsia"/>
                <w:lang w:eastAsia="zh-CN"/>
              </w:rPr>
              <w:t>水平</w:t>
            </w:r>
          </w:p>
        </w:tc>
        <w:tc>
          <w:tcPr>
            <w:tcW w:w="5386" w:type="dxa"/>
            <w:vAlign w:val="center"/>
          </w:tcPr>
          <w:p>
            <w:pPr>
              <w:pStyle w:val="13"/>
            </w:pPr>
            <w:r>
              <w:t>通过开展全市网信业务能力培训班，提升网信干部履行岗位职责的能力水平</w:t>
            </w:r>
          </w:p>
        </w:tc>
        <w:tc>
          <w:tcPr>
            <w:tcW w:w="2268" w:type="dxa"/>
            <w:vAlign w:val="center"/>
          </w:tcPr>
          <w:p>
            <w:pPr>
              <w:pStyle w:val="13"/>
            </w:pPr>
            <w:r>
              <w:t>通过开展全市网信业务能力培训班，提升网信干部履行岗位职责的能力水平</w:t>
            </w:r>
          </w:p>
        </w:tc>
        <w:tc>
          <w:tcPr>
            <w:tcW w:w="1276" w:type="dxa"/>
            <w:vAlign w:val="center"/>
          </w:tcPr>
          <w:p>
            <w:pPr>
              <w:pStyle w:val="13"/>
            </w:pPr>
            <w:r>
              <w:t>2026年培训工作计划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培训人员满意度</w:t>
            </w:r>
          </w:p>
        </w:tc>
        <w:tc>
          <w:tcPr>
            <w:tcW w:w="5386" w:type="dxa"/>
            <w:vAlign w:val="center"/>
          </w:tcPr>
          <w:p>
            <w:pPr>
              <w:pStyle w:val="13"/>
            </w:pPr>
            <w:r>
              <w:t>培训人员满意度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7、专用设备维护(修)费绩效目标表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13010026P00462010133K</w:t>
            </w:r>
          </w:p>
        </w:tc>
        <w:tc>
          <w:tcPr>
            <w:tcW w:w="2835" w:type="dxa"/>
            <w:vAlign w:val="center"/>
          </w:tcPr>
          <w:p>
            <w:pPr>
              <w:pStyle w:val="11"/>
            </w:pPr>
            <w:r>
              <w:t>项目名称</w:t>
            </w:r>
          </w:p>
        </w:tc>
        <w:tc>
          <w:tcPr>
            <w:tcW w:w="6095" w:type="dxa"/>
            <w:gridSpan w:val="3"/>
            <w:vAlign w:val="center"/>
          </w:tcPr>
          <w:p>
            <w:pPr>
              <w:pStyle w:val="13"/>
            </w:pPr>
            <w:r>
              <w:t>专用设备维护(修)费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7.80</w:t>
            </w:r>
          </w:p>
        </w:tc>
        <w:tc>
          <w:tcPr>
            <w:tcW w:w="2835" w:type="dxa"/>
            <w:vAlign w:val="center"/>
          </w:tcPr>
          <w:p>
            <w:pPr>
              <w:pStyle w:val="11"/>
            </w:pPr>
            <w:r>
              <w:t>其中：财政    资金</w:t>
            </w:r>
          </w:p>
        </w:tc>
        <w:tc>
          <w:tcPr>
            <w:tcW w:w="2551" w:type="dxa"/>
            <w:vAlign w:val="center"/>
          </w:tcPr>
          <w:p>
            <w:pPr>
              <w:pStyle w:val="13"/>
            </w:pPr>
            <w:r>
              <w:t>7.80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用于专用设备维护费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及时对设备进行维护，确保工作正常运转。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设备维护时间</w:t>
            </w:r>
          </w:p>
        </w:tc>
        <w:tc>
          <w:tcPr>
            <w:tcW w:w="5386" w:type="dxa"/>
            <w:vAlign w:val="center"/>
          </w:tcPr>
          <w:p>
            <w:pPr>
              <w:pStyle w:val="13"/>
            </w:pPr>
            <w:r>
              <w:t>设备维护时间</w:t>
            </w:r>
          </w:p>
        </w:tc>
        <w:tc>
          <w:tcPr>
            <w:tcW w:w="2268" w:type="dxa"/>
            <w:vAlign w:val="center"/>
          </w:tcPr>
          <w:p>
            <w:pPr>
              <w:pStyle w:val="13"/>
            </w:pPr>
            <w:r>
              <w:t>1年度</w:t>
            </w:r>
          </w:p>
        </w:tc>
        <w:tc>
          <w:tcPr>
            <w:tcW w:w="1276" w:type="dxa"/>
            <w:vAlign w:val="center"/>
          </w:tcPr>
          <w:p>
            <w:pPr>
              <w:pStyle w:val="13"/>
            </w:pPr>
            <w:r>
              <w:t>设备实际使用情况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维修合格率</w:t>
            </w:r>
          </w:p>
        </w:tc>
        <w:tc>
          <w:tcPr>
            <w:tcW w:w="5386" w:type="dxa"/>
            <w:vAlign w:val="center"/>
          </w:tcPr>
          <w:p>
            <w:pPr>
              <w:pStyle w:val="13"/>
            </w:pPr>
            <w:r>
              <w:t>维修合格率</w:t>
            </w:r>
          </w:p>
        </w:tc>
        <w:tc>
          <w:tcPr>
            <w:tcW w:w="2268" w:type="dxa"/>
            <w:vAlign w:val="center"/>
          </w:tcPr>
          <w:p>
            <w:pPr>
              <w:pStyle w:val="13"/>
            </w:pPr>
            <w:r>
              <w:t>100%</w:t>
            </w:r>
          </w:p>
        </w:tc>
        <w:tc>
          <w:tcPr>
            <w:tcW w:w="1276" w:type="dxa"/>
            <w:vAlign w:val="center"/>
          </w:tcPr>
          <w:p>
            <w:pPr>
              <w:pStyle w:val="13"/>
            </w:pPr>
            <w:r>
              <w:t>实际维修情况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故障维护及时率</w:t>
            </w:r>
          </w:p>
        </w:tc>
        <w:tc>
          <w:tcPr>
            <w:tcW w:w="5386" w:type="dxa"/>
            <w:vAlign w:val="center"/>
          </w:tcPr>
          <w:p>
            <w:pPr>
              <w:pStyle w:val="13"/>
            </w:pPr>
            <w:r>
              <w:t>故障维护及时率</w:t>
            </w:r>
          </w:p>
        </w:tc>
        <w:tc>
          <w:tcPr>
            <w:tcW w:w="2268" w:type="dxa"/>
            <w:vAlign w:val="center"/>
          </w:tcPr>
          <w:p>
            <w:pPr>
              <w:pStyle w:val="13"/>
            </w:pPr>
            <w:r>
              <w:t>≥95%</w:t>
            </w:r>
          </w:p>
        </w:tc>
        <w:tc>
          <w:tcPr>
            <w:tcW w:w="1276" w:type="dxa"/>
            <w:vAlign w:val="center"/>
          </w:tcPr>
          <w:p>
            <w:pPr>
              <w:pStyle w:val="13"/>
            </w:pPr>
            <w:r>
              <w:t>实际维修情况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平均成本控制</w:t>
            </w:r>
          </w:p>
        </w:tc>
        <w:tc>
          <w:tcPr>
            <w:tcW w:w="5386" w:type="dxa"/>
            <w:vAlign w:val="center"/>
          </w:tcPr>
          <w:p>
            <w:pPr>
              <w:pStyle w:val="13"/>
            </w:pPr>
            <w:r>
              <w:t>平均成本控制</w:t>
            </w:r>
          </w:p>
        </w:tc>
        <w:tc>
          <w:tcPr>
            <w:tcW w:w="2268" w:type="dxa"/>
            <w:vAlign w:val="center"/>
          </w:tcPr>
          <w:p>
            <w:pPr>
              <w:pStyle w:val="13"/>
            </w:pPr>
            <w:r>
              <w:t>≤7.8万元</w:t>
            </w:r>
          </w:p>
        </w:tc>
        <w:tc>
          <w:tcPr>
            <w:tcW w:w="1276" w:type="dxa"/>
            <w:vAlign w:val="center"/>
          </w:tcPr>
          <w:p>
            <w:pPr>
              <w:pStyle w:val="13"/>
            </w:pPr>
            <w:r>
              <w:t>合同金额支付情况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业务保障能力提升情况</w:t>
            </w:r>
          </w:p>
        </w:tc>
        <w:tc>
          <w:tcPr>
            <w:tcW w:w="5386" w:type="dxa"/>
            <w:vAlign w:val="center"/>
          </w:tcPr>
          <w:p>
            <w:pPr>
              <w:pStyle w:val="13"/>
            </w:pPr>
            <w:r>
              <w:t>设备运行良好</w:t>
            </w:r>
          </w:p>
        </w:tc>
        <w:tc>
          <w:tcPr>
            <w:tcW w:w="2268" w:type="dxa"/>
            <w:vAlign w:val="center"/>
          </w:tcPr>
          <w:p>
            <w:pPr>
              <w:pStyle w:val="13"/>
            </w:pPr>
            <w:r>
              <w:t>维护后设备运行情况良好，可以正常使用</w:t>
            </w:r>
          </w:p>
          <w:p>
            <w:pPr>
              <w:pStyle w:val="13"/>
            </w:pPr>
          </w:p>
        </w:tc>
        <w:tc>
          <w:tcPr>
            <w:tcW w:w="1276" w:type="dxa"/>
            <w:vAlign w:val="center"/>
          </w:tcPr>
          <w:p>
            <w:pPr>
              <w:pStyle w:val="13"/>
            </w:pPr>
            <w:r>
              <w:t>设备实际使用情况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工作人员满意度</w:t>
            </w:r>
          </w:p>
        </w:tc>
        <w:tc>
          <w:tcPr>
            <w:tcW w:w="5386" w:type="dxa"/>
            <w:vAlign w:val="center"/>
          </w:tcPr>
          <w:p>
            <w:pPr>
              <w:pStyle w:val="13"/>
            </w:pPr>
            <w:r>
              <w:t>工作人员满意度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color w:val="000000"/>
          <w:sz w:val="28"/>
          <w:lang w:val="en-US" w:eastAsia="zh-CN"/>
        </w:rPr>
        <w:t>8</w:t>
      </w:r>
      <w:r>
        <w:rPr>
          <w:rFonts w:ascii="方正仿宋_GBK" w:hAnsi="方正仿宋_GBK" w:eastAsia="方正仿宋_GBK" w:cs="方正仿宋_GBK"/>
          <w:color w:val="000000"/>
          <w:sz w:val="28"/>
        </w:rPr>
        <w:t>、网络基础能力保障专项经费绩效目标表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13010026P00955010006C</w:t>
            </w:r>
          </w:p>
        </w:tc>
        <w:tc>
          <w:tcPr>
            <w:tcW w:w="2835" w:type="dxa"/>
            <w:vAlign w:val="center"/>
          </w:tcPr>
          <w:p>
            <w:pPr>
              <w:pStyle w:val="11"/>
            </w:pPr>
            <w:r>
              <w:t>项目名称</w:t>
            </w:r>
          </w:p>
        </w:tc>
        <w:tc>
          <w:tcPr>
            <w:tcW w:w="6095" w:type="dxa"/>
            <w:gridSpan w:val="3"/>
            <w:vAlign w:val="center"/>
          </w:tcPr>
          <w:p>
            <w:pPr>
              <w:pStyle w:val="13"/>
            </w:pPr>
            <w:r>
              <w:t>网络基础能力保障专项经费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230.00</w:t>
            </w:r>
          </w:p>
        </w:tc>
        <w:tc>
          <w:tcPr>
            <w:tcW w:w="2835" w:type="dxa"/>
            <w:vAlign w:val="center"/>
          </w:tcPr>
          <w:p>
            <w:pPr>
              <w:pStyle w:val="11"/>
            </w:pPr>
            <w:r>
              <w:t>其中：财政    资金</w:t>
            </w:r>
          </w:p>
        </w:tc>
        <w:tc>
          <w:tcPr>
            <w:tcW w:w="2551" w:type="dxa"/>
            <w:vAlign w:val="center"/>
          </w:tcPr>
          <w:p>
            <w:pPr>
              <w:pStyle w:val="13"/>
            </w:pPr>
            <w:r>
              <w:t>230.00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用于网络基础能力保障工作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1.开通互联网宽带专线和视频会议系统，为网信工作开展提供基础保障。</w:t>
            </w:r>
          </w:p>
          <w:p>
            <w:pPr>
              <w:pStyle w:val="13"/>
            </w:pPr>
            <w:r>
              <w:t>2.进一步推进网络生态环境治理工作，营造网上清朗环境。</w:t>
            </w:r>
          </w:p>
          <w:p>
            <w:pPr>
              <w:pStyle w:val="13"/>
            </w:pPr>
            <w:r>
              <w:t>3.深入开展网络普法系列活动，不断提升全市网民网络法治素养，形成遵法守法学法用法的良好氛围。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开通宽带数量</w:t>
            </w:r>
          </w:p>
        </w:tc>
        <w:tc>
          <w:tcPr>
            <w:tcW w:w="5386" w:type="dxa"/>
            <w:vAlign w:val="center"/>
          </w:tcPr>
          <w:p>
            <w:pPr>
              <w:pStyle w:val="13"/>
            </w:pPr>
            <w:r>
              <w:t>开通宽带数量</w:t>
            </w:r>
          </w:p>
        </w:tc>
        <w:tc>
          <w:tcPr>
            <w:tcW w:w="2268" w:type="dxa"/>
            <w:vAlign w:val="center"/>
          </w:tcPr>
          <w:p>
            <w:pPr>
              <w:pStyle w:val="13"/>
            </w:pPr>
            <w:r>
              <w:t>3条</w:t>
            </w:r>
          </w:p>
        </w:tc>
        <w:tc>
          <w:tcPr>
            <w:tcW w:w="1276" w:type="dxa"/>
            <w:vAlign w:val="center"/>
          </w:tcPr>
          <w:p>
            <w:pPr>
              <w:pStyle w:val="13"/>
            </w:pPr>
            <w:r>
              <w:t>工作需要</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三条宽带专线合格率</w:t>
            </w:r>
          </w:p>
        </w:tc>
        <w:tc>
          <w:tcPr>
            <w:tcW w:w="5386" w:type="dxa"/>
            <w:vAlign w:val="center"/>
          </w:tcPr>
          <w:p>
            <w:pPr>
              <w:pStyle w:val="13"/>
            </w:pPr>
            <w:r>
              <w:t>三条宽带专线合格率</w:t>
            </w:r>
          </w:p>
        </w:tc>
        <w:tc>
          <w:tcPr>
            <w:tcW w:w="2268" w:type="dxa"/>
            <w:vAlign w:val="center"/>
          </w:tcPr>
          <w:p>
            <w:pPr>
              <w:pStyle w:val="13"/>
            </w:pPr>
            <w:r>
              <w:t>100%</w:t>
            </w:r>
          </w:p>
        </w:tc>
        <w:tc>
          <w:tcPr>
            <w:tcW w:w="1276" w:type="dxa"/>
            <w:vAlign w:val="center"/>
          </w:tcPr>
          <w:p>
            <w:pPr>
              <w:pStyle w:val="13"/>
            </w:pPr>
            <w:r>
              <w:t>工作需要</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拨款及时率</w:t>
            </w:r>
          </w:p>
        </w:tc>
        <w:tc>
          <w:tcPr>
            <w:tcW w:w="5386" w:type="dxa"/>
            <w:vAlign w:val="center"/>
          </w:tcPr>
          <w:p>
            <w:pPr>
              <w:pStyle w:val="13"/>
            </w:pPr>
            <w:r>
              <w:t>拨款及时率</w:t>
            </w:r>
          </w:p>
        </w:tc>
        <w:tc>
          <w:tcPr>
            <w:tcW w:w="2268" w:type="dxa"/>
            <w:vAlign w:val="center"/>
          </w:tcPr>
          <w:p>
            <w:pPr>
              <w:pStyle w:val="13"/>
            </w:pPr>
            <w:r>
              <w:t>100%</w:t>
            </w:r>
          </w:p>
        </w:tc>
        <w:tc>
          <w:tcPr>
            <w:tcW w:w="1276" w:type="dxa"/>
            <w:vAlign w:val="center"/>
          </w:tcPr>
          <w:p>
            <w:pPr>
              <w:pStyle w:val="13"/>
            </w:pPr>
            <w:r>
              <w:t>合同签订、拨款情况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总成本控制</w:t>
            </w:r>
          </w:p>
        </w:tc>
        <w:tc>
          <w:tcPr>
            <w:tcW w:w="5386" w:type="dxa"/>
            <w:vAlign w:val="center"/>
          </w:tcPr>
          <w:p>
            <w:pPr>
              <w:pStyle w:val="13"/>
            </w:pPr>
            <w:r>
              <w:t>总成本控制</w:t>
            </w:r>
          </w:p>
        </w:tc>
        <w:tc>
          <w:tcPr>
            <w:tcW w:w="2268" w:type="dxa"/>
            <w:vAlign w:val="center"/>
          </w:tcPr>
          <w:p>
            <w:pPr>
              <w:pStyle w:val="13"/>
            </w:pPr>
            <w:r>
              <w:t>≤230万元</w:t>
            </w:r>
          </w:p>
        </w:tc>
        <w:tc>
          <w:tcPr>
            <w:tcW w:w="1276" w:type="dxa"/>
            <w:vAlign w:val="center"/>
          </w:tcPr>
          <w:p>
            <w:pPr>
              <w:pStyle w:val="13"/>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网络生态环境治理效果</w:t>
            </w:r>
          </w:p>
        </w:tc>
        <w:tc>
          <w:tcPr>
            <w:tcW w:w="5386" w:type="dxa"/>
            <w:vAlign w:val="center"/>
          </w:tcPr>
          <w:p>
            <w:pPr>
              <w:pStyle w:val="13"/>
            </w:pPr>
            <w:r>
              <w:t>网络生态环境治理效果</w:t>
            </w:r>
          </w:p>
        </w:tc>
        <w:tc>
          <w:tcPr>
            <w:tcW w:w="2268" w:type="dxa"/>
            <w:vAlign w:val="center"/>
          </w:tcPr>
          <w:p>
            <w:pPr>
              <w:pStyle w:val="13"/>
            </w:pPr>
            <w:r>
              <w:t>持续加强</w:t>
            </w:r>
          </w:p>
        </w:tc>
        <w:tc>
          <w:tcPr>
            <w:tcW w:w="1276" w:type="dxa"/>
            <w:vAlign w:val="center"/>
          </w:tcPr>
          <w:p>
            <w:pPr>
              <w:pStyle w:val="13"/>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宽带使用工作人员满意度</w:t>
            </w:r>
          </w:p>
        </w:tc>
        <w:tc>
          <w:tcPr>
            <w:tcW w:w="5386" w:type="dxa"/>
            <w:vAlign w:val="center"/>
          </w:tcPr>
          <w:p>
            <w:pPr>
              <w:pStyle w:val="13"/>
            </w:pPr>
            <w:r>
              <w:t>宽带使用工作人员满意度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color w:val="000000"/>
          <w:sz w:val="28"/>
          <w:lang w:val="en-US" w:eastAsia="zh-CN"/>
        </w:rPr>
        <w:t>9</w:t>
      </w:r>
      <w:r>
        <w:rPr>
          <w:rFonts w:ascii="方正仿宋_GBK" w:hAnsi="方正仿宋_GBK" w:eastAsia="方正仿宋_GBK" w:cs="方正仿宋_GBK"/>
          <w:color w:val="000000"/>
          <w:sz w:val="28"/>
        </w:rPr>
        <w:t>、网络文明建设专项经费绩效目标表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13010026P009546100040</w:t>
            </w:r>
          </w:p>
        </w:tc>
        <w:tc>
          <w:tcPr>
            <w:tcW w:w="2835" w:type="dxa"/>
            <w:vAlign w:val="center"/>
          </w:tcPr>
          <w:p>
            <w:pPr>
              <w:pStyle w:val="11"/>
            </w:pPr>
            <w:r>
              <w:t>项目名称</w:t>
            </w:r>
          </w:p>
        </w:tc>
        <w:tc>
          <w:tcPr>
            <w:tcW w:w="6095" w:type="dxa"/>
            <w:gridSpan w:val="3"/>
            <w:vAlign w:val="center"/>
          </w:tcPr>
          <w:p>
            <w:pPr>
              <w:pStyle w:val="13"/>
            </w:pPr>
            <w:r>
              <w:t>网络文明建设专项经费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70.00</w:t>
            </w:r>
          </w:p>
        </w:tc>
        <w:tc>
          <w:tcPr>
            <w:tcW w:w="2835" w:type="dxa"/>
            <w:vAlign w:val="center"/>
          </w:tcPr>
          <w:p>
            <w:pPr>
              <w:pStyle w:val="11"/>
            </w:pPr>
            <w:r>
              <w:t>其中：财政    资金</w:t>
            </w:r>
          </w:p>
        </w:tc>
        <w:tc>
          <w:tcPr>
            <w:tcW w:w="2551" w:type="dxa"/>
            <w:vAlign w:val="center"/>
          </w:tcPr>
          <w:p>
            <w:pPr>
              <w:pStyle w:val="13"/>
            </w:pPr>
            <w:r>
              <w:t>70.00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用于网络文明建设工作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1.互联网行业党建稳步推进提升</w:t>
            </w:r>
          </w:p>
          <w:p>
            <w:pPr>
              <w:pStyle w:val="13"/>
            </w:pPr>
            <w:r>
              <w:t>2.组织开展重点网络平台互动宣传、网络文明主题活动、城市更新系列短视频创作宣发等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网络传播产品数量</w:t>
            </w:r>
          </w:p>
        </w:tc>
        <w:tc>
          <w:tcPr>
            <w:tcW w:w="5386" w:type="dxa"/>
            <w:vAlign w:val="center"/>
          </w:tcPr>
          <w:p>
            <w:pPr>
              <w:pStyle w:val="13"/>
            </w:pPr>
            <w:r>
              <w:t>在各网络平台创作推出的网络传播产品</w:t>
            </w:r>
          </w:p>
        </w:tc>
        <w:tc>
          <w:tcPr>
            <w:tcW w:w="2268" w:type="dxa"/>
            <w:vAlign w:val="center"/>
          </w:tcPr>
          <w:p>
            <w:pPr>
              <w:pStyle w:val="13"/>
            </w:pPr>
            <w:r>
              <w:t>≥100个</w:t>
            </w:r>
          </w:p>
        </w:tc>
        <w:tc>
          <w:tcPr>
            <w:tcW w:w="1276" w:type="dxa"/>
            <w:vAlign w:val="center"/>
          </w:tcPr>
          <w:p>
            <w:pPr>
              <w:pStyle w:val="13"/>
            </w:pPr>
            <w:r>
              <w:t>工作总结统计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网络传播产品阅读展示量</w:t>
            </w:r>
          </w:p>
        </w:tc>
        <w:tc>
          <w:tcPr>
            <w:tcW w:w="5386" w:type="dxa"/>
            <w:vAlign w:val="center"/>
          </w:tcPr>
          <w:p>
            <w:pPr>
              <w:pStyle w:val="13"/>
            </w:pPr>
            <w:r>
              <w:t>网络传播产品在各平台的点击阅读播放量</w:t>
            </w:r>
          </w:p>
        </w:tc>
        <w:tc>
          <w:tcPr>
            <w:tcW w:w="2268" w:type="dxa"/>
            <w:vAlign w:val="center"/>
          </w:tcPr>
          <w:p>
            <w:pPr>
              <w:pStyle w:val="13"/>
            </w:pPr>
            <w:r>
              <w:t>≥2000万人次</w:t>
            </w:r>
          </w:p>
        </w:tc>
        <w:tc>
          <w:tcPr>
            <w:tcW w:w="1276" w:type="dxa"/>
            <w:vAlign w:val="center"/>
          </w:tcPr>
          <w:p>
            <w:pPr>
              <w:pStyle w:val="13"/>
            </w:pPr>
            <w:r>
              <w:t>网络平台显示数据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统计及时性</w:t>
            </w:r>
          </w:p>
        </w:tc>
        <w:tc>
          <w:tcPr>
            <w:tcW w:w="5386" w:type="dxa"/>
            <w:vAlign w:val="center"/>
          </w:tcPr>
          <w:p>
            <w:pPr>
              <w:pStyle w:val="13"/>
            </w:pPr>
            <w:r>
              <w:t>每半年工作情况统计</w:t>
            </w:r>
          </w:p>
        </w:tc>
        <w:tc>
          <w:tcPr>
            <w:tcW w:w="2268" w:type="dxa"/>
            <w:vAlign w:val="center"/>
          </w:tcPr>
          <w:p>
            <w:pPr>
              <w:pStyle w:val="13"/>
            </w:pPr>
            <w:r>
              <w:t>及时</w:t>
            </w:r>
          </w:p>
        </w:tc>
        <w:tc>
          <w:tcPr>
            <w:tcW w:w="1276" w:type="dxa"/>
            <w:vAlign w:val="center"/>
          </w:tcPr>
          <w:p>
            <w:pPr>
              <w:pStyle w:val="13"/>
            </w:pPr>
            <w:r>
              <w:t>工作总结统计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总成本控制</w:t>
            </w:r>
          </w:p>
        </w:tc>
        <w:tc>
          <w:tcPr>
            <w:tcW w:w="5386" w:type="dxa"/>
            <w:vAlign w:val="center"/>
          </w:tcPr>
          <w:p>
            <w:pPr>
              <w:pStyle w:val="13"/>
            </w:pPr>
            <w:r>
              <w:t>总成本控制</w:t>
            </w:r>
          </w:p>
        </w:tc>
        <w:tc>
          <w:tcPr>
            <w:tcW w:w="2268" w:type="dxa"/>
            <w:vAlign w:val="center"/>
          </w:tcPr>
          <w:p>
            <w:pPr>
              <w:pStyle w:val="13"/>
            </w:pPr>
            <w:r>
              <w:t>≤70万元</w:t>
            </w:r>
          </w:p>
        </w:tc>
        <w:tc>
          <w:tcPr>
            <w:tcW w:w="1276" w:type="dxa"/>
            <w:vAlign w:val="center"/>
          </w:tcPr>
          <w:p>
            <w:pPr>
              <w:pStyle w:val="13"/>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网络文明生态环境</w:t>
            </w:r>
          </w:p>
        </w:tc>
        <w:tc>
          <w:tcPr>
            <w:tcW w:w="5386" w:type="dxa"/>
            <w:vAlign w:val="center"/>
          </w:tcPr>
          <w:p>
            <w:pPr>
              <w:pStyle w:val="13"/>
            </w:pPr>
            <w:r>
              <w:t>全市网络文明生态环境整体情况</w:t>
            </w:r>
          </w:p>
        </w:tc>
        <w:tc>
          <w:tcPr>
            <w:tcW w:w="2268" w:type="dxa"/>
            <w:vAlign w:val="center"/>
          </w:tcPr>
          <w:p>
            <w:pPr>
              <w:pStyle w:val="13"/>
            </w:pPr>
            <w:r>
              <w:t>明显向好</w:t>
            </w:r>
          </w:p>
        </w:tc>
        <w:tc>
          <w:tcPr>
            <w:tcW w:w="1276" w:type="dxa"/>
            <w:vAlign w:val="center"/>
          </w:tcPr>
          <w:p>
            <w:pPr>
              <w:pStyle w:val="13"/>
            </w:pPr>
            <w:r>
              <w:t>工作总结统计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网络传播产品网上受众满意度</w:t>
            </w:r>
          </w:p>
        </w:tc>
        <w:tc>
          <w:tcPr>
            <w:tcW w:w="5386" w:type="dxa"/>
            <w:vAlign w:val="center"/>
          </w:tcPr>
          <w:p>
            <w:pPr>
              <w:pStyle w:val="13"/>
            </w:pPr>
            <w:r>
              <w:t>网络传播产品转发点赞量</w:t>
            </w:r>
          </w:p>
        </w:tc>
        <w:tc>
          <w:tcPr>
            <w:tcW w:w="2268" w:type="dxa"/>
            <w:vAlign w:val="center"/>
          </w:tcPr>
          <w:p>
            <w:pPr>
              <w:pStyle w:val="13"/>
            </w:pPr>
            <w:r>
              <w:t>≥200万人次</w:t>
            </w:r>
          </w:p>
        </w:tc>
        <w:tc>
          <w:tcPr>
            <w:tcW w:w="1276" w:type="dxa"/>
            <w:vAlign w:val="center"/>
          </w:tcPr>
          <w:p>
            <w:pPr>
              <w:pStyle w:val="13"/>
            </w:pPr>
            <w:r>
              <w:t>网络平台显示数据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w:t>
      </w:r>
      <w:r>
        <w:rPr>
          <w:rFonts w:hint="eastAsia" w:ascii="方正仿宋_GBK" w:hAnsi="方正仿宋_GBK" w:eastAsia="方正仿宋_GBK" w:cs="方正仿宋_GBK"/>
          <w:color w:val="000000"/>
          <w:sz w:val="28"/>
          <w:lang w:val="en-US" w:eastAsia="zh-CN"/>
        </w:rPr>
        <w:t>0</w:t>
      </w:r>
      <w:r>
        <w:rPr>
          <w:rFonts w:ascii="方正仿宋_GBK" w:hAnsi="方正仿宋_GBK" w:eastAsia="方正仿宋_GBK" w:cs="方正仿宋_GBK"/>
          <w:color w:val="000000"/>
          <w:sz w:val="28"/>
        </w:rPr>
        <w:t>、网络主题宣传专项经费绩效目标表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13010026P00954810004B</w:t>
            </w:r>
          </w:p>
        </w:tc>
        <w:tc>
          <w:tcPr>
            <w:tcW w:w="2835" w:type="dxa"/>
            <w:vAlign w:val="center"/>
          </w:tcPr>
          <w:p>
            <w:pPr>
              <w:pStyle w:val="11"/>
            </w:pPr>
            <w:r>
              <w:t>项目名称</w:t>
            </w:r>
          </w:p>
        </w:tc>
        <w:tc>
          <w:tcPr>
            <w:tcW w:w="6095" w:type="dxa"/>
            <w:gridSpan w:val="3"/>
            <w:vAlign w:val="center"/>
          </w:tcPr>
          <w:p>
            <w:pPr>
              <w:pStyle w:val="13"/>
            </w:pPr>
            <w:r>
              <w:t>网络主题宣传专项经费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130.00</w:t>
            </w:r>
          </w:p>
        </w:tc>
        <w:tc>
          <w:tcPr>
            <w:tcW w:w="2835" w:type="dxa"/>
            <w:vAlign w:val="center"/>
          </w:tcPr>
          <w:p>
            <w:pPr>
              <w:pStyle w:val="11"/>
            </w:pPr>
            <w:r>
              <w:t>其中：财政    资金</w:t>
            </w:r>
          </w:p>
        </w:tc>
        <w:tc>
          <w:tcPr>
            <w:tcW w:w="2551" w:type="dxa"/>
            <w:vAlign w:val="center"/>
          </w:tcPr>
          <w:p>
            <w:pPr>
              <w:pStyle w:val="13"/>
            </w:pPr>
            <w:r>
              <w:t>130.00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用于网络主题宣传工作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借助重点新闻网站和主流商业网站优势，围绕党委、政府中心工作，通过开设专题专栏，开展网络主题活动，创作一批融媒体作品，组织征选展播活动，持续提升城市知名度、美誉度和影响力。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网站合作数量</w:t>
            </w:r>
          </w:p>
        </w:tc>
        <w:tc>
          <w:tcPr>
            <w:tcW w:w="5386" w:type="dxa"/>
            <w:vAlign w:val="center"/>
          </w:tcPr>
          <w:p>
            <w:pPr>
              <w:pStyle w:val="13"/>
            </w:pPr>
            <w:r>
              <w:t>与重点新闻网站和主流商业网站合作数量。</w:t>
            </w:r>
          </w:p>
        </w:tc>
        <w:tc>
          <w:tcPr>
            <w:tcW w:w="2268" w:type="dxa"/>
            <w:vAlign w:val="center"/>
          </w:tcPr>
          <w:p>
            <w:pPr>
              <w:pStyle w:val="13"/>
            </w:pPr>
            <w:r>
              <w:t>≥5个</w:t>
            </w:r>
          </w:p>
        </w:tc>
        <w:tc>
          <w:tcPr>
            <w:tcW w:w="1276" w:type="dxa"/>
            <w:vAlign w:val="center"/>
          </w:tcPr>
          <w:p>
            <w:pPr>
              <w:pStyle w:val="13"/>
            </w:pPr>
            <w:r>
              <w:t>依据工作目标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与重点网络媒体联合开展网上宣传</w:t>
            </w:r>
          </w:p>
        </w:tc>
        <w:tc>
          <w:tcPr>
            <w:tcW w:w="5386" w:type="dxa"/>
            <w:vAlign w:val="center"/>
          </w:tcPr>
          <w:p>
            <w:pPr>
              <w:pStyle w:val="13"/>
            </w:pPr>
            <w:r>
              <w:t>与重点网络媒体开展专题专栏宣传。</w:t>
            </w:r>
          </w:p>
        </w:tc>
        <w:tc>
          <w:tcPr>
            <w:tcW w:w="2268" w:type="dxa"/>
            <w:vAlign w:val="center"/>
          </w:tcPr>
          <w:p>
            <w:pPr>
              <w:pStyle w:val="13"/>
            </w:pPr>
            <w:r>
              <w:t>按要求开展</w:t>
            </w:r>
          </w:p>
        </w:tc>
        <w:tc>
          <w:tcPr>
            <w:tcW w:w="1276" w:type="dxa"/>
            <w:vAlign w:val="center"/>
          </w:tcPr>
          <w:p>
            <w:pPr>
              <w:pStyle w:val="13"/>
            </w:pPr>
            <w:r>
              <w:t>依据工作目标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按照时限完成</w:t>
            </w:r>
          </w:p>
        </w:tc>
        <w:tc>
          <w:tcPr>
            <w:tcW w:w="5386" w:type="dxa"/>
            <w:vAlign w:val="center"/>
          </w:tcPr>
          <w:p>
            <w:pPr>
              <w:pStyle w:val="13"/>
            </w:pPr>
            <w:r>
              <w:t>按照约定时限完成项目执行。</w:t>
            </w:r>
          </w:p>
        </w:tc>
        <w:tc>
          <w:tcPr>
            <w:tcW w:w="2268" w:type="dxa"/>
            <w:vAlign w:val="center"/>
          </w:tcPr>
          <w:p>
            <w:pPr>
              <w:pStyle w:val="13"/>
            </w:pPr>
            <w:r>
              <w:t>≥90%</w:t>
            </w:r>
          </w:p>
        </w:tc>
        <w:tc>
          <w:tcPr>
            <w:tcW w:w="1276" w:type="dxa"/>
            <w:vAlign w:val="center"/>
          </w:tcPr>
          <w:p>
            <w:pPr>
              <w:pStyle w:val="13"/>
            </w:pPr>
            <w:r>
              <w:t>依据工作目标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总成本控制</w:t>
            </w:r>
          </w:p>
        </w:tc>
        <w:tc>
          <w:tcPr>
            <w:tcW w:w="5386" w:type="dxa"/>
            <w:vAlign w:val="center"/>
          </w:tcPr>
          <w:p>
            <w:pPr>
              <w:pStyle w:val="13"/>
            </w:pPr>
            <w:r>
              <w:t>总成本控制</w:t>
            </w:r>
          </w:p>
        </w:tc>
        <w:tc>
          <w:tcPr>
            <w:tcW w:w="2268" w:type="dxa"/>
            <w:vAlign w:val="center"/>
          </w:tcPr>
          <w:p>
            <w:pPr>
              <w:pStyle w:val="13"/>
            </w:pPr>
            <w:r>
              <w:t>≤130万元</w:t>
            </w:r>
          </w:p>
        </w:tc>
        <w:tc>
          <w:tcPr>
            <w:tcW w:w="1276" w:type="dxa"/>
            <w:vAlign w:val="center"/>
          </w:tcPr>
          <w:p>
            <w:pPr>
              <w:pStyle w:val="13"/>
            </w:pPr>
            <w:r>
              <w:t>依据工作目标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弘扬网络正能量</w:t>
            </w:r>
          </w:p>
        </w:tc>
        <w:tc>
          <w:tcPr>
            <w:tcW w:w="5386" w:type="dxa"/>
            <w:vAlign w:val="center"/>
          </w:tcPr>
          <w:p>
            <w:pPr>
              <w:pStyle w:val="13"/>
            </w:pPr>
            <w:r>
              <w:t>弘扬网络正能量，提升市民幸福感。</w:t>
            </w:r>
          </w:p>
        </w:tc>
        <w:tc>
          <w:tcPr>
            <w:tcW w:w="2268" w:type="dxa"/>
            <w:vAlign w:val="center"/>
          </w:tcPr>
          <w:p>
            <w:pPr>
              <w:pStyle w:val="13"/>
            </w:pPr>
            <w:r>
              <w:t>提升</w:t>
            </w:r>
          </w:p>
        </w:tc>
        <w:tc>
          <w:tcPr>
            <w:tcW w:w="1276" w:type="dxa"/>
            <w:vAlign w:val="center"/>
          </w:tcPr>
          <w:p>
            <w:pPr>
              <w:pStyle w:val="13"/>
            </w:pPr>
            <w:r>
              <w:t>依据工作目标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石家庄网络知名度美誉度</w:t>
            </w:r>
          </w:p>
        </w:tc>
        <w:tc>
          <w:tcPr>
            <w:tcW w:w="5386" w:type="dxa"/>
            <w:vAlign w:val="center"/>
          </w:tcPr>
          <w:p>
            <w:pPr>
              <w:pStyle w:val="13"/>
            </w:pPr>
            <w:r>
              <w:t>提升我市知名度、美誉度和影响力。</w:t>
            </w:r>
          </w:p>
        </w:tc>
        <w:tc>
          <w:tcPr>
            <w:tcW w:w="2268" w:type="dxa"/>
            <w:vAlign w:val="center"/>
          </w:tcPr>
          <w:p>
            <w:pPr>
              <w:pStyle w:val="13"/>
            </w:pPr>
            <w:r>
              <w:t>提升</w:t>
            </w:r>
          </w:p>
        </w:tc>
        <w:tc>
          <w:tcPr>
            <w:tcW w:w="1276" w:type="dxa"/>
            <w:vAlign w:val="center"/>
          </w:tcPr>
          <w:p>
            <w:pPr>
              <w:pStyle w:val="13"/>
            </w:pPr>
            <w:r>
              <w:t>依据工作目标</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224中共石家庄市委网络安全和信息化委员会办公室</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123.53</w:t>
            </w:r>
          </w:p>
        </w:tc>
        <w:tc>
          <w:tcPr>
            <w:tcW w:w="964" w:type="dxa"/>
            <w:vAlign w:val="center"/>
          </w:tcPr>
          <w:p>
            <w:pPr>
              <w:pStyle w:val="16"/>
            </w:pPr>
            <w:r>
              <w:t>123.53</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101.00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中共石家庄市委网络安全和信息化委员会办公室本级小计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123.53</w:t>
            </w:r>
          </w:p>
        </w:tc>
        <w:tc>
          <w:tcPr>
            <w:tcW w:w="964" w:type="dxa"/>
            <w:vAlign w:val="center"/>
          </w:tcPr>
          <w:p>
            <w:pPr>
              <w:pStyle w:val="16"/>
            </w:pPr>
            <w:r>
              <w:t>123.53</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101.00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55.73</w:t>
            </w:r>
          </w:p>
        </w:tc>
        <w:tc>
          <w:tcPr>
            <w:tcW w:w="1134" w:type="dxa"/>
            <w:vAlign w:val="center"/>
          </w:tcPr>
          <w:p>
            <w:pPr>
              <w:pStyle w:val="13"/>
            </w:pPr>
            <w:r>
              <w:t>汽油</w:t>
            </w:r>
          </w:p>
        </w:tc>
        <w:tc>
          <w:tcPr>
            <w:tcW w:w="1134" w:type="dxa"/>
            <w:vAlign w:val="center"/>
          </w:tcPr>
          <w:p>
            <w:pPr>
              <w:pStyle w:val="13"/>
            </w:pPr>
            <w:r>
              <w:t>A07070101</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0.90</w:t>
            </w:r>
          </w:p>
        </w:tc>
        <w:tc>
          <w:tcPr>
            <w:tcW w:w="964" w:type="dxa"/>
            <w:vAlign w:val="center"/>
          </w:tcPr>
          <w:p>
            <w:pPr>
              <w:pStyle w:val="12"/>
            </w:pPr>
            <w:r>
              <w:t>0.90</w:t>
            </w:r>
          </w:p>
        </w:tc>
        <w:tc>
          <w:tcPr>
            <w:tcW w:w="964" w:type="dxa"/>
            <w:vAlign w:val="center"/>
          </w:tcPr>
          <w:p>
            <w:pPr>
              <w:pStyle w:val="12"/>
            </w:pPr>
            <w:r>
              <w:t>0.90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55.73</w:t>
            </w:r>
          </w:p>
        </w:tc>
        <w:tc>
          <w:tcPr>
            <w:tcW w:w="1134" w:type="dxa"/>
            <w:vAlign w:val="center"/>
          </w:tcPr>
          <w:p>
            <w:pPr>
              <w:pStyle w:val="13"/>
            </w:pPr>
            <w:r>
              <w:t>纸制品</w:t>
            </w:r>
          </w:p>
        </w:tc>
        <w:tc>
          <w:tcPr>
            <w:tcW w:w="1134" w:type="dxa"/>
            <w:vAlign w:val="center"/>
          </w:tcPr>
          <w:p>
            <w:pPr>
              <w:pStyle w:val="13"/>
            </w:pPr>
            <w:r>
              <w:t>A07100300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1.50</w:t>
            </w:r>
          </w:p>
        </w:tc>
        <w:tc>
          <w:tcPr>
            <w:tcW w:w="964" w:type="dxa"/>
            <w:vAlign w:val="center"/>
          </w:tcPr>
          <w:p>
            <w:pPr>
              <w:pStyle w:val="12"/>
            </w:pPr>
            <w:r>
              <w:t>1.50</w:t>
            </w:r>
          </w:p>
        </w:tc>
        <w:tc>
          <w:tcPr>
            <w:tcW w:w="964" w:type="dxa"/>
            <w:vAlign w:val="center"/>
          </w:tcPr>
          <w:p>
            <w:pPr>
              <w:pStyle w:val="12"/>
            </w:pPr>
            <w:r>
              <w:t>1.50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55.73</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0.23</w:t>
            </w:r>
          </w:p>
        </w:tc>
        <w:tc>
          <w:tcPr>
            <w:tcW w:w="964" w:type="dxa"/>
            <w:vAlign w:val="center"/>
          </w:tcPr>
          <w:p>
            <w:pPr>
              <w:pStyle w:val="12"/>
            </w:pPr>
            <w:r>
              <w:t>0.23</w:t>
            </w:r>
          </w:p>
        </w:tc>
        <w:tc>
          <w:tcPr>
            <w:tcW w:w="964" w:type="dxa"/>
            <w:vAlign w:val="center"/>
          </w:tcPr>
          <w:p>
            <w:pPr>
              <w:pStyle w:val="12"/>
            </w:pPr>
            <w:r>
              <w:t>0.23</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55.73</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1.30</w:t>
            </w:r>
          </w:p>
        </w:tc>
        <w:tc>
          <w:tcPr>
            <w:tcW w:w="964" w:type="dxa"/>
            <w:vAlign w:val="center"/>
          </w:tcPr>
          <w:p>
            <w:pPr>
              <w:pStyle w:val="12"/>
            </w:pPr>
            <w:r>
              <w:t>1.30</w:t>
            </w:r>
          </w:p>
        </w:tc>
        <w:tc>
          <w:tcPr>
            <w:tcW w:w="964" w:type="dxa"/>
            <w:vAlign w:val="center"/>
          </w:tcPr>
          <w:p>
            <w:pPr>
              <w:pStyle w:val="12"/>
            </w:pPr>
            <w:r>
              <w:t>1.30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55.73</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1.10</w:t>
            </w:r>
          </w:p>
        </w:tc>
        <w:tc>
          <w:tcPr>
            <w:tcW w:w="964" w:type="dxa"/>
            <w:vAlign w:val="center"/>
          </w:tcPr>
          <w:p>
            <w:pPr>
              <w:pStyle w:val="12"/>
            </w:pPr>
            <w:r>
              <w:t>1.10</w:t>
            </w:r>
          </w:p>
        </w:tc>
        <w:tc>
          <w:tcPr>
            <w:tcW w:w="964" w:type="dxa"/>
            <w:vAlign w:val="center"/>
          </w:tcPr>
          <w:p>
            <w:pPr>
              <w:pStyle w:val="12"/>
            </w:pPr>
            <w:r>
              <w:t>1.10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办公设备购置</w:t>
            </w:r>
          </w:p>
        </w:tc>
        <w:tc>
          <w:tcPr>
            <w:tcW w:w="964" w:type="dxa"/>
            <w:vAlign w:val="center"/>
          </w:tcPr>
          <w:p>
            <w:pPr>
              <w:pStyle w:val="12"/>
            </w:pPr>
            <w:r>
              <w:t>2.90</w:t>
            </w:r>
          </w:p>
        </w:tc>
        <w:tc>
          <w:tcPr>
            <w:tcW w:w="1134" w:type="dxa"/>
            <w:vAlign w:val="center"/>
          </w:tcPr>
          <w:p>
            <w:pPr>
              <w:pStyle w:val="13"/>
            </w:pPr>
            <w:r>
              <w:t>多功能一体机</w:t>
            </w:r>
          </w:p>
        </w:tc>
        <w:tc>
          <w:tcPr>
            <w:tcW w:w="1134" w:type="dxa"/>
            <w:vAlign w:val="center"/>
          </w:tcPr>
          <w:p>
            <w:pPr>
              <w:pStyle w:val="13"/>
            </w:pPr>
            <w:r>
              <w:t>A02020400</w:t>
            </w:r>
          </w:p>
        </w:tc>
        <w:tc>
          <w:tcPr>
            <w:tcW w:w="709" w:type="dxa"/>
            <w:vAlign w:val="center"/>
          </w:tcPr>
          <w:p>
            <w:pPr>
              <w:pStyle w:val="14"/>
            </w:pPr>
            <w:r>
              <w:t>台</w:t>
            </w:r>
          </w:p>
        </w:tc>
        <w:tc>
          <w:tcPr>
            <w:tcW w:w="850" w:type="dxa"/>
            <w:vAlign w:val="center"/>
          </w:tcPr>
          <w:p>
            <w:pPr>
              <w:pStyle w:val="12"/>
            </w:pPr>
            <w:r>
              <w:t>8</w:t>
            </w:r>
          </w:p>
        </w:tc>
        <w:tc>
          <w:tcPr>
            <w:tcW w:w="850" w:type="dxa"/>
            <w:vAlign w:val="center"/>
          </w:tcPr>
          <w:p>
            <w:pPr>
              <w:pStyle w:val="12"/>
            </w:pPr>
            <w:r>
              <w:t>0.20</w:t>
            </w:r>
          </w:p>
        </w:tc>
        <w:tc>
          <w:tcPr>
            <w:tcW w:w="964" w:type="dxa"/>
            <w:vAlign w:val="center"/>
          </w:tcPr>
          <w:p>
            <w:pPr>
              <w:pStyle w:val="12"/>
            </w:pPr>
            <w:r>
              <w:t>1.60</w:t>
            </w:r>
          </w:p>
        </w:tc>
        <w:tc>
          <w:tcPr>
            <w:tcW w:w="964" w:type="dxa"/>
            <w:vAlign w:val="center"/>
          </w:tcPr>
          <w:p>
            <w:pPr>
              <w:pStyle w:val="12"/>
            </w:pPr>
            <w:r>
              <w:t>1.60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办公设备购置</w:t>
            </w:r>
          </w:p>
        </w:tc>
        <w:tc>
          <w:tcPr>
            <w:tcW w:w="964" w:type="dxa"/>
            <w:vAlign w:val="center"/>
          </w:tcPr>
          <w:p>
            <w:pPr>
              <w:pStyle w:val="12"/>
            </w:pPr>
            <w:r>
              <w:t>2.90</w:t>
            </w:r>
          </w:p>
        </w:tc>
        <w:tc>
          <w:tcPr>
            <w:tcW w:w="1134" w:type="dxa"/>
            <w:vAlign w:val="center"/>
          </w:tcPr>
          <w:p>
            <w:pPr>
              <w:pStyle w:val="13"/>
            </w:pPr>
            <w:r>
              <w:t>多功能一体机</w:t>
            </w:r>
          </w:p>
        </w:tc>
        <w:tc>
          <w:tcPr>
            <w:tcW w:w="1134" w:type="dxa"/>
            <w:vAlign w:val="center"/>
          </w:tcPr>
          <w:p>
            <w:pPr>
              <w:pStyle w:val="13"/>
            </w:pPr>
            <w:r>
              <w:t>A02020400</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0.65</w:t>
            </w:r>
          </w:p>
        </w:tc>
        <w:tc>
          <w:tcPr>
            <w:tcW w:w="964" w:type="dxa"/>
            <w:vAlign w:val="center"/>
          </w:tcPr>
          <w:p>
            <w:pPr>
              <w:pStyle w:val="12"/>
            </w:pPr>
            <w:r>
              <w:t>1.30</w:t>
            </w:r>
          </w:p>
        </w:tc>
        <w:tc>
          <w:tcPr>
            <w:tcW w:w="964" w:type="dxa"/>
            <w:vAlign w:val="center"/>
          </w:tcPr>
          <w:p>
            <w:pPr>
              <w:pStyle w:val="12"/>
            </w:pPr>
            <w:r>
              <w:t>1.30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物业管理费</w:t>
            </w:r>
          </w:p>
        </w:tc>
        <w:tc>
          <w:tcPr>
            <w:tcW w:w="964" w:type="dxa"/>
            <w:vAlign w:val="center"/>
          </w:tcPr>
          <w:p>
            <w:pPr>
              <w:pStyle w:val="12"/>
            </w:pPr>
            <w:r>
              <w:t>8.30</w:t>
            </w:r>
          </w:p>
        </w:tc>
        <w:tc>
          <w:tcPr>
            <w:tcW w:w="1134" w:type="dxa"/>
            <w:vAlign w:val="center"/>
          </w:tcPr>
          <w:p>
            <w:pPr>
              <w:pStyle w:val="13"/>
            </w:pPr>
            <w:r>
              <w:t>物业管理服务</w:t>
            </w:r>
          </w:p>
        </w:tc>
        <w:tc>
          <w:tcPr>
            <w:tcW w:w="1134" w:type="dxa"/>
            <w:vAlign w:val="center"/>
          </w:tcPr>
          <w:p>
            <w:pPr>
              <w:pStyle w:val="13"/>
            </w:pPr>
            <w:r>
              <w:t>C21040000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8.30</w:t>
            </w:r>
          </w:p>
        </w:tc>
        <w:tc>
          <w:tcPr>
            <w:tcW w:w="964" w:type="dxa"/>
            <w:vAlign w:val="center"/>
          </w:tcPr>
          <w:p>
            <w:pPr>
              <w:pStyle w:val="12"/>
            </w:pPr>
            <w:r>
              <w:t>8.30</w:t>
            </w:r>
          </w:p>
        </w:tc>
        <w:tc>
          <w:tcPr>
            <w:tcW w:w="964" w:type="dxa"/>
            <w:vAlign w:val="center"/>
          </w:tcPr>
          <w:p>
            <w:pPr>
              <w:pStyle w:val="12"/>
            </w:pPr>
            <w:r>
              <w:t>8.30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网络基础能力保障专项经费</w:t>
            </w:r>
          </w:p>
        </w:tc>
        <w:tc>
          <w:tcPr>
            <w:tcW w:w="964" w:type="dxa"/>
            <w:vAlign w:val="center"/>
          </w:tcPr>
          <w:p>
            <w:pPr>
              <w:pStyle w:val="12"/>
            </w:pPr>
            <w:r>
              <w:t>230.00</w:t>
            </w:r>
          </w:p>
        </w:tc>
        <w:tc>
          <w:tcPr>
            <w:tcW w:w="1134" w:type="dxa"/>
            <w:vAlign w:val="center"/>
          </w:tcPr>
          <w:p>
            <w:pPr>
              <w:pStyle w:val="13"/>
            </w:pPr>
            <w:r>
              <w:t>网络接入服务</w:t>
            </w:r>
          </w:p>
        </w:tc>
        <w:tc>
          <w:tcPr>
            <w:tcW w:w="1134" w:type="dxa"/>
            <w:vAlign w:val="center"/>
          </w:tcPr>
          <w:p>
            <w:pPr>
              <w:pStyle w:val="13"/>
            </w:pPr>
            <w:r>
              <w:t>C17010200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22.30</w:t>
            </w:r>
          </w:p>
        </w:tc>
        <w:tc>
          <w:tcPr>
            <w:tcW w:w="964" w:type="dxa"/>
            <w:vAlign w:val="center"/>
          </w:tcPr>
          <w:p>
            <w:pPr>
              <w:pStyle w:val="12"/>
            </w:pPr>
            <w:r>
              <w:t>22.30</w:t>
            </w:r>
          </w:p>
        </w:tc>
        <w:tc>
          <w:tcPr>
            <w:tcW w:w="964" w:type="dxa"/>
            <w:vAlign w:val="center"/>
          </w:tcPr>
          <w:p>
            <w:pPr>
              <w:pStyle w:val="12"/>
            </w:pPr>
            <w:r>
              <w:t>22.30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bookmarkStart w:id="20" w:name="_GoBack"/>
      <w:bookmarkEnd w:id="20"/>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中共石家庄市委网络安全和信息化委员会办公室（含所属单位）上年末固定资产金额为0.00万元（详见下表）。本年度拟购置固定资产总额为0.00万元，已按要求列入政府采购预算，详见政府采购预算表。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224中共石家庄市委网络安全和信息化委员会办公室</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p>
        </w:tc>
        <w:tc>
          <w:tcPr>
            <w:tcW w:w="2835" w:type="dxa"/>
            <w:vAlign w:val="center"/>
          </w:tcPr>
          <w:p>
            <w:pPr>
              <w:pStyle w:val="14"/>
            </w:pPr>
          </w:p>
        </w:tc>
        <w:tc>
          <w:tcPr>
            <w:tcW w:w="2835"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2000000000000000000"/>
    <w:charset w:val="86"/>
    <w:family w:val="auto"/>
    <w:pitch w:val="default"/>
    <w:sig w:usb0="00000000" w:usb1="00000000" w:usb2="00000000" w:usb3="00000000" w:csb0="00040000" w:csb1="00000000"/>
  </w:font>
  <w:font w:name="方正小标宋_GBK">
    <w:altName w:val="微软雅黑"/>
    <w:panose1 w:val="02000000000000000000"/>
    <w:charset w:val="86"/>
    <w:family w:val="auto"/>
    <w:pitch w:val="default"/>
    <w:sig w:usb0="00000000" w:usb1="00000000" w:usb2="00000000" w:usb3="00000000" w:csb0="00040000" w:csb1="00000000"/>
  </w:font>
  <w:font w:name="方正书宋_GBK">
    <w:altName w:val="微软雅黑"/>
    <w:panose1 w:val="02000000000000000000"/>
    <w:charset w:val="86"/>
    <w:family w:val="auto"/>
    <w:pitch w:val="default"/>
    <w:sig w:usb0="00000000" w:usb1="00000000" w:usb2="00000000" w:usb3="00000000" w:csb0="00040000" w:csb1="00000000"/>
  </w:font>
  <w:font w:name="方正楷体_GBK">
    <w:altName w:val="微软雅黑"/>
    <w:panose1 w:val="02000000000000000000"/>
    <w:charset w:val="86"/>
    <w:family w:val="auto"/>
    <w:pitch w:val="default"/>
    <w:sig w:usb0="00000000" w:usb1="00000000" w:usb2="00000000" w:usb3="00000000" w:csb0="00040000" w:csb1="00000000"/>
  </w:font>
  <w:font w:name="方正黑体_GBK">
    <w:altName w:val="微软雅黑"/>
    <w:panose1 w:val="02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D7A0222"/>
    <w:multiLevelType w:val="singleLevel"/>
    <w:tmpl w:val="1D7A0222"/>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5A91ED8"/>
    <w:rsid w:val="0F4775CC"/>
    <w:rsid w:val="10632129"/>
    <w:rsid w:val="161B7D11"/>
    <w:rsid w:val="22710315"/>
    <w:rsid w:val="2DB92E3A"/>
    <w:rsid w:val="384F7795"/>
    <w:rsid w:val="4CC26476"/>
    <w:rsid w:val="4D4D33AB"/>
    <w:rsid w:val="4E8F0E88"/>
    <w:rsid w:val="4F2D1396"/>
    <w:rsid w:val="53E665D4"/>
    <w:rsid w:val="568D6F70"/>
    <w:rsid w:val="575A3089"/>
    <w:rsid w:val="5CFA0557"/>
    <w:rsid w:val="5D001B44"/>
    <w:rsid w:val="61903482"/>
    <w:rsid w:val="61960CF0"/>
    <w:rsid w:val="63A143A9"/>
    <w:rsid w:val="655E54D2"/>
    <w:rsid w:val="6B612B97"/>
    <w:rsid w:val="767F6675"/>
    <w:rsid w:val="79C44935"/>
    <w:rsid w:val="CE492B86"/>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6">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39</Pages>
  <TotalTime>9</TotalTime>
  <ScaleCrop>false</ScaleCrop>
  <LinksUpToDate>false</LinksUpToDate>
  <Application>WPS Office_11.8.2.8411_F1E327BC-269C-435d-A152-05C5408002CA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2026-02-09T22:38:00Z</dcterms:created>
  <dc:creator>LENOVOY</dc:creator>
  <cp:lastModifiedBy>薄荷绿</cp:lastModifiedBy>
  <cp:lastPrinted>2026-02-09T15:35:00Z</cp:lastPrinted>
  <dcterms:modified xsi:type="dcterms:W3CDTF">2026-02-11T01:56:39Z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ies>
</file>