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一、石家庄市投资促进局本级收支预算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二、石家庄市投资促进服务中心（石家庄市外商投资企业投诉服务中心）收支预算</w:t>
      </w:r>
      <w:r>
        <w:tab/>
      </w:r>
      <w:r>
        <w:fldChar w:fldCharType="begin"/>
      </w:r>
      <w:r>
        <w:instrText xml:space="preserve">PAGEREF _Toc_4_4_0000000002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一、石家庄市投资促进局本级收支预算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321001石家庄市投资促进局本级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1872.44</w:t>
            </w:r>
          </w:p>
        </w:tc>
        <w:tc>
          <w:tcPr>
            <w:tcW w:w="4535" w:type="dxa"/>
            <w:vAlign w:val="center"/>
          </w:tcPr>
          <w:p>
            <w:pPr>
              <w:pStyle w:val="12"/>
            </w:pPr>
            <w:r>
              <w:t>一、一般公共服务支出</w:t>
            </w:r>
          </w:p>
        </w:tc>
        <w:tc>
          <w:tcPr>
            <w:tcW w:w="2126" w:type="dxa"/>
            <w:vAlign w:val="center"/>
          </w:tcPr>
          <w:p>
            <w:pPr>
              <w:pStyle w:val="11"/>
            </w:pPr>
            <w:r>
              <w:t>1615.86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1872.44</w:t>
            </w:r>
          </w:p>
        </w:tc>
        <w:tc>
          <w:tcPr>
            <w:tcW w:w="4535" w:type="dxa"/>
            <w:vAlign w:val="center"/>
          </w:tcPr>
          <w:p>
            <w:pPr>
              <w:pStyle w:val="14"/>
            </w:pPr>
            <w:r>
              <w:t>本年支出合计</w:t>
            </w:r>
          </w:p>
        </w:tc>
        <w:tc>
          <w:tcPr>
            <w:tcW w:w="2126" w:type="dxa"/>
            <w:vAlign w:val="center"/>
          </w:tcPr>
          <w:p>
            <w:pPr>
              <w:pStyle w:val="15"/>
            </w:pPr>
            <w:r>
              <w:t>1872.44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1872.44</w:t>
            </w:r>
          </w:p>
        </w:tc>
        <w:tc>
          <w:tcPr>
            <w:tcW w:w="4535" w:type="dxa"/>
            <w:vAlign w:val="center"/>
          </w:tcPr>
          <w:p>
            <w:pPr>
              <w:pStyle w:val="14"/>
            </w:pPr>
            <w:r>
              <w:t>支出总计</w:t>
            </w:r>
          </w:p>
        </w:tc>
        <w:tc>
          <w:tcPr>
            <w:tcW w:w="2126" w:type="dxa"/>
            <w:vAlign w:val="center"/>
          </w:tcPr>
          <w:p>
            <w:pPr>
              <w:pStyle w:val="15"/>
            </w:pPr>
            <w:r>
              <w:t>1872.44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321001石家庄市投资促进局本级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1872.44</w:t>
            </w:r>
          </w:p>
        </w:tc>
        <w:tc>
          <w:tcPr>
            <w:tcW w:w="1134" w:type="dxa"/>
            <w:vAlign w:val="center"/>
          </w:tcPr>
          <w:p>
            <w:pPr>
              <w:pStyle w:val="15"/>
            </w:pPr>
            <w:r>
              <w:t>1872.44</w:t>
            </w:r>
          </w:p>
        </w:tc>
        <w:tc>
          <w:tcPr>
            <w:tcW w:w="1134" w:type="dxa"/>
            <w:vAlign w:val="center"/>
          </w:tcPr>
          <w:p>
            <w:pPr>
              <w:pStyle w:val="15"/>
            </w:pPr>
            <w:r>
              <w:t>1872.44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1615.86</w:t>
            </w:r>
          </w:p>
        </w:tc>
        <w:tc>
          <w:tcPr>
            <w:tcW w:w="1134" w:type="dxa"/>
            <w:vAlign w:val="center"/>
          </w:tcPr>
          <w:p>
            <w:pPr>
              <w:pStyle w:val="11"/>
            </w:pPr>
            <w:r>
              <w:t>1615.86</w:t>
            </w:r>
          </w:p>
        </w:tc>
        <w:tc>
          <w:tcPr>
            <w:tcW w:w="1134" w:type="dxa"/>
            <w:vAlign w:val="center"/>
          </w:tcPr>
          <w:p>
            <w:pPr>
              <w:pStyle w:val="11"/>
            </w:pPr>
            <w:r>
              <w:t>1615.86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1615.86</w:t>
            </w:r>
          </w:p>
        </w:tc>
        <w:tc>
          <w:tcPr>
            <w:tcW w:w="1134" w:type="dxa"/>
            <w:vAlign w:val="center"/>
          </w:tcPr>
          <w:p>
            <w:pPr>
              <w:pStyle w:val="11"/>
            </w:pPr>
            <w:r>
              <w:t>1615.86</w:t>
            </w:r>
          </w:p>
        </w:tc>
        <w:tc>
          <w:tcPr>
            <w:tcW w:w="1134" w:type="dxa"/>
            <w:vAlign w:val="center"/>
          </w:tcPr>
          <w:p>
            <w:pPr>
              <w:pStyle w:val="11"/>
            </w:pPr>
            <w:r>
              <w:t>1615.86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2011301</w:t>
            </w:r>
          </w:p>
        </w:tc>
        <w:tc>
          <w:tcPr>
            <w:tcW w:w="1559" w:type="dxa"/>
            <w:vAlign w:val="center"/>
          </w:tcPr>
          <w:p>
            <w:pPr>
              <w:pStyle w:val="12"/>
            </w:pPr>
            <w:r>
              <w:t>行政运行</w:t>
            </w:r>
          </w:p>
        </w:tc>
        <w:tc>
          <w:tcPr>
            <w:tcW w:w="1134" w:type="dxa"/>
            <w:vAlign w:val="center"/>
          </w:tcPr>
          <w:p>
            <w:pPr>
              <w:pStyle w:val="11"/>
            </w:pPr>
            <w:r>
              <w:t>750.95</w:t>
            </w:r>
          </w:p>
        </w:tc>
        <w:tc>
          <w:tcPr>
            <w:tcW w:w="1134" w:type="dxa"/>
            <w:vAlign w:val="center"/>
          </w:tcPr>
          <w:p>
            <w:pPr>
              <w:pStyle w:val="11"/>
            </w:pPr>
            <w:r>
              <w:t>750.95</w:t>
            </w:r>
          </w:p>
        </w:tc>
        <w:tc>
          <w:tcPr>
            <w:tcW w:w="1134" w:type="dxa"/>
            <w:vAlign w:val="center"/>
          </w:tcPr>
          <w:p>
            <w:pPr>
              <w:pStyle w:val="11"/>
            </w:pPr>
            <w:r>
              <w:t>750.95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2011302</w:t>
            </w:r>
          </w:p>
        </w:tc>
        <w:tc>
          <w:tcPr>
            <w:tcW w:w="1559" w:type="dxa"/>
            <w:vAlign w:val="center"/>
          </w:tcPr>
          <w:p>
            <w:pPr>
              <w:pStyle w:val="12"/>
            </w:pPr>
            <w:r>
              <w:t>一般行政管理事务</w:t>
            </w:r>
          </w:p>
        </w:tc>
        <w:tc>
          <w:tcPr>
            <w:tcW w:w="1134" w:type="dxa"/>
            <w:vAlign w:val="center"/>
          </w:tcPr>
          <w:p>
            <w:pPr>
              <w:pStyle w:val="11"/>
            </w:pPr>
            <w:r>
              <w:t>24.91</w:t>
            </w:r>
          </w:p>
        </w:tc>
        <w:tc>
          <w:tcPr>
            <w:tcW w:w="1134" w:type="dxa"/>
            <w:vAlign w:val="center"/>
          </w:tcPr>
          <w:p>
            <w:pPr>
              <w:pStyle w:val="11"/>
            </w:pPr>
            <w:r>
              <w:t>24.91</w:t>
            </w:r>
          </w:p>
        </w:tc>
        <w:tc>
          <w:tcPr>
            <w:tcW w:w="1134" w:type="dxa"/>
            <w:vAlign w:val="center"/>
          </w:tcPr>
          <w:p>
            <w:pPr>
              <w:pStyle w:val="11"/>
            </w:pPr>
            <w:r>
              <w:t>24.91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840.00</w:t>
            </w:r>
          </w:p>
        </w:tc>
        <w:tc>
          <w:tcPr>
            <w:tcW w:w="1134" w:type="dxa"/>
            <w:vAlign w:val="center"/>
          </w:tcPr>
          <w:p>
            <w:pPr>
              <w:pStyle w:val="11"/>
            </w:pPr>
            <w:r>
              <w:t>840.00</w:t>
            </w:r>
          </w:p>
        </w:tc>
        <w:tc>
          <w:tcPr>
            <w:tcW w:w="1134" w:type="dxa"/>
            <w:vAlign w:val="center"/>
          </w:tcPr>
          <w:p>
            <w:pPr>
              <w:pStyle w:val="11"/>
            </w:pPr>
            <w:r>
              <w:t>840.00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148.84</w:t>
            </w:r>
          </w:p>
        </w:tc>
        <w:tc>
          <w:tcPr>
            <w:tcW w:w="1134" w:type="dxa"/>
            <w:vAlign w:val="center"/>
          </w:tcPr>
          <w:p>
            <w:pPr>
              <w:pStyle w:val="11"/>
            </w:pPr>
            <w:r>
              <w:t>148.84</w:t>
            </w:r>
          </w:p>
        </w:tc>
        <w:tc>
          <w:tcPr>
            <w:tcW w:w="1134" w:type="dxa"/>
            <w:vAlign w:val="center"/>
          </w:tcPr>
          <w:p>
            <w:pPr>
              <w:pStyle w:val="11"/>
            </w:pPr>
            <w:r>
              <w:t>148.84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147.04</w:t>
            </w:r>
          </w:p>
        </w:tc>
        <w:tc>
          <w:tcPr>
            <w:tcW w:w="1134" w:type="dxa"/>
            <w:vAlign w:val="center"/>
          </w:tcPr>
          <w:p>
            <w:pPr>
              <w:pStyle w:val="11"/>
            </w:pPr>
            <w:r>
              <w:t>147.04</w:t>
            </w:r>
          </w:p>
        </w:tc>
        <w:tc>
          <w:tcPr>
            <w:tcW w:w="1134" w:type="dxa"/>
            <w:vAlign w:val="center"/>
          </w:tcPr>
          <w:p>
            <w:pPr>
              <w:pStyle w:val="11"/>
            </w:pPr>
            <w:r>
              <w:t>147.04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71.30</w:t>
            </w:r>
          </w:p>
        </w:tc>
        <w:tc>
          <w:tcPr>
            <w:tcW w:w="1134" w:type="dxa"/>
            <w:vAlign w:val="center"/>
          </w:tcPr>
          <w:p>
            <w:pPr>
              <w:pStyle w:val="11"/>
            </w:pPr>
            <w:r>
              <w:t>71.30</w:t>
            </w:r>
          </w:p>
        </w:tc>
        <w:tc>
          <w:tcPr>
            <w:tcW w:w="1134" w:type="dxa"/>
            <w:vAlign w:val="center"/>
          </w:tcPr>
          <w:p>
            <w:pPr>
              <w:pStyle w:val="11"/>
            </w:pPr>
            <w:r>
              <w:t>71.30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75.74</w:t>
            </w:r>
          </w:p>
        </w:tc>
        <w:tc>
          <w:tcPr>
            <w:tcW w:w="1134" w:type="dxa"/>
            <w:vAlign w:val="center"/>
          </w:tcPr>
          <w:p>
            <w:pPr>
              <w:pStyle w:val="11"/>
            </w:pPr>
            <w:r>
              <w:t>75.74</w:t>
            </w:r>
          </w:p>
        </w:tc>
        <w:tc>
          <w:tcPr>
            <w:tcW w:w="1134" w:type="dxa"/>
            <w:vAlign w:val="center"/>
          </w:tcPr>
          <w:p>
            <w:pPr>
              <w:pStyle w:val="11"/>
            </w:pPr>
            <w:r>
              <w:t>75.74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37.38</w:t>
            </w:r>
          </w:p>
        </w:tc>
        <w:tc>
          <w:tcPr>
            <w:tcW w:w="1134" w:type="dxa"/>
            <w:vAlign w:val="center"/>
          </w:tcPr>
          <w:p>
            <w:pPr>
              <w:pStyle w:val="11"/>
            </w:pPr>
            <w:r>
              <w:t>37.38</w:t>
            </w:r>
          </w:p>
        </w:tc>
        <w:tc>
          <w:tcPr>
            <w:tcW w:w="1134" w:type="dxa"/>
            <w:vAlign w:val="center"/>
          </w:tcPr>
          <w:p>
            <w:pPr>
              <w:pStyle w:val="11"/>
            </w:pPr>
            <w:r>
              <w:t>37.38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37.38</w:t>
            </w:r>
          </w:p>
        </w:tc>
        <w:tc>
          <w:tcPr>
            <w:tcW w:w="1134" w:type="dxa"/>
            <w:vAlign w:val="center"/>
          </w:tcPr>
          <w:p>
            <w:pPr>
              <w:pStyle w:val="11"/>
            </w:pPr>
            <w:r>
              <w:t>37.38</w:t>
            </w:r>
          </w:p>
        </w:tc>
        <w:tc>
          <w:tcPr>
            <w:tcW w:w="1134" w:type="dxa"/>
            <w:vAlign w:val="center"/>
          </w:tcPr>
          <w:p>
            <w:pPr>
              <w:pStyle w:val="11"/>
            </w:pPr>
            <w:r>
              <w:t>37.38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24.80</w:t>
            </w:r>
          </w:p>
        </w:tc>
        <w:tc>
          <w:tcPr>
            <w:tcW w:w="1134" w:type="dxa"/>
            <w:vAlign w:val="center"/>
          </w:tcPr>
          <w:p>
            <w:pPr>
              <w:pStyle w:val="11"/>
            </w:pPr>
            <w:r>
              <w:t>24.80</w:t>
            </w:r>
          </w:p>
        </w:tc>
        <w:tc>
          <w:tcPr>
            <w:tcW w:w="1134" w:type="dxa"/>
            <w:vAlign w:val="center"/>
          </w:tcPr>
          <w:p>
            <w:pPr>
              <w:pStyle w:val="11"/>
            </w:pPr>
            <w:r>
              <w:t>24.80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12.58</w:t>
            </w:r>
          </w:p>
        </w:tc>
        <w:tc>
          <w:tcPr>
            <w:tcW w:w="1134" w:type="dxa"/>
            <w:vAlign w:val="center"/>
          </w:tcPr>
          <w:p>
            <w:pPr>
              <w:pStyle w:val="11"/>
            </w:pPr>
            <w:r>
              <w:t>12.58</w:t>
            </w:r>
          </w:p>
        </w:tc>
        <w:tc>
          <w:tcPr>
            <w:tcW w:w="1134" w:type="dxa"/>
            <w:vAlign w:val="center"/>
          </w:tcPr>
          <w:p>
            <w:pPr>
              <w:pStyle w:val="11"/>
            </w:pPr>
            <w:r>
              <w:t>12.58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70.36</w:t>
            </w:r>
          </w:p>
        </w:tc>
        <w:tc>
          <w:tcPr>
            <w:tcW w:w="1134" w:type="dxa"/>
            <w:vAlign w:val="center"/>
          </w:tcPr>
          <w:p>
            <w:pPr>
              <w:pStyle w:val="11"/>
            </w:pPr>
            <w:r>
              <w:t>70.36</w:t>
            </w:r>
          </w:p>
        </w:tc>
        <w:tc>
          <w:tcPr>
            <w:tcW w:w="1134" w:type="dxa"/>
            <w:vAlign w:val="center"/>
          </w:tcPr>
          <w:p>
            <w:pPr>
              <w:pStyle w:val="11"/>
            </w:pPr>
            <w:r>
              <w:t>70.36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70.36</w:t>
            </w:r>
          </w:p>
        </w:tc>
        <w:tc>
          <w:tcPr>
            <w:tcW w:w="1134" w:type="dxa"/>
            <w:vAlign w:val="center"/>
          </w:tcPr>
          <w:p>
            <w:pPr>
              <w:pStyle w:val="11"/>
            </w:pPr>
            <w:r>
              <w:t>70.36</w:t>
            </w:r>
          </w:p>
        </w:tc>
        <w:tc>
          <w:tcPr>
            <w:tcW w:w="1134" w:type="dxa"/>
            <w:vAlign w:val="center"/>
          </w:tcPr>
          <w:p>
            <w:pPr>
              <w:pStyle w:val="11"/>
            </w:pPr>
            <w:r>
              <w:t>70.36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70.36</w:t>
            </w:r>
          </w:p>
        </w:tc>
        <w:tc>
          <w:tcPr>
            <w:tcW w:w="1134" w:type="dxa"/>
            <w:vAlign w:val="center"/>
          </w:tcPr>
          <w:p>
            <w:pPr>
              <w:pStyle w:val="11"/>
            </w:pPr>
            <w:r>
              <w:t>70.36</w:t>
            </w:r>
          </w:p>
        </w:tc>
        <w:tc>
          <w:tcPr>
            <w:tcW w:w="1134" w:type="dxa"/>
            <w:vAlign w:val="center"/>
          </w:tcPr>
          <w:p>
            <w:pPr>
              <w:pStyle w:val="11"/>
            </w:pPr>
            <w:r>
              <w:t>70.36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321001石家庄市投资促进局本级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1872.44</w:t>
            </w:r>
          </w:p>
        </w:tc>
        <w:tc>
          <w:tcPr>
            <w:tcW w:w="1361" w:type="dxa"/>
            <w:vAlign w:val="center"/>
          </w:tcPr>
          <w:p>
            <w:pPr>
              <w:pStyle w:val="15"/>
            </w:pPr>
            <w:r>
              <w:t>1007.53</w:t>
            </w:r>
          </w:p>
        </w:tc>
        <w:tc>
          <w:tcPr>
            <w:tcW w:w="1361" w:type="dxa"/>
            <w:vAlign w:val="center"/>
          </w:tcPr>
          <w:p>
            <w:pPr>
              <w:pStyle w:val="15"/>
            </w:pPr>
            <w:r>
              <w:t>864.91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1615.86</w:t>
            </w:r>
          </w:p>
        </w:tc>
        <w:tc>
          <w:tcPr>
            <w:tcW w:w="1361" w:type="dxa"/>
            <w:vAlign w:val="center"/>
          </w:tcPr>
          <w:p>
            <w:pPr>
              <w:pStyle w:val="11"/>
            </w:pPr>
            <w:r>
              <w:t>750.95</w:t>
            </w:r>
          </w:p>
        </w:tc>
        <w:tc>
          <w:tcPr>
            <w:tcW w:w="1361" w:type="dxa"/>
            <w:vAlign w:val="center"/>
          </w:tcPr>
          <w:p>
            <w:pPr>
              <w:pStyle w:val="11"/>
            </w:pPr>
            <w:r>
              <w:t>864.91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1615.86</w:t>
            </w:r>
          </w:p>
        </w:tc>
        <w:tc>
          <w:tcPr>
            <w:tcW w:w="1361" w:type="dxa"/>
            <w:vAlign w:val="center"/>
          </w:tcPr>
          <w:p>
            <w:pPr>
              <w:pStyle w:val="11"/>
            </w:pPr>
            <w:r>
              <w:t>750.95</w:t>
            </w:r>
          </w:p>
        </w:tc>
        <w:tc>
          <w:tcPr>
            <w:tcW w:w="1361" w:type="dxa"/>
            <w:vAlign w:val="center"/>
          </w:tcPr>
          <w:p>
            <w:pPr>
              <w:pStyle w:val="11"/>
            </w:pPr>
            <w:r>
              <w:t>864.91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2011301</w:t>
            </w:r>
          </w:p>
        </w:tc>
        <w:tc>
          <w:tcPr>
            <w:tcW w:w="4535" w:type="dxa"/>
            <w:vAlign w:val="center"/>
          </w:tcPr>
          <w:p>
            <w:pPr>
              <w:pStyle w:val="12"/>
            </w:pPr>
            <w:r>
              <w:t>行政运行</w:t>
            </w:r>
          </w:p>
        </w:tc>
        <w:tc>
          <w:tcPr>
            <w:tcW w:w="1361" w:type="dxa"/>
            <w:vAlign w:val="center"/>
          </w:tcPr>
          <w:p>
            <w:pPr>
              <w:pStyle w:val="11"/>
            </w:pPr>
            <w:r>
              <w:t>750.95</w:t>
            </w:r>
          </w:p>
        </w:tc>
        <w:tc>
          <w:tcPr>
            <w:tcW w:w="1361" w:type="dxa"/>
            <w:vAlign w:val="center"/>
          </w:tcPr>
          <w:p>
            <w:pPr>
              <w:pStyle w:val="11"/>
            </w:pPr>
            <w:r>
              <w:t>750.95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2011302</w:t>
            </w:r>
          </w:p>
        </w:tc>
        <w:tc>
          <w:tcPr>
            <w:tcW w:w="4535" w:type="dxa"/>
            <w:vAlign w:val="center"/>
          </w:tcPr>
          <w:p>
            <w:pPr>
              <w:pStyle w:val="12"/>
            </w:pPr>
            <w:r>
              <w:t>一般行政管理事务</w:t>
            </w:r>
          </w:p>
        </w:tc>
        <w:tc>
          <w:tcPr>
            <w:tcW w:w="1361" w:type="dxa"/>
            <w:vAlign w:val="center"/>
          </w:tcPr>
          <w:p>
            <w:pPr>
              <w:pStyle w:val="11"/>
            </w:pPr>
            <w:r>
              <w:t>24.91</w:t>
            </w:r>
          </w:p>
        </w:tc>
        <w:tc>
          <w:tcPr>
            <w:tcW w:w="1361" w:type="dxa"/>
            <w:vAlign w:val="center"/>
          </w:tcPr>
          <w:p>
            <w:pPr>
              <w:pStyle w:val="11"/>
            </w:pPr>
          </w:p>
        </w:tc>
        <w:tc>
          <w:tcPr>
            <w:tcW w:w="1361" w:type="dxa"/>
            <w:vAlign w:val="center"/>
          </w:tcPr>
          <w:p>
            <w:pPr>
              <w:pStyle w:val="11"/>
            </w:pPr>
            <w:r>
              <w:t>24.91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840.00</w:t>
            </w:r>
          </w:p>
        </w:tc>
        <w:tc>
          <w:tcPr>
            <w:tcW w:w="1361" w:type="dxa"/>
            <w:vAlign w:val="center"/>
          </w:tcPr>
          <w:p>
            <w:pPr>
              <w:pStyle w:val="11"/>
            </w:pPr>
          </w:p>
        </w:tc>
        <w:tc>
          <w:tcPr>
            <w:tcW w:w="1361" w:type="dxa"/>
            <w:vAlign w:val="center"/>
          </w:tcPr>
          <w:p>
            <w:pPr>
              <w:pStyle w:val="11"/>
            </w:pPr>
            <w:r>
              <w:t>840.00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148.84</w:t>
            </w:r>
          </w:p>
        </w:tc>
        <w:tc>
          <w:tcPr>
            <w:tcW w:w="1361" w:type="dxa"/>
            <w:vAlign w:val="center"/>
          </w:tcPr>
          <w:p>
            <w:pPr>
              <w:pStyle w:val="11"/>
            </w:pPr>
            <w:r>
              <w:t>148.84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147.04</w:t>
            </w:r>
          </w:p>
        </w:tc>
        <w:tc>
          <w:tcPr>
            <w:tcW w:w="1361" w:type="dxa"/>
            <w:vAlign w:val="center"/>
          </w:tcPr>
          <w:p>
            <w:pPr>
              <w:pStyle w:val="11"/>
            </w:pPr>
            <w:r>
              <w:t>147.04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71.30</w:t>
            </w:r>
          </w:p>
        </w:tc>
        <w:tc>
          <w:tcPr>
            <w:tcW w:w="1361" w:type="dxa"/>
            <w:vAlign w:val="center"/>
          </w:tcPr>
          <w:p>
            <w:pPr>
              <w:pStyle w:val="11"/>
            </w:pPr>
            <w:r>
              <w:t>71.30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75.74</w:t>
            </w:r>
          </w:p>
        </w:tc>
        <w:tc>
          <w:tcPr>
            <w:tcW w:w="1361" w:type="dxa"/>
            <w:vAlign w:val="center"/>
          </w:tcPr>
          <w:p>
            <w:pPr>
              <w:pStyle w:val="11"/>
            </w:pPr>
            <w:r>
              <w:t>75.74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1.80</w:t>
            </w:r>
          </w:p>
        </w:tc>
        <w:tc>
          <w:tcPr>
            <w:tcW w:w="1361" w:type="dxa"/>
            <w:vAlign w:val="center"/>
          </w:tcPr>
          <w:p>
            <w:pPr>
              <w:pStyle w:val="11"/>
            </w:pPr>
            <w:r>
              <w:t>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1.80</w:t>
            </w:r>
          </w:p>
        </w:tc>
        <w:tc>
          <w:tcPr>
            <w:tcW w:w="1361" w:type="dxa"/>
            <w:vAlign w:val="center"/>
          </w:tcPr>
          <w:p>
            <w:pPr>
              <w:pStyle w:val="11"/>
            </w:pPr>
            <w:r>
              <w:t>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37.38</w:t>
            </w:r>
          </w:p>
        </w:tc>
        <w:tc>
          <w:tcPr>
            <w:tcW w:w="1361" w:type="dxa"/>
            <w:vAlign w:val="center"/>
          </w:tcPr>
          <w:p>
            <w:pPr>
              <w:pStyle w:val="11"/>
            </w:pPr>
            <w:r>
              <w:t>37.38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37.38</w:t>
            </w:r>
          </w:p>
        </w:tc>
        <w:tc>
          <w:tcPr>
            <w:tcW w:w="1361" w:type="dxa"/>
            <w:vAlign w:val="center"/>
          </w:tcPr>
          <w:p>
            <w:pPr>
              <w:pStyle w:val="11"/>
            </w:pPr>
            <w:r>
              <w:t>37.38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24.80</w:t>
            </w:r>
          </w:p>
        </w:tc>
        <w:tc>
          <w:tcPr>
            <w:tcW w:w="1361" w:type="dxa"/>
            <w:vAlign w:val="center"/>
          </w:tcPr>
          <w:p>
            <w:pPr>
              <w:pStyle w:val="11"/>
            </w:pPr>
            <w:r>
              <w:t>24.80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12.58</w:t>
            </w:r>
          </w:p>
        </w:tc>
        <w:tc>
          <w:tcPr>
            <w:tcW w:w="1361" w:type="dxa"/>
            <w:vAlign w:val="center"/>
          </w:tcPr>
          <w:p>
            <w:pPr>
              <w:pStyle w:val="11"/>
            </w:pPr>
            <w:r>
              <w:t>12.58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70.36</w:t>
            </w:r>
          </w:p>
        </w:tc>
        <w:tc>
          <w:tcPr>
            <w:tcW w:w="1361" w:type="dxa"/>
            <w:vAlign w:val="center"/>
          </w:tcPr>
          <w:p>
            <w:pPr>
              <w:pStyle w:val="11"/>
            </w:pPr>
            <w:r>
              <w:t>70.36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70.36</w:t>
            </w:r>
          </w:p>
        </w:tc>
        <w:tc>
          <w:tcPr>
            <w:tcW w:w="1361" w:type="dxa"/>
            <w:vAlign w:val="center"/>
          </w:tcPr>
          <w:p>
            <w:pPr>
              <w:pStyle w:val="11"/>
            </w:pPr>
            <w:r>
              <w:t>70.36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70.36</w:t>
            </w:r>
          </w:p>
        </w:tc>
        <w:tc>
          <w:tcPr>
            <w:tcW w:w="1361" w:type="dxa"/>
            <w:vAlign w:val="center"/>
          </w:tcPr>
          <w:p>
            <w:pPr>
              <w:pStyle w:val="11"/>
            </w:pPr>
            <w:r>
              <w:t>70.36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321001石家庄市投资促进局本级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1872.44</w:t>
            </w:r>
          </w:p>
        </w:tc>
        <w:tc>
          <w:tcPr>
            <w:tcW w:w="3402" w:type="dxa"/>
            <w:vAlign w:val="center"/>
          </w:tcPr>
          <w:p>
            <w:pPr>
              <w:pStyle w:val="12"/>
            </w:pPr>
            <w:r>
              <w:t>一、一般公共服务支出</w:t>
            </w:r>
          </w:p>
        </w:tc>
        <w:tc>
          <w:tcPr>
            <w:tcW w:w="1474" w:type="dxa"/>
            <w:vAlign w:val="center"/>
          </w:tcPr>
          <w:p>
            <w:pPr>
              <w:pStyle w:val="11"/>
            </w:pPr>
            <w:r>
              <w:t>1615.86</w:t>
            </w:r>
          </w:p>
        </w:tc>
        <w:tc>
          <w:tcPr>
            <w:tcW w:w="1474" w:type="dxa"/>
            <w:vAlign w:val="center"/>
          </w:tcPr>
          <w:p>
            <w:pPr>
              <w:pStyle w:val="11"/>
            </w:pPr>
            <w:r>
              <w:t>1615.86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148.84</w:t>
            </w:r>
          </w:p>
        </w:tc>
        <w:tc>
          <w:tcPr>
            <w:tcW w:w="1474" w:type="dxa"/>
            <w:vAlign w:val="center"/>
          </w:tcPr>
          <w:p>
            <w:pPr>
              <w:pStyle w:val="11"/>
            </w:pPr>
            <w:r>
              <w:t>148.84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37.38</w:t>
            </w:r>
          </w:p>
        </w:tc>
        <w:tc>
          <w:tcPr>
            <w:tcW w:w="1474" w:type="dxa"/>
            <w:vAlign w:val="center"/>
          </w:tcPr>
          <w:p>
            <w:pPr>
              <w:pStyle w:val="11"/>
            </w:pPr>
            <w:r>
              <w:t>37.38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70.36</w:t>
            </w:r>
          </w:p>
        </w:tc>
        <w:tc>
          <w:tcPr>
            <w:tcW w:w="1474" w:type="dxa"/>
            <w:vAlign w:val="center"/>
          </w:tcPr>
          <w:p>
            <w:pPr>
              <w:pStyle w:val="11"/>
            </w:pPr>
            <w:r>
              <w:t>70.36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1872.44</w:t>
            </w:r>
          </w:p>
        </w:tc>
        <w:tc>
          <w:tcPr>
            <w:tcW w:w="3402" w:type="dxa"/>
            <w:vAlign w:val="center"/>
          </w:tcPr>
          <w:p>
            <w:pPr>
              <w:pStyle w:val="14"/>
            </w:pPr>
            <w:r>
              <w:t>本年支出合计</w:t>
            </w:r>
          </w:p>
        </w:tc>
        <w:tc>
          <w:tcPr>
            <w:tcW w:w="1474" w:type="dxa"/>
            <w:vAlign w:val="center"/>
          </w:tcPr>
          <w:p>
            <w:pPr>
              <w:pStyle w:val="15"/>
            </w:pPr>
            <w:r>
              <w:t>1872.44</w:t>
            </w:r>
          </w:p>
        </w:tc>
        <w:tc>
          <w:tcPr>
            <w:tcW w:w="1474" w:type="dxa"/>
            <w:vAlign w:val="center"/>
          </w:tcPr>
          <w:p>
            <w:pPr>
              <w:pStyle w:val="15"/>
            </w:pPr>
            <w:r>
              <w:t>1872.44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1872.44</w:t>
            </w:r>
          </w:p>
        </w:tc>
        <w:tc>
          <w:tcPr>
            <w:tcW w:w="3402" w:type="dxa"/>
            <w:vAlign w:val="center"/>
          </w:tcPr>
          <w:p>
            <w:pPr>
              <w:pStyle w:val="14"/>
            </w:pPr>
            <w:r>
              <w:t>支出总计</w:t>
            </w:r>
          </w:p>
        </w:tc>
        <w:tc>
          <w:tcPr>
            <w:tcW w:w="1474" w:type="dxa"/>
            <w:vAlign w:val="center"/>
          </w:tcPr>
          <w:p>
            <w:pPr>
              <w:pStyle w:val="15"/>
            </w:pPr>
            <w:r>
              <w:t>1872.44</w:t>
            </w:r>
          </w:p>
        </w:tc>
        <w:tc>
          <w:tcPr>
            <w:tcW w:w="1474" w:type="dxa"/>
            <w:vAlign w:val="center"/>
          </w:tcPr>
          <w:p>
            <w:pPr>
              <w:pStyle w:val="15"/>
            </w:pPr>
            <w:r>
              <w:t>1872.44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321001石家庄市投资促进局本级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1872.44</w:t>
            </w:r>
          </w:p>
        </w:tc>
        <w:tc>
          <w:tcPr>
            <w:tcW w:w="2551" w:type="dxa"/>
            <w:vAlign w:val="center"/>
          </w:tcPr>
          <w:p>
            <w:pPr>
              <w:pStyle w:val="15"/>
            </w:pPr>
            <w:r>
              <w:t>1007.53</w:t>
            </w:r>
          </w:p>
        </w:tc>
        <w:tc>
          <w:tcPr>
            <w:tcW w:w="2551" w:type="dxa"/>
            <w:vAlign w:val="center"/>
          </w:tcPr>
          <w:p>
            <w:pPr>
              <w:pStyle w:val="15"/>
            </w:pPr>
            <w:r>
              <w:t>864.91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1615.86</w:t>
            </w:r>
          </w:p>
        </w:tc>
        <w:tc>
          <w:tcPr>
            <w:tcW w:w="2551" w:type="dxa"/>
            <w:vAlign w:val="center"/>
          </w:tcPr>
          <w:p>
            <w:pPr>
              <w:pStyle w:val="11"/>
            </w:pPr>
            <w:r>
              <w:t>750.95</w:t>
            </w:r>
          </w:p>
        </w:tc>
        <w:tc>
          <w:tcPr>
            <w:tcW w:w="2551" w:type="dxa"/>
            <w:vAlign w:val="center"/>
          </w:tcPr>
          <w:p>
            <w:pPr>
              <w:pStyle w:val="11"/>
            </w:pPr>
            <w:r>
              <w:t>864.91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1615.86</w:t>
            </w:r>
          </w:p>
        </w:tc>
        <w:tc>
          <w:tcPr>
            <w:tcW w:w="2551" w:type="dxa"/>
            <w:vAlign w:val="center"/>
          </w:tcPr>
          <w:p>
            <w:pPr>
              <w:pStyle w:val="11"/>
            </w:pPr>
            <w:r>
              <w:t>750.95</w:t>
            </w:r>
          </w:p>
        </w:tc>
        <w:tc>
          <w:tcPr>
            <w:tcW w:w="2551" w:type="dxa"/>
            <w:vAlign w:val="center"/>
          </w:tcPr>
          <w:p>
            <w:pPr>
              <w:pStyle w:val="11"/>
            </w:pPr>
            <w:r>
              <w:t>864.91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2011301</w:t>
            </w:r>
          </w:p>
        </w:tc>
        <w:tc>
          <w:tcPr>
            <w:tcW w:w="4535" w:type="dxa"/>
            <w:vAlign w:val="center"/>
          </w:tcPr>
          <w:p>
            <w:pPr>
              <w:pStyle w:val="12"/>
            </w:pPr>
            <w:r>
              <w:t>行政运行</w:t>
            </w:r>
          </w:p>
        </w:tc>
        <w:tc>
          <w:tcPr>
            <w:tcW w:w="2551" w:type="dxa"/>
            <w:vAlign w:val="center"/>
          </w:tcPr>
          <w:p>
            <w:pPr>
              <w:pStyle w:val="11"/>
            </w:pPr>
            <w:r>
              <w:t>750.95</w:t>
            </w:r>
          </w:p>
        </w:tc>
        <w:tc>
          <w:tcPr>
            <w:tcW w:w="2551" w:type="dxa"/>
            <w:vAlign w:val="center"/>
          </w:tcPr>
          <w:p>
            <w:pPr>
              <w:pStyle w:val="11"/>
            </w:pPr>
            <w:r>
              <w:t>750.95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2011302</w:t>
            </w:r>
          </w:p>
        </w:tc>
        <w:tc>
          <w:tcPr>
            <w:tcW w:w="4535" w:type="dxa"/>
            <w:vAlign w:val="center"/>
          </w:tcPr>
          <w:p>
            <w:pPr>
              <w:pStyle w:val="12"/>
            </w:pPr>
            <w:r>
              <w:t>一般行政管理事务</w:t>
            </w:r>
          </w:p>
        </w:tc>
        <w:tc>
          <w:tcPr>
            <w:tcW w:w="2551" w:type="dxa"/>
            <w:vAlign w:val="center"/>
          </w:tcPr>
          <w:p>
            <w:pPr>
              <w:pStyle w:val="11"/>
            </w:pPr>
            <w:r>
              <w:t>24.91</w:t>
            </w:r>
          </w:p>
        </w:tc>
        <w:tc>
          <w:tcPr>
            <w:tcW w:w="2551" w:type="dxa"/>
            <w:vAlign w:val="center"/>
          </w:tcPr>
          <w:p>
            <w:pPr>
              <w:pStyle w:val="11"/>
            </w:pPr>
          </w:p>
        </w:tc>
        <w:tc>
          <w:tcPr>
            <w:tcW w:w="2551" w:type="dxa"/>
            <w:vAlign w:val="center"/>
          </w:tcPr>
          <w:p>
            <w:pPr>
              <w:pStyle w:val="11"/>
            </w:pPr>
            <w:r>
              <w:t>24.91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840.00</w:t>
            </w:r>
          </w:p>
        </w:tc>
        <w:tc>
          <w:tcPr>
            <w:tcW w:w="2551" w:type="dxa"/>
            <w:vAlign w:val="center"/>
          </w:tcPr>
          <w:p>
            <w:pPr>
              <w:pStyle w:val="11"/>
            </w:pPr>
          </w:p>
        </w:tc>
        <w:tc>
          <w:tcPr>
            <w:tcW w:w="2551" w:type="dxa"/>
            <w:vAlign w:val="center"/>
          </w:tcPr>
          <w:p>
            <w:pPr>
              <w:pStyle w:val="11"/>
            </w:pPr>
            <w:r>
              <w:t>840.00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148.84</w:t>
            </w:r>
          </w:p>
        </w:tc>
        <w:tc>
          <w:tcPr>
            <w:tcW w:w="2551" w:type="dxa"/>
            <w:vAlign w:val="center"/>
          </w:tcPr>
          <w:p>
            <w:pPr>
              <w:pStyle w:val="11"/>
            </w:pPr>
            <w:r>
              <w:t>148.84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147.04</w:t>
            </w:r>
          </w:p>
        </w:tc>
        <w:tc>
          <w:tcPr>
            <w:tcW w:w="2551" w:type="dxa"/>
            <w:vAlign w:val="center"/>
          </w:tcPr>
          <w:p>
            <w:pPr>
              <w:pStyle w:val="11"/>
            </w:pPr>
            <w:r>
              <w:t>147.04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71.30</w:t>
            </w:r>
          </w:p>
        </w:tc>
        <w:tc>
          <w:tcPr>
            <w:tcW w:w="2551" w:type="dxa"/>
            <w:vAlign w:val="center"/>
          </w:tcPr>
          <w:p>
            <w:pPr>
              <w:pStyle w:val="11"/>
            </w:pPr>
            <w:r>
              <w:t>71.30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75.74</w:t>
            </w:r>
          </w:p>
        </w:tc>
        <w:tc>
          <w:tcPr>
            <w:tcW w:w="2551" w:type="dxa"/>
            <w:vAlign w:val="center"/>
          </w:tcPr>
          <w:p>
            <w:pPr>
              <w:pStyle w:val="11"/>
            </w:pPr>
            <w:r>
              <w:t>75.74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37.38</w:t>
            </w:r>
          </w:p>
        </w:tc>
        <w:tc>
          <w:tcPr>
            <w:tcW w:w="2551" w:type="dxa"/>
            <w:vAlign w:val="center"/>
          </w:tcPr>
          <w:p>
            <w:pPr>
              <w:pStyle w:val="11"/>
            </w:pPr>
            <w:r>
              <w:t>37.38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37.38</w:t>
            </w:r>
          </w:p>
        </w:tc>
        <w:tc>
          <w:tcPr>
            <w:tcW w:w="2551" w:type="dxa"/>
            <w:vAlign w:val="center"/>
          </w:tcPr>
          <w:p>
            <w:pPr>
              <w:pStyle w:val="11"/>
            </w:pPr>
            <w:r>
              <w:t>37.38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24.80</w:t>
            </w:r>
          </w:p>
        </w:tc>
        <w:tc>
          <w:tcPr>
            <w:tcW w:w="2551" w:type="dxa"/>
            <w:vAlign w:val="center"/>
          </w:tcPr>
          <w:p>
            <w:pPr>
              <w:pStyle w:val="11"/>
            </w:pPr>
            <w:r>
              <w:t>24.80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12.58</w:t>
            </w:r>
          </w:p>
        </w:tc>
        <w:tc>
          <w:tcPr>
            <w:tcW w:w="2551" w:type="dxa"/>
            <w:vAlign w:val="center"/>
          </w:tcPr>
          <w:p>
            <w:pPr>
              <w:pStyle w:val="11"/>
            </w:pPr>
            <w:r>
              <w:t>12.58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70.36</w:t>
            </w:r>
          </w:p>
        </w:tc>
        <w:tc>
          <w:tcPr>
            <w:tcW w:w="2551" w:type="dxa"/>
            <w:vAlign w:val="center"/>
          </w:tcPr>
          <w:p>
            <w:pPr>
              <w:pStyle w:val="11"/>
            </w:pPr>
            <w:r>
              <w:t>70.36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70.36</w:t>
            </w:r>
          </w:p>
        </w:tc>
        <w:tc>
          <w:tcPr>
            <w:tcW w:w="2551" w:type="dxa"/>
            <w:vAlign w:val="center"/>
          </w:tcPr>
          <w:p>
            <w:pPr>
              <w:pStyle w:val="11"/>
            </w:pPr>
            <w:r>
              <w:t>70.36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70.36</w:t>
            </w:r>
          </w:p>
        </w:tc>
        <w:tc>
          <w:tcPr>
            <w:tcW w:w="2551" w:type="dxa"/>
            <w:vAlign w:val="center"/>
          </w:tcPr>
          <w:p>
            <w:pPr>
              <w:pStyle w:val="11"/>
            </w:pPr>
            <w:r>
              <w:t>70.36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321001石家庄市投资促进局本级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1007.53</w:t>
            </w:r>
          </w:p>
        </w:tc>
        <w:tc>
          <w:tcPr>
            <w:tcW w:w="2551" w:type="dxa"/>
            <w:vAlign w:val="center"/>
          </w:tcPr>
          <w:p>
            <w:pPr>
              <w:pStyle w:val="15"/>
            </w:pPr>
            <w:r>
              <w:t>908.11</w:t>
            </w:r>
          </w:p>
        </w:tc>
        <w:tc>
          <w:tcPr>
            <w:tcW w:w="2551" w:type="dxa"/>
            <w:vAlign w:val="center"/>
          </w:tcPr>
          <w:p>
            <w:pPr>
              <w:pStyle w:val="15"/>
            </w:pPr>
            <w:r>
              <w:t>99.42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784.96</w:t>
            </w:r>
          </w:p>
        </w:tc>
        <w:tc>
          <w:tcPr>
            <w:tcW w:w="2551" w:type="dxa"/>
            <w:vAlign w:val="center"/>
          </w:tcPr>
          <w:p>
            <w:pPr>
              <w:pStyle w:val="11"/>
            </w:pPr>
            <w:r>
              <w:t>784.96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211.51</w:t>
            </w:r>
          </w:p>
        </w:tc>
        <w:tc>
          <w:tcPr>
            <w:tcW w:w="2551" w:type="dxa"/>
            <w:vAlign w:val="center"/>
          </w:tcPr>
          <w:p>
            <w:pPr>
              <w:pStyle w:val="11"/>
            </w:pPr>
            <w:r>
              <w:t>211.51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171.70</w:t>
            </w:r>
          </w:p>
        </w:tc>
        <w:tc>
          <w:tcPr>
            <w:tcW w:w="2551" w:type="dxa"/>
            <w:vAlign w:val="center"/>
          </w:tcPr>
          <w:p>
            <w:pPr>
              <w:pStyle w:val="11"/>
            </w:pPr>
            <w:r>
              <w:t>171.70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191.70</w:t>
            </w:r>
          </w:p>
        </w:tc>
        <w:tc>
          <w:tcPr>
            <w:tcW w:w="2551" w:type="dxa"/>
            <w:vAlign w:val="center"/>
          </w:tcPr>
          <w:p>
            <w:pPr>
              <w:pStyle w:val="11"/>
            </w:pPr>
            <w:r>
              <w:t>191.70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2.28</w:t>
            </w:r>
          </w:p>
        </w:tc>
        <w:tc>
          <w:tcPr>
            <w:tcW w:w="2551" w:type="dxa"/>
            <w:vAlign w:val="center"/>
          </w:tcPr>
          <w:p>
            <w:pPr>
              <w:pStyle w:val="11"/>
            </w:pPr>
            <w:r>
              <w:t>2.28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75.74</w:t>
            </w:r>
          </w:p>
        </w:tc>
        <w:tc>
          <w:tcPr>
            <w:tcW w:w="2551" w:type="dxa"/>
            <w:vAlign w:val="center"/>
          </w:tcPr>
          <w:p>
            <w:pPr>
              <w:pStyle w:val="11"/>
            </w:pPr>
            <w:r>
              <w:t>75.74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24.80</w:t>
            </w:r>
          </w:p>
        </w:tc>
        <w:tc>
          <w:tcPr>
            <w:tcW w:w="2551" w:type="dxa"/>
            <w:vAlign w:val="center"/>
          </w:tcPr>
          <w:p>
            <w:pPr>
              <w:pStyle w:val="11"/>
            </w:pPr>
            <w:r>
              <w:t>24.80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12.58</w:t>
            </w:r>
          </w:p>
        </w:tc>
        <w:tc>
          <w:tcPr>
            <w:tcW w:w="2551" w:type="dxa"/>
            <w:vAlign w:val="center"/>
          </w:tcPr>
          <w:p>
            <w:pPr>
              <w:pStyle w:val="11"/>
            </w:pPr>
            <w:r>
              <w:t>12.58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70.36</w:t>
            </w:r>
          </w:p>
        </w:tc>
        <w:tc>
          <w:tcPr>
            <w:tcW w:w="2551" w:type="dxa"/>
            <w:vAlign w:val="center"/>
          </w:tcPr>
          <w:p>
            <w:pPr>
              <w:pStyle w:val="11"/>
            </w:pPr>
            <w:r>
              <w:t>70.36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22.49</w:t>
            </w:r>
          </w:p>
        </w:tc>
        <w:tc>
          <w:tcPr>
            <w:tcW w:w="2551" w:type="dxa"/>
            <w:vAlign w:val="center"/>
          </w:tcPr>
          <w:p>
            <w:pPr>
              <w:pStyle w:val="11"/>
            </w:pPr>
            <w:r>
              <w:t>22.49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99.42</w:t>
            </w:r>
          </w:p>
        </w:tc>
        <w:tc>
          <w:tcPr>
            <w:tcW w:w="2551" w:type="dxa"/>
            <w:vAlign w:val="center"/>
          </w:tcPr>
          <w:p>
            <w:pPr>
              <w:pStyle w:val="11"/>
            </w:pPr>
          </w:p>
        </w:tc>
        <w:tc>
          <w:tcPr>
            <w:tcW w:w="2551" w:type="dxa"/>
            <w:vAlign w:val="center"/>
          </w:tcPr>
          <w:p>
            <w:pPr>
              <w:pStyle w:val="11"/>
            </w:pPr>
            <w:r>
              <w:t>99.42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10.71</w:t>
            </w:r>
          </w:p>
        </w:tc>
        <w:tc>
          <w:tcPr>
            <w:tcW w:w="2551" w:type="dxa"/>
            <w:vAlign w:val="center"/>
          </w:tcPr>
          <w:p>
            <w:pPr>
              <w:pStyle w:val="11"/>
            </w:pPr>
          </w:p>
        </w:tc>
        <w:tc>
          <w:tcPr>
            <w:tcW w:w="2551" w:type="dxa"/>
            <w:vAlign w:val="center"/>
          </w:tcPr>
          <w:p>
            <w:pPr>
              <w:pStyle w:val="11"/>
            </w:pPr>
            <w:r>
              <w:t>10.71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28.60</w:t>
            </w:r>
          </w:p>
        </w:tc>
        <w:tc>
          <w:tcPr>
            <w:tcW w:w="2551" w:type="dxa"/>
            <w:vAlign w:val="center"/>
          </w:tcPr>
          <w:p>
            <w:pPr>
              <w:pStyle w:val="11"/>
            </w:pPr>
          </w:p>
        </w:tc>
        <w:tc>
          <w:tcPr>
            <w:tcW w:w="2551" w:type="dxa"/>
            <w:vAlign w:val="center"/>
          </w:tcPr>
          <w:p>
            <w:pPr>
              <w:pStyle w:val="11"/>
            </w:pPr>
            <w:r>
              <w:t>28.60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12.80</w:t>
            </w:r>
          </w:p>
        </w:tc>
        <w:tc>
          <w:tcPr>
            <w:tcW w:w="2551" w:type="dxa"/>
            <w:vAlign w:val="center"/>
          </w:tcPr>
          <w:p>
            <w:pPr>
              <w:pStyle w:val="11"/>
            </w:pPr>
          </w:p>
        </w:tc>
        <w:tc>
          <w:tcPr>
            <w:tcW w:w="2551" w:type="dxa"/>
            <w:vAlign w:val="center"/>
          </w:tcPr>
          <w:p>
            <w:pPr>
              <w:pStyle w:val="11"/>
            </w:pPr>
            <w: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0.84</w:t>
            </w:r>
          </w:p>
        </w:tc>
        <w:tc>
          <w:tcPr>
            <w:tcW w:w="2551" w:type="dxa"/>
            <w:vAlign w:val="center"/>
          </w:tcPr>
          <w:p>
            <w:pPr>
              <w:pStyle w:val="11"/>
            </w:pPr>
          </w:p>
        </w:tc>
        <w:tc>
          <w:tcPr>
            <w:tcW w:w="2551" w:type="dxa"/>
            <w:vAlign w:val="center"/>
          </w:tcPr>
          <w:p>
            <w:pPr>
              <w:pStyle w:val="11"/>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1.77</w:t>
            </w:r>
          </w:p>
        </w:tc>
        <w:tc>
          <w:tcPr>
            <w:tcW w:w="2551" w:type="dxa"/>
            <w:vAlign w:val="center"/>
          </w:tcPr>
          <w:p>
            <w:pPr>
              <w:pStyle w:val="11"/>
            </w:pPr>
          </w:p>
        </w:tc>
        <w:tc>
          <w:tcPr>
            <w:tcW w:w="2551" w:type="dxa"/>
            <w:vAlign w:val="center"/>
          </w:tcPr>
          <w:p>
            <w:pPr>
              <w:pStyle w:val="11"/>
            </w:pPr>
            <w:r>
              <w:t>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0.76</w:t>
            </w:r>
          </w:p>
        </w:tc>
        <w:tc>
          <w:tcPr>
            <w:tcW w:w="2551" w:type="dxa"/>
            <w:vAlign w:val="center"/>
          </w:tcPr>
          <w:p>
            <w:pPr>
              <w:pStyle w:val="11"/>
            </w:pPr>
          </w:p>
        </w:tc>
        <w:tc>
          <w:tcPr>
            <w:tcW w:w="2551" w:type="dxa"/>
            <w:vAlign w:val="center"/>
          </w:tcPr>
          <w:p>
            <w:pPr>
              <w:pStyle w:val="11"/>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7.19</w:t>
            </w:r>
          </w:p>
        </w:tc>
        <w:tc>
          <w:tcPr>
            <w:tcW w:w="2551" w:type="dxa"/>
            <w:vAlign w:val="center"/>
          </w:tcPr>
          <w:p>
            <w:pPr>
              <w:pStyle w:val="11"/>
            </w:pPr>
          </w:p>
        </w:tc>
        <w:tc>
          <w:tcPr>
            <w:tcW w:w="2551" w:type="dxa"/>
            <w:vAlign w:val="center"/>
          </w:tcPr>
          <w:p>
            <w:pPr>
              <w:pStyle w:val="11"/>
            </w:pPr>
            <w:r>
              <w:t>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32.30</w:t>
            </w:r>
          </w:p>
        </w:tc>
        <w:tc>
          <w:tcPr>
            <w:tcW w:w="2551" w:type="dxa"/>
            <w:vAlign w:val="center"/>
          </w:tcPr>
          <w:p>
            <w:pPr>
              <w:pStyle w:val="11"/>
            </w:pPr>
          </w:p>
        </w:tc>
        <w:tc>
          <w:tcPr>
            <w:tcW w:w="2551" w:type="dxa"/>
            <w:vAlign w:val="center"/>
          </w:tcPr>
          <w:p>
            <w:pPr>
              <w:pStyle w:val="11"/>
            </w:pPr>
            <w:r>
              <w:t>32.30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2.51</w:t>
            </w:r>
          </w:p>
        </w:tc>
        <w:tc>
          <w:tcPr>
            <w:tcW w:w="2551" w:type="dxa"/>
            <w:vAlign w:val="center"/>
          </w:tcPr>
          <w:p>
            <w:pPr>
              <w:pStyle w:val="11"/>
            </w:pPr>
          </w:p>
        </w:tc>
        <w:tc>
          <w:tcPr>
            <w:tcW w:w="2551" w:type="dxa"/>
            <w:vAlign w:val="center"/>
          </w:tcPr>
          <w:p>
            <w:pPr>
              <w:pStyle w:val="11"/>
            </w:pPr>
            <w:r>
              <w:t>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123.15</w:t>
            </w:r>
          </w:p>
        </w:tc>
        <w:tc>
          <w:tcPr>
            <w:tcW w:w="2551" w:type="dxa"/>
            <w:vAlign w:val="center"/>
          </w:tcPr>
          <w:p>
            <w:pPr>
              <w:pStyle w:val="11"/>
            </w:pPr>
            <w:r>
              <w:t>123.15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71.30</w:t>
            </w:r>
          </w:p>
        </w:tc>
        <w:tc>
          <w:tcPr>
            <w:tcW w:w="2551" w:type="dxa"/>
            <w:vAlign w:val="center"/>
          </w:tcPr>
          <w:p>
            <w:pPr>
              <w:pStyle w:val="11"/>
            </w:pPr>
            <w:r>
              <w:t>71.30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1.85</w:t>
            </w:r>
          </w:p>
        </w:tc>
        <w:tc>
          <w:tcPr>
            <w:tcW w:w="2551" w:type="dxa"/>
            <w:vAlign w:val="center"/>
          </w:tcPr>
          <w:p>
            <w:pPr>
              <w:pStyle w:val="11"/>
            </w:pPr>
            <w:r>
              <w:t>1.85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321001石家庄市投资促进局本级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321001石家庄市投资促进局本级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321001石家庄市投资促进局本级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0.76</w:t>
            </w:r>
          </w:p>
        </w:tc>
        <w:tc>
          <w:tcPr>
            <w:tcW w:w="2381" w:type="dxa"/>
            <w:vAlign w:val="center"/>
          </w:tcPr>
          <w:p>
            <w:pPr>
              <w:pStyle w:val="11"/>
            </w:pPr>
            <w:r>
              <w:t>0.76</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石家庄市投资促进局本级2026年单位预算信息公开情况说明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按照《中华人民共和国预算法》、《地方预决算公开操作规程》和《关于进一步推进预算公开工作的实施意见》规定，现将石家庄市投资促进局本级2026年单位预算公开如下：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（一）负责拟订招商引资、利用外资、区域协作、开发区管理中长期发展规划、年度计划并组织实施；研究拟订投资促进政策，组织起草投资促进方面地方性法规、政府规章草案。</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（二）负责建立投资促进工作体系、工作机制，对利用国内外资金和经济技术合作、开发区发展情况进行统计、汇总、分析。</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（三）负责促进资金、技术、人才、项目引进和产业对接，争取招商引资相关政策、资金和项目支持。</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（五）负责国（境）内外重大投资促进活动的谋划、方案制定和组织实施；牵头组织专业性、行业性投资促进活动；指导协调各县(市、区)和各级各类开发区(园区）开展招商活动。</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六）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（七）负责对国（境）内外重要客户的联络拓展、重要团组和客户来访考察、洽谈的组织。</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（八）组织和促进委托招商、代理招商、中介招商、专业招商、网上招商等多种形式的招商活动，制订并落实奖励政策；加强招商引资专业人才队伍建设。</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（九）负责引进央企资金、项目及各项合作，促进合作项目的建设，负责为央企服务工作；负责外商投资项目建设的跟踪、协调和服务工作，负责引进资金到位统计工作。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负责指导全市经济技术交流与区域经济技术合作工作；负责区域间资金、项目、人才、科研成果及产业合作工作，开展与省外重点大专院校、科研院所合作；负责市所、市校科研合作开发资金的监督管理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一）负责经济开发区（园区）管理工作，负责经济开发区（园区）建立、升级、扩区工作，指导经济开发区（园区）建设、招商引资和体制、机制创新，负责对经济开发区(园区）招商引资工作的调度和绩效评估、考核认定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（十二）完成市委、市政府交办的其他任务。</w:t>
      </w:r>
    </w:p>
    <w:p>
      <w:pPr>
        <w:spacing w:before="0" w:after="0" w:line="500" w:lineRule="exact"/>
        <w:ind w:firstLine="560"/>
        <w:jc w:val="left"/>
        <w:outlineLvl w:val="9"/>
      </w:pPr>
      <w:r>
        <w:rPr>
          <w:rFonts w:hint="eastAsia" w:ascii="Times New Roman" w:hAnsi="Times New Roman" w:eastAsia="方正仿宋_GBK" w:cs="Times New Roman"/>
          <w:color w:val="000000"/>
          <w:sz w:val="28"/>
        </w:rPr>
        <w:t>（十三）有关职责分工。与市市场监督管理局的有关职责分工。市投促局负责指导外商投资项目核准和备案工作，指导、监督、检查外商投资企业设立及变更的备案工作。市市场监督管理局负责外商投资企业注册登记、监督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石家庄市投资促进局本级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rPr>
          <w:rFonts w:hint="eastAsia"/>
        </w:rPr>
      </w:pPr>
      <w:r>
        <w:rPr>
          <w:rFonts w:hint="eastAsia"/>
        </w:rPr>
        <w:t>按照预算管理有关规定，目前我市单位预算的编制实行综合预算管理，即全部收入和支出都反映在预算中。</w:t>
      </w:r>
    </w:p>
    <w:p>
      <w:pPr>
        <w:pStyle w:val="18"/>
        <w:rPr>
          <w:rFonts w:hint="eastAsia"/>
        </w:rPr>
      </w:pPr>
      <w:r>
        <w:rPr>
          <w:rFonts w:hint="eastAsia"/>
        </w:rPr>
        <w:t>1、收入说明</w:t>
      </w:r>
    </w:p>
    <w:p>
      <w:pPr>
        <w:pStyle w:val="18"/>
        <w:rPr>
          <w:rFonts w:hint="eastAsia"/>
        </w:rPr>
      </w:pPr>
      <w:r>
        <w:rPr>
          <w:rFonts w:hint="eastAsia"/>
        </w:rPr>
        <w:t>反映本单位当年全部收入。202</w:t>
      </w:r>
      <w:r>
        <w:rPr>
          <w:rFonts w:hint="eastAsia"/>
          <w:lang w:val="en-US" w:eastAsia="zh-CN"/>
        </w:rPr>
        <w:t>6</w:t>
      </w:r>
      <w:r>
        <w:rPr>
          <w:rFonts w:hint="eastAsia"/>
        </w:rPr>
        <w:t>年预算收入</w:t>
      </w:r>
      <w:r>
        <w:rPr>
          <w:rFonts w:hint="eastAsia"/>
          <w:lang w:val="en-US" w:eastAsia="zh-CN"/>
        </w:rPr>
        <w:t>1872.44</w:t>
      </w:r>
      <w:r>
        <w:rPr>
          <w:rFonts w:hint="eastAsia"/>
        </w:rPr>
        <w:t>万元，其中：一般公共预算收入</w:t>
      </w:r>
      <w:r>
        <w:rPr>
          <w:rFonts w:hint="eastAsia"/>
          <w:lang w:val="en-US" w:eastAsia="zh-CN"/>
        </w:rPr>
        <w:t>1872.44</w:t>
      </w:r>
      <w:r>
        <w:rPr>
          <w:rFonts w:hint="eastAsia"/>
        </w:rPr>
        <w:t>万元，基金预算收入0 万元，国有资本经营预算收入0 万元，财政专户核拨收入0 万元，其他来源收入0 万元。</w:t>
      </w:r>
    </w:p>
    <w:p>
      <w:pPr>
        <w:pStyle w:val="18"/>
        <w:rPr>
          <w:rFonts w:hint="eastAsia"/>
        </w:rPr>
      </w:pPr>
      <w:r>
        <w:rPr>
          <w:rFonts w:hint="eastAsia"/>
        </w:rPr>
        <w:t>2、支出说明</w:t>
      </w:r>
    </w:p>
    <w:p>
      <w:pPr>
        <w:pStyle w:val="18"/>
        <w:rPr>
          <w:rFonts w:hint="eastAsia"/>
        </w:rPr>
      </w:pPr>
      <w:r>
        <w:rPr>
          <w:rFonts w:hint="eastAsia"/>
        </w:rPr>
        <w:t>收支预算总表支出栏、基本支出表、项目支出表按经济分类和支出功能分类科目编制，反映石家庄市投资促进局年度单位预算中支出预算的总体情况。202</w:t>
      </w:r>
      <w:r>
        <w:rPr>
          <w:rFonts w:hint="eastAsia"/>
          <w:lang w:val="en-US" w:eastAsia="zh-CN"/>
        </w:rPr>
        <w:t>6</w:t>
      </w:r>
      <w:r>
        <w:rPr>
          <w:rFonts w:hint="eastAsia"/>
        </w:rPr>
        <w:t xml:space="preserve"> 年单位支出预算为</w:t>
      </w:r>
      <w:r>
        <w:rPr>
          <w:rFonts w:hint="eastAsia"/>
          <w:lang w:val="en-US" w:eastAsia="zh-CN"/>
        </w:rPr>
        <w:t>1872.44</w:t>
      </w:r>
      <w:r>
        <w:rPr>
          <w:rFonts w:hint="eastAsia"/>
        </w:rPr>
        <w:t xml:space="preserve"> 万元，其中基本支出</w:t>
      </w:r>
      <w:r>
        <w:rPr>
          <w:rFonts w:hint="eastAsia"/>
          <w:lang w:val="en-US" w:eastAsia="zh-CN"/>
        </w:rPr>
        <w:t>1007.53</w:t>
      </w:r>
      <w:r>
        <w:rPr>
          <w:rFonts w:hint="eastAsia"/>
        </w:rPr>
        <w:t>万元，包括人员经费</w:t>
      </w:r>
      <w:r>
        <w:rPr>
          <w:rFonts w:hint="eastAsia"/>
          <w:lang w:val="en-US" w:eastAsia="zh-CN"/>
        </w:rPr>
        <w:t>908.11</w:t>
      </w:r>
      <w:r>
        <w:rPr>
          <w:rFonts w:hint="eastAsia"/>
        </w:rPr>
        <w:t>万元和日常公用经费</w:t>
      </w:r>
      <w:r>
        <w:rPr>
          <w:rFonts w:hint="eastAsia"/>
          <w:lang w:val="en-US" w:eastAsia="zh-CN"/>
        </w:rPr>
        <w:t>99.42</w:t>
      </w:r>
      <w:r>
        <w:rPr>
          <w:rFonts w:hint="eastAsia"/>
        </w:rPr>
        <w:t>万元。项目支出</w:t>
      </w:r>
      <w:r>
        <w:rPr>
          <w:rFonts w:hint="eastAsia"/>
          <w:lang w:val="en-US" w:eastAsia="zh-CN"/>
        </w:rPr>
        <w:t>864.91</w:t>
      </w:r>
      <w:r>
        <w:rPr>
          <w:rFonts w:hint="eastAsia"/>
        </w:rPr>
        <w:t xml:space="preserve"> 万元，主要为：招商引资经费</w:t>
      </w:r>
      <w:r>
        <w:rPr>
          <w:rFonts w:hint="eastAsia"/>
          <w:lang w:val="en-US" w:eastAsia="zh-CN"/>
        </w:rPr>
        <w:t>840</w:t>
      </w:r>
      <w:r>
        <w:rPr>
          <w:rFonts w:hint="eastAsia"/>
        </w:rPr>
        <w:t xml:space="preserve"> 万元；开发区管理经费</w:t>
      </w:r>
      <w:r>
        <w:rPr>
          <w:rFonts w:hint="eastAsia"/>
          <w:lang w:val="en-US" w:eastAsia="zh-CN"/>
        </w:rPr>
        <w:t>7</w:t>
      </w:r>
      <w:r>
        <w:rPr>
          <w:rFonts w:hint="eastAsia"/>
        </w:rPr>
        <w:t>万元；党组织活动经费3.</w:t>
      </w:r>
      <w:r>
        <w:rPr>
          <w:rFonts w:hint="eastAsia"/>
          <w:lang w:val="en-US" w:eastAsia="zh-CN"/>
        </w:rPr>
        <w:t>5</w:t>
      </w:r>
      <w:r>
        <w:rPr>
          <w:rFonts w:hint="eastAsia"/>
        </w:rPr>
        <w:t>万元；法律顾问经费</w:t>
      </w:r>
      <w:r>
        <w:rPr>
          <w:rFonts w:hint="eastAsia"/>
          <w:lang w:val="en-US" w:eastAsia="zh-CN"/>
        </w:rPr>
        <w:t>2.7</w:t>
      </w:r>
      <w:r>
        <w:rPr>
          <w:rFonts w:hint="eastAsia"/>
        </w:rPr>
        <w:t>万元；文件资料印刷费</w:t>
      </w:r>
      <w:r>
        <w:rPr>
          <w:rFonts w:hint="eastAsia"/>
          <w:lang w:val="en-US" w:eastAsia="zh-CN"/>
        </w:rPr>
        <w:t>2</w:t>
      </w:r>
      <w:r>
        <w:rPr>
          <w:rFonts w:hint="eastAsia"/>
        </w:rPr>
        <w:t>万元；业务培训费</w:t>
      </w:r>
      <w:r>
        <w:rPr>
          <w:rFonts w:hint="eastAsia"/>
          <w:lang w:val="en-US" w:eastAsia="zh-CN"/>
        </w:rPr>
        <w:t>5.7</w:t>
      </w:r>
      <w:r>
        <w:rPr>
          <w:rFonts w:hint="eastAsia"/>
        </w:rPr>
        <w:t>万元；办公设备购置</w:t>
      </w:r>
      <w:r>
        <w:rPr>
          <w:rFonts w:hint="eastAsia"/>
          <w:lang w:val="en-US" w:eastAsia="zh-CN"/>
        </w:rPr>
        <w:t>1.21</w:t>
      </w:r>
      <w:r>
        <w:rPr>
          <w:rFonts w:hint="eastAsia"/>
        </w:rPr>
        <w:t>万元；业务咨询费</w:t>
      </w:r>
      <w:r>
        <w:rPr>
          <w:rFonts w:hint="eastAsia"/>
          <w:lang w:val="en-US" w:eastAsia="zh-CN"/>
        </w:rPr>
        <w:t>2.8</w:t>
      </w:r>
      <w:r>
        <w:rPr>
          <w:rFonts w:hint="eastAsia"/>
        </w:rPr>
        <w:t>万元；其他支出0 万元。</w:t>
      </w:r>
    </w:p>
    <w:p>
      <w:pPr>
        <w:pStyle w:val="18"/>
        <w:rPr>
          <w:rFonts w:hint="eastAsia"/>
        </w:rPr>
      </w:pPr>
      <w:r>
        <w:rPr>
          <w:rFonts w:hint="eastAsia"/>
        </w:rPr>
        <w:t>3、比上年增减情况</w:t>
      </w:r>
    </w:p>
    <w:p>
      <w:pPr>
        <w:pStyle w:val="18"/>
        <w:rPr>
          <w:rFonts w:hint="eastAsia"/>
        </w:rPr>
      </w:pPr>
      <w:r>
        <w:rPr>
          <w:rFonts w:hint="eastAsia"/>
        </w:rPr>
        <w:t>202</w:t>
      </w:r>
      <w:r>
        <w:rPr>
          <w:rFonts w:hint="eastAsia"/>
          <w:lang w:val="en-US" w:eastAsia="zh-CN"/>
        </w:rPr>
        <w:t>6</w:t>
      </w:r>
      <w:r>
        <w:rPr>
          <w:rFonts w:hint="eastAsia"/>
        </w:rPr>
        <w:t>年单位预算收支安排</w:t>
      </w:r>
      <w:r>
        <w:rPr>
          <w:rFonts w:hint="eastAsia"/>
          <w:lang w:val="en-US" w:eastAsia="zh-CN"/>
        </w:rPr>
        <w:t>1872.44</w:t>
      </w:r>
      <w:r>
        <w:rPr>
          <w:rFonts w:hint="eastAsia"/>
        </w:rPr>
        <w:t xml:space="preserve"> 万元，较202</w:t>
      </w:r>
      <w:r>
        <w:rPr>
          <w:rFonts w:hint="eastAsia"/>
          <w:lang w:val="en-US" w:eastAsia="zh-CN"/>
        </w:rPr>
        <w:t>5</w:t>
      </w:r>
      <w:r>
        <w:rPr>
          <w:rFonts w:hint="eastAsia"/>
        </w:rPr>
        <w:t>年</w:t>
      </w:r>
      <w:r>
        <w:rPr>
          <w:rFonts w:hint="eastAsia"/>
          <w:lang w:eastAsia="zh-CN"/>
        </w:rPr>
        <w:t>增加</w:t>
      </w:r>
      <w:r>
        <w:rPr>
          <w:rFonts w:hint="eastAsia"/>
          <w:lang w:val="en-US" w:eastAsia="zh-CN"/>
        </w:rPr>
        <w:t>130.37</w:t>
      </w:r>
      <w:r>
        <w:rPr>
          <w:rFonts w:hint="eastAsia"/>
        </w:rPr>
        <w:t xml:space="preserve"> 万元，其中：基本支出</w:t>
      </w:r>
      <w:r>
        <w:rPr>
          <w:rFonts w:hint="eastAsia"/>
          <w:lang w:eastAsia="zh-CN"/>
        </w:rPr>
        <w:t>增加</w:t>
      </w:r>
      <w:r>
        <w:rPr>
          <w:rFonts w:hint="eastAsia"/>
          <w:lang w:val="en-US" w:eastAsia="zh-CN"/>
        </w:rPr>
        <w:t>45.48</w:t>
      </w:r>
      <w:r>
        <w:rPr>
          <w:rFonts w:hint="eastAsia"/>
        </w:rPr>
        <w:t xml:space="preserve"> 万元，人员经费</w:t>
      </w:r>
      <w:r>
        <w:rPr>
          <w:rFonts w:hint="eastAsia"/>
          <w:lang w:eastAsia="zh-CN"/>
        </w:rPr>
        <w:t>增加</w:t>
      </w:r>
      <w:r>
        <w:rPr>
          <w:rFonts w:hint="eastAsia"/>
          <w:lang w:val="en-US" w:eastAsia="zh-CN"/>
        </w:rPr>
        <w:t>52.19</w:t>
      </w:r>
      <w:r>
        <w:rPr>
          <w:rFonts w:hint="eastAsia"/>
        </w:rPr>
        <w:t>万元</w:t>
      </w:r>
      <w:r>
        <w:rPr>
          <w:rFonts w:hint="eastAsia"/>
          <w:lang w:eastAsia="zh-CN"/>
        </w:rPr>
        <w:t>，公用</w:t>
      </w:r>
      <w:r>
        <w:rPr>
          <w:rFonts w:hint="eastAsia"/>
        </w:rPr>
        <w:t>经费</w:t>
      </w:r>
      <w:r>
        <w:rPr>
          <w:rFonts w:hint="eastAsia"/>
          <w:lang w:eastAsia="zh-CN"/>
        </w:rPr>
        <w:t>减少</w:t>
      </w:r>
      <w:r>
        <w:rPr>
          <w:rFonts w:hint="eastAsia"/>
          <w:lang w:val="en-US" w:eastAsia="zh-CN"/>
        </w:rPr>
        <w:t>6.71</w:t>
      </w:r>
      <w:r>
        <w:rPr>
          <w:rFonts w:hint="eastAsia"/>
        </w:rPr>
        <w:t>万元；主要是人员调整导致人员经费和日常公用经费变化；项目支出减少</w:t>
      </w:r>
      <w:r>
        <w:rPr>
          <w:rFonts w:hint="eastAsia"/>
          <w:lang w:val="en-US" w:eastAsia="zh-CN"/>
        </w:rPr>
        <w:t>84.89</w:t>
      </w:r>
      <w:r>
        <w:rPr>
          <w:rFonts w:hint="eastAsia"/>
        </w:rPr>
        <w:t xml:space="preserve"> 万元，主要是</w:t>
      </w:r>
      <w:r>
        <w:rPr>
          <w:rFonts w:hint="eastAsia" w:ascii="Times New Roman" w:hAnsi="Times New Roman" w:eastAsia="方正仿宋_GBK" w:cs="Times New Roman"/>
          <w:color w:val="000000"/>
          <w:sz w:val="28"/>
          <w:lang w:eastAsia="zh-CN"/>
        </w:rPr>
        <w:t>新增“香港周”招商活动</w:t>
      </w:r>
      <w:r>
        <w:rPr>
          <w:rFonts w:hint="eastAsia"/>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w:t>
      </w:r>
      <w:r>
        <w:rPr>
          <w:rFonts w:hint="eastAsia"/>
          <w:lang w:val="en-US" w:eastAsia="zh-CN"/>
        </w:rPr>
        <w:t>6</w:t>
      </w:r>
      <w:r>
        <w:rPr>
          <w:rFonts w:hint="eastAsia"/>
        </w:rPr>
        <w:t>年，我单位机关运行经费共计安排</w:t>
      </w:r>
      <w:r>
        <w:rPr>
          <w:rFonts w:hint="eastAsia"/>
          <w:lang w:val="en-US" w:eastAsia="zh-CN"/>
        </w:rPr>
        <w:t>99.42</w:t>
      </w:r>
      <w:r>
        <w:rPr>
          <w:rFonts w:hint="eastAsia"/>
        </w:rPr>
        <w:t xml:space="preserve"> 万元，主要用于保证机关正常运转的办公费、邮电费、差旅费、会议费、公务车运行维护费等支出。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rPr>
          <w:rFonts w:hint="eastAsia"/>
        </w:rPr>
        <w:t>202</w:t>
      </w:r>
      <w:r>
        <w:rPr>
          <w:rFonts w:hint="eastAsia"/>
          <w:lang w:val="en-US" w:eastAsia="zh-CN"/>
        </w:rPr>
        <w:t>6</w:t>
      </w:r>
      <w:r>
        <w:rPr>
          <w:rFonts w:hint="eastAsia"/>
        </w:rPr>
        <w:t>年度，我单位财政拨款“三公”经费预算安排2.7万元，其中：因公出国（境）费0 万元，与上年度持平；公务用车购置及运维费</w:t>
      </w:r>
      <w:r>
        <w:rPr>
          <w:rFonts w:hint="eastAsia"/>
          <w:lang w:val="en-US" w:eastAsia="zh-CN"/>
        </w:rPr>
        <w:t>1.94</w:t>
      </w:r>
      <w:r>
        <w:rPr>
          <w:rFonts w:hint="eastAsia"/>
        </w:rPr>
        <w:t>万元（其中：公务用车购置费0 万元，公务用车运行维护费</w:t>
      </w:r>
      <w:r>
        <w:rPr>
          <w:rFonts w:hint="eastAsia"/>
          <w:lang w:val="en-US" w:eastAsia="zh-CN"/>
        </w:rPr>
        <w:t>1.94</w:t>
      </w:r>
      <w:r>
        <w:rPr>
          <w:rFonts w:hint="eastAsia"/>
        </w:rPr>
        <w:t>万元)，较上年度减少</w:t>
      </w:r>
      <w:r>
        <w:rPr>
          <w:rFonts w:hint="eastAsia"/>
          <w:lang w:val="en-US" w:eastAsia="zh-CN"/>
        </w:rPr>
        <w:t>0.06</w:t>
      </w:r>
      <w:r>
        <w:rPr>
          <w:rFonts w:hint="eastAsia"/>
        </w:rPr>
        <w:t>万元，增减变化的主要原因是厉行节约，减少经费开支；公务接待费0.76 万元，与上年度持平。202</w:t>
      </w:r>
      <w:r>
        <w:rPr>
          <w:rFonts w:hint="eastAsia"/>
          <w:lang w:val="en-US" w:eastAsia="zh-CN"/>
        </w:rPr>
        <w:t>5</w:t>
      </w:r>
      <w:r>
        <w:rPr>
          <w:rFonts w:hint="eastAsia"/>
        </w:rPr>
        <w:t>年度，我单位财政拨款“三公”经费预算安排2.76 万元，2025 年度“三公”经费较2024 年度减少0.</w:t>
      </w:r>
      <w:r>
        <w:rPr>
          <w:rFonts w:hint="eastAsia"/>
          <w:lang w:val="en-US" w:eastAsia="zh-CN"/>
        </w:rPr>
        <w:t>06</w:t>
      </w:r>
      <w:r>
        <w:rPr>
          <w:rFonts w:hint="eastAsia"/>
        </w:rPr>
        <w:t>万元，增减变化的主要原因是厉行节约，减少经费开支。</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pStyle w:val="20"/>
        <w:rPr>
          <w:rFonts w:hint="eastAsia"/>
        </w:rPr>
        <w:sectPr>
          <w:pgSz w:w="16840" w:h="11900" w:orient="landscape"/>
          <w:pgMar w:top="1361" w:right="1020" w:bottom="1361" w:left="1020" w:header="720" w:footer="720" w:gutter="0"/>
          <w:cols w:space="720" w:num="1"/>
        </w:sectPr>
      </w:pPr>
      <w:r>
        <w:rPr>
          <w:rFonts w:hint="eastAsia"/>
        </w:rPr>
        <w:t>2026年石家庄市投资促进局无专项资金预算。</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13010026P009712104872</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1.21</w:t>
            </w:r>
          </w:p>
        </w:tc>
        <w:tc>
          <w:tcPr>
            <w:tcW w:w="2835" w:type="dxa"/>
            <w:vAlign w:val="center"/>
          </w:tcPr>
          <w:p>
            <w:pPr>
              <w:pStyle w:val="10"/>
            </w:pPr>
            <w:r>
              <w:t>其中：财政    资金</w:t>
            </w:r>
          </w:p>
        </w:tc>
        <w:tc>
          <w:tcPr>
            <w:tcW w:w="2551" w:type="dxa"/>
            <w:vAlign w:val="center"/>
          </w:tcPr>
          <w:p>
            <w:pPr>
              <w:pStyle w:val="12"/>
            </w:pPr>
            <w:r>
              <w:t>1.21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通过购买办公设备，充分保障局各项工作正常平稳运转。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1.通过购买办公设备，充分保障局各项工作正常平稳运转。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购买数量</w:t>
            </w:r>
          </w:p>
        </w:tc>
        <w:tc>
          <w:tcPr>
            <w:tcW w:w="5386" w:type="dxa"/>
            <w:vAlign w:val="center"/>
          </w:tcPr>
          <w:p>
            <w:pPr>
              <w:pStyle w:val="12"/>
            </w:pPr>
            <w:r>
              <w:t>购买办公设备数量</w:t>
            </w:r>
          </w:p>
        </w:tc>
        <w:tc>
          <w:tcPr>
            <w:tcW w:w="2268" w:type="dxa"/>
            <w:vAlign w:val="center"/>
          </w:tcPr>
          <w:p>
            <w:pPr>
              <w:pStyle w:val="12"/>
            </w:pPr>
            <w:r>
              <w:t>4台</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购置验收通过率</w:t>
            </w:r>
          </w:p>
        </w:tc>
        <w:tc>
          <w:tcPr>
            <w:tcW w:w="5386" w:type="dxa"/>
            <w:vAlign w:val="center"/>
          </w:tcPr>
          <w:p>
            <w:pPr>
              <w:pStyle w:val="12"/>
            </w:pPr>
            <w:r>
              <w:t>购置验收通过率</w:t>
            </w:r>
          </w:p>
        </w:tc>
        <w:tc>
          <w:tcPr>
            <w:tcW w:w="2268" w:type="dxa"/>
            <w:vAlign w:val="center"/>
          </w:tcPr>
          <w:p>
            <w:pPr>
              <w:pStyle w:val="12"/>
            </w:pPr>
            <w:r>
              <w:t>≥100%</w:t>
            </w:r>
          </w:p>
        </w:tc>
        <w:tc>
          <w:tcPr>
            <w:tcW w:w="1276" w:type="dxa"/>
            <w:vAlign w:val="center"/>
          </w:tcPr>
          <w:p>
            <w:pPr>
              <w:pStyle w:val="12"/>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采购计划按时率</w:t>
            </w:r>
          </w:p>
        </w:tc>
        <w:tc>
          <w:tcPr>
            <w:tcW w:w="5386" w:type="dxa"/>
            <w:vAlign w:val="center"/>
          </w:tcPr>
          <w:p>
            <w:pPr>
              <w:pStyle w:val="12"/>
            </w:pPr>
            <w:r>
              <w:t>采购计划交付及时率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购置成本</w:t>
            </w:r>
          </w:p>
        </w:tc>
        <w:tc>
          <w:tcPr>
            <w:tcW w:w="5386" w:type="dxa"/>
            <w:vAlign w:val="center"/>
          </w:tcPr>
          <w:p>
            <w:pPr>
              <w:pStyle w:val="12"/>
            </w:pPr>
            <w:r>
              <w:t>设备购置成本</w:t>
            </w:r>
          </w:p>
        </w:tc>
        <w:tc>
          <w:tcPr>
            <w:tcW w:w="2268" w:type="dxa"/>
            <w:vAlign w:val="center"/>
          </w:tcPr>
          <w:p>
            <w:pPr>
              <w:pStyle w:val="12"/>
            </w:pPr>
            <w:r>
              <w:t>≤1.21万元</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正常运转</w:t>
            </w:r>
          </w:p>
        </w:tc>
        <w:tc>
          <w:tcPr>
            <w:tcW w:w="5386" w:type="dxa"/>
            <w:vAlign w:val="center"/>
          </w:tcPr>
          <w:p>
            <w:pPr>
              <w:pStyle w:val="12"/>
            </w:pPr>
            <w:r>
              <w:t>保障机关单位正常运转</w:t>
            </w:r>
          </w:p>
        </w:tc>
        <w:tc>
          <w:tcPr>
            <w:tcW w:w="2268" w:type="dxa"/>
            <w:vAlign w:val="center"/>
          </w:tcPr>
          <w:p>
            <w:pPr>
              <w:pStyle w:val="12"/>
            </w:pPr>
            <w:r>
              <w:t>优良</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任务完成率</w:t>
            </w:r>
          </w:p>
        </w:tc>
        <w:tc>
          <w:tcPr>
            <w:tcW w:w="5386" w:type="dxa"/>
            <w:vAlign w:val="center"/>
          </w:tcPr>
          <w:p>
            <w:pPr>
              <w:pStyle w:val="12"/>
            </w:pPr>
            <w:r>
              <w:t>任务计划完成率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工作使用人员满意度</w:t>
            </w:r>
          </w:p>
        </w:tc>
        <w:tc>
          <w:tcPr>
            <w:tcW w:w="5386" w:type="dxa"/>
            <w:vAlign w:val="center"/>
          </w:tcPr>
          <w:p>
            <w:pPr>
              <w:pStyle w:val="12"/>
            </w:pPr>
            <w:r>
              <w:t>工作使用人员满意度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13010026P00971110461Y</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w:t>
            </w:r>
          </w:p>
        </w:tc>
        <w:tc>
          <w:tcPr>
            <w:tcW w:w="2835" w:type="dxa"/>
            <w:vAlign w:val="center"/>
          </w:tcPr>
          <w:p>
            <w:pPr>
              <w:pStyle w:val="10"/>
            </w:pPr>
            <w:r>
              <w:t>其中：财政    资金</w:t>
            </w:r>
          </w:p>
        </w:tc>
        <w:tc>
          <w:tcPr>
            <w:tcW w:w="2551" w:type="dxa"/>
            <w:vAlign w:val="center"/>
          </w:tcPr>
          <w:p>
            <w:pPr>
              <w:pStyle w:val="12"/>
            </w:pPr>
            <w:r>
              <w:t>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主要用于购置党员学习资料及参观学习和党建宣传。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1.主要用于购置党员学习资料及参观学习，提升党员政治觉悟和素养。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全年开展党组织活动次数</w:t>
            </w:r>
          </w:p>
        </w:tc>
        <w:tc>
          <w:tcPr>
            <w:tcW w:w="2268" w:type="dxa"/>
            <w:vAlign w:val="center"/>
          </w:tcPr>
          <w:p>
            <w:pPr>
              <w:pStyle w:val="12"/>
            </w:pPr>
            <w:r>
              <w:t>≥2次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培训合格的人数占总人数的比重</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党组织开展活动按时完成率</w:t>
            </w:r>
          </w:p>
        </w:tc>
        <w:tc>
          <w:tcPr>
            <w:tcW w:w="5386" w:type="dxa"/>
            <w:vAlign w:val="center"/>
          </w:tcPr>
          <w:p>
            <w:pPr>
              <w:pStyle w:val="12"/>
            </w:pPr>
            <w:r>
              <w:t>党组织开展活动按时完成率</w:t>
            </w:r>
          </w:p>
        </w:tc>
        <w:tc>
          <w:tcPr>
            <w:tcW w:w="2268" w:type="dxa"/>
            <w:vAlign w:val="center"/>
          </w:tcPr>
          <w:p>
            <w:pPr>
              <w:pStyle w:val="12"/>
            </w:pPr>
            <w:r>
              <w:t>≥95次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资金总成本</w:t>
            </w:r>
          </w:p>
        </w:tc>
        <w:tc>
          <w:tcPr>
            <w:tcW w:w="5386" w:type="dxa"/>
            <w:vAlign w:val="center"/>
          </w:tcPr>
          <w:p>
            <w:pPr>
              <w:pStyle w:val="12"/>
            </w:pPr>
            <w:r>
              <w:t>预算成本控制</w:t>
            </w:r>
          </w:p>
        </w:tc>
        <w:tc>
          <w:tcPr>
            <w:tcW w:w="2268" w:type="dxa"/>
            <w:vAlign w:val="center"/>
          </w:tcPr>
          <w:p>
            <w:pPr>
              <w:pStyle w:val="12"/>
            </w:pPr>
            <w:r>
              <w:t>≤3.5万元</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党务干部培训、党员学习教育等效果</w:t>
            </w:r>
          </w:p>
        </w:tc>
        <w:tc>
          <w:tcPr>
            <w:tcW w:w="5386" w:type="dxa"/>
            <w:vAlign w:val="center"/>
          </w:tcPr>
          <w:p>
            <w:pPr>
              <w:pStyle w:val="12"/>
            </w:pPr>
            <w:r>
              <w:t>党员政治觉悟和素养提升情况</w:t>
            </w:r>
          </w:p>
        </w:tc>
        <w:tc>
          <w:tcPr>
            <w:tcW w:w="2268" w:type="dxa"/>
            <w:vAlign w:val="center"/>
          </w:tcPr>
          <w:p>
            <w:pPr>
              <w:pStyle w:val="12"/>
            </w:pPr>
            <w:r>
              <w:t>较上年提升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党的政策传递顺畅度</w:t>
            </w:r>
          </w:p>
        </w:tc>
        <w:tc>
          <w:tcPr>
            <w:tcW w:w="5386" w:type="dxa"/>
            <w:vAlign w:val="center"/>
          </w:tcPr>
          <w:p>
            <w:pPr>
              <w:pStyle w:val="12"/>
            </w:pPr>
            <w:r>
              <w:t>党的政策传递顺畅度</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党员满意度</w:t>
            </w:r>
          </w:p>
        </w:tc>
        <w:tc>
          <w:tcPr>
            <w:tcW w:w="2268" w:type="dxa"/>
            <w:vAlign w:val="center"/>
          </w:tcPr>
          <w:p>
            <w:pPr>
              <w:pStyle w:val="12"/>
            </w:pPr>
            <w:r>
              <w:t>≥95%</w:t>
            </w:r>
          </w:p>
        </w:tc>
        <w:tc>
          <w:tcPr>
            <w:tcW w:w="1276" w:type="dxa"/>
            <w:vAlign w:val="center"/>
          </w:tcPr>
          <w:p>
            <w:pPr>
              <w:pStyle w:val="12"/>
            </w:pPr>
            <w:r>
              <w:t>调查问询</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3、法律顾问经费绩效目标表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13010026P00924510068Q</w:t>
            </w:r>
          </w:p>
        </w:tc>
        <w:tc>
          <w:tcPr>
            <w:tcW w:w="2835" w:type="dxa"/>
            <w:vAlign w:val="center"/>
          </w:tcPr>
          <w:p>
            <w:pPr>
              <w:pStyle w:val="10"/>
            </w:pPr>
            <w:r>
              <w:t>项目名称</w:t>
            </w:r>
          </w:p>
        </w:tc>
        <w:tc>
          <w:tcPr>
            <w:tcW w:w="6095" w:type="dxa"/>
            <w:gridSpan w:val="3"/>
            <w:vAlign w:val="center"/>
          </w:tcPr>
          <w:p>
            <w:pPr>
              <w:pStyle w:val="12"/>
            </w:pPr>
            <w:r>
              <w:t>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w:t>
            </w:r>
          </w:p>
        </w:tc>
        <w:tc>
          <w:tcPr>
            <w:tcW w:w="2835" w:type="dxa"/>
            <w:vAlign w:val="center"/>
          </w:tcPr>
          <w:p>
            <w:pPr>
              <w:pStyle w:val="10"/>
            </w:pPr>
            <w:r>
              <w:t>其中：财政    资金</w:t>
            </w:r>
          </w:p>
        </w:tc>
        <w:tc>
          <w:tcPr>
            <w:tcW w:w="2551" w:type="dxa"/>
            <w:vAlign w:val="center"/>
          </w:tcPr>
          <w:p>
            <w:pPr>
              <w:pStyle w:val="12"/>
            </w:pPr>
            <w:r>
              <w:t>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聘请法律顾问，为局机关提高法律咨询服务和相关合同的合法性审核等工作。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1.通过聘请法律顾问，为局机关提高法律咨询服务和相关合同的合法性审核等工作。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提供法律咨询数量</w:t>
            </w:r>
          </w:p>
        </w:tc>
        <w:tc>
          <w:tcPr>
            <w:tcW w:w="5386" w:type="dxa"/>
            <w:vAlign w:val="center"/>
          </w:tcPr>
          <w:p>
            <w:pPr>
              <w:pStyle w:val="12"/>
            </w:pPr>
            <w:r>
              <w:t>提供法律咨询数量</w:t>
            </w:r>
          </w:p>
        </w:tc>
        <w:tc>
          <w:tcPr>
            <w:tcW w:w="2268" w:type="dxa"/>
            <w:vAlign w:val="center"/>
          </w:tcPr>
          <w:p>
            <w:pPr>
              <w:pStyle w:val="12"/>
            </w:pPr>
            <w:r>
              <w:t>≥15件</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法律服务质量</w:t>
            </w:r>
          </w:p>
        </w:tc>
        <w:tc>
          <w:tcPr>
            <w:tcW w:w="5386" w:type="dxa"/>
            <w:vAlign w:val="center"/>
          </w:tcPr>
          <w:p>
            <w:pPr>
              <w:pStyle w:val="12"/>
            </w:pPr>
            <w:r>
              <w:t>法律服务质量</w:t>
            </w:r>
          </w:p>
        </w:tc>
        <w:tc>
          <w:tcPr>
            <w:tcW w:w="2268" w:type="dxa"/>
            <w:vAlign w:val="center"/>
          </w:tcPr>
          <w:p>
            <w:pPr>
              <w:pStyle w:val="12"/>
            </w:pPr>
            <w:r>
              <w:t>≥95%</w:t>
            </w:r>
          </w:p>
        </w:tc>
        <w:tc>
          <w:tcPr>
            <w:tcW w:w="1276" w:type="dxa"/>
            <w:vAlign w:val="center"/>
          </w:tcPr>
          <w:p>
            <w:pPr>
              <w:pStyle w:val="12"/>
            </w:pPr>
            <w:r>
              <w:t>符合国家法律法规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提供法律咨询和审核合同的及时性</w:t>
            </w:r>
          </w:p>
        </w:tc>
        <w:tc>
          <w:tcPr>
            <w:tcW w:w="5386" w:type="dxa"/>
            <w:vAlign w:val="center"/>
          </w:tcPr>
          <w:p>
            <w:pPr>
              <w:pStyle w:val="12"/>
            </w:pPr>
            <w:r>
              <w:t>提供法律咨询和审核合同的及时性</w:t>
            </w:r>
          </w:p>
        </w:tc>
        <w:tc>
          <w:tcPr>
            <w:tcW w:w="2268" w:type="dxa"/>
            <w:vAlign w:val="center"/>
          </w:tcPr>
          <w:p>
            <w:pPr>
              <w:pStyle w:val="12"/>
            </w:pPr>
            <w:r>
              <w:t>≥95%</w:t>
            </w:r>
          </w:p>
        </w:tc>
        <w:tc>
          <w:tcPr>
            <w:tcW w:w="1276" w:type="dxa"/>
            <w:vAlign w:val="center"/>
          </w:tcPr>
          <w:p>
            <w:pPr>
              <w:pStyle w:val="12"/>
            </w:pPr>
            <w:r>
              <w:t>按照约定时间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聘请法律顾问费用</w:t>
            </w:r>
          </w:p>
        </w:tc>
        <w:tc>
          <w:tcPr>
            <w:tcW w:w="5386" w:type="dxa"/>
            <w:vAlign w:val="center"/>
          </w:tcPr>
          <w:p>
            <w:pPr>
              <w:pStyle w:val="12"/>
            </w:pPr>
            <w:r>
              <w:t>聘请法律顾问费用</w:t>
            </w:r>
          </w:p>
        </w:tc>
        <w:tc>
          <w:tcPr>
            <w:tcW w:w="2268" w:type="dxa"/>
            <w:vAlign w:val="center"/>
          </w:tcPr>
          <w:p>
            <w:pPr>
              <w:pStyle w:val="12"/>
            </w:pPr>
            <w:r>
              <w:t>≤2.7万元</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履行法律监督职责专业性</w:t>
            </w:r>
          </w:p>
        </w:tc>
        <w:tc>
          <w:tcPr>
            <w:tcW w:w="5386" w:type="dxa"/>
            <w:vAlign w:val="center"/>
          </w:tcPr>
          <w:p>
            <w:pPr>
              <w:pStyle w:val="12"/>
            </w:pPr>
            <w:r>
              <w:t>履行法律监督职责专业性</w:t>
            </w:r>
          </w:p>
        </w:tc>
        <w:tc>
          <w:tcPr>
            <w:tcW w:w="2268" w:type="dxa"/>
            <w:vAlign w:val="center"/>
          </w:tcPr>
          <w:p>
            <w:pPr>
              <w:pStyle w:val="12"/>
            </w:pPr>
            <w:r>
              <w:t>维护我局合法权益</w:t>
            </w:r>
          </w:p>
        </w:tc>
        <w:tc>
          <w:tcPr>
            <w:tcW w:w="1276" w:type="dxa"/>
            <w:vAlign w:val="center"/>
          </w:tcPr>
          <w:p>
            <w:pPr>
              <w:pStyle w:val="12"/>
            </w:pPr>
            <w:r>
              <w:t>符合国家法律法规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提升局机关法律意识</w:t>
            </w:r>
          </w:p>
        </w:tc>
        <w:tc>
          <w:tcPr>
            <w:tcW w:w="5386" w:type="dxa"/>
            <w:vAlign w:val="center"/>
          </w:tcPr>
          <w:p>
            <w:pPr>
              <w:pStyle w:val="12"/>
            </w:pPr>
            <w:r>
              <w:t>提升局机关法律意识</w:t>
            </w:r>
          </w:p>
        </w:tc>
        <w:tc>
          <w:tcPr>
            <w:tcW w:w="2268" w:type="dxa"/>
            <w:vAlign w:val="center"/>
          </w:tcPr>
          <w:p>
            <w:pPr>
              <w:pStyle w:val="12"/>
            </w:pPr>
            <w:r>
              <w:t>≥90%</w:t>
            </w:r>
          </w:p>
        </w:tc>
        <w:tc>
          <w:tcPr>
            <w:tcW w:w="1276" w:type="dxa"/>
            <w:vAlign w:val="center"/>
          </w:tcPr>
          <w:p>
            <w:pPr>
              <w:pStyle w:val="12"/>
            </w:pPr>
            <w:r>
              <w:t>符合国家法律法规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工作人员服务满意度</w:t>
            </w:r>
          </w:p>
        </w:tc>
        <w:tc>
          <w:tcPr>
            <w:tcW w:w="5386" w:type="dxa"/>
            <w:vAlign w:val="center"/>
          </w:tcPr>
          <w:p>
            <w:pPr>
              <w:pStyle w:val="12"/>
            </w:pPr>
            <w:r>
              <w:t>工作人员服务满意度</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4、文件资料印刷费绩效目标表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13010026P009935102567</w:t>
            </w:r>
          </w:p>
        </w:tc>
        <w:tc>
          <w:tcPr>
            <w:tcW w:w="2835" w:type="dxa"/>
            <w:vAlign w:val="center"/>
          </w:tcPr>
          <w:p>
            <w:pPr>
              <w:pStyle w:val="10"/>
            </w:pPr>
            <w:r>
              <w:t>项目名称</w:t>
            </w:r>
          </w:p>
        </w:tc>
        <w:tc>
          <w:tcPr>
            <w:tcW w:w="6095" w:type="dxa"/>
            <w:gridSpan w:val="3"/>
            <w:vAlign w:val="center"/>
          </w:tcPr>
          <w:p>
            <w:pPr>
              <w:pStyle w:val="12"/>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通过印刷材料,保障局机关正常工作和较好的宣传石家庄市投资促进环境的作用。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1.通过印刷材料,保障局机关正常工作和较好的宣传石家庄市投资促进环境的作用。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计划印制数量</w:t>
            </w:r>
          </w:p>
        </w:tc>
        <w:tc>
          <w:tcPr>
            <w:tcW w:w="5386" w:type="dxa"/>
            <w:vAlign w:val="center"/>
          </w:tcPr>
          <w:p>
            <w:pPr>
              <w:pStyle w:val="12"/>
            </w:pPr>
            <w:r>
              <w:t>计划印制文件项目数量</w:t>
            </w:r>
          </w:p>
        </w:tc>
        <w:tc>
          <w:tcPr>
            <w:tcW w:w="2268" w:type="dxa"/>
            <w:vAlign w:val="center"/>
          </w:tcPr>
          <w:p>
            <w:pPr>
              <w:pStyle w:val="12"/>
            </w:pPr>
            <w:r>
              <w:t>≥30件</w:t>
            </w:r>
          </w:p>
        </w:tc>
        <w:tc>
          <w:tcPr>
            <w:tcW w:w="1276" w:type="dxa"/>
            <w:vAlign w:val="center"/>
          </w:tcPr>
          <w:p>
            <w:pPr>
              <w:pStyle w:val="12"/>
            </w:pPr>
            <w:r>
              <w:t>按照工作计划安排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文件印刷合格率</w:t>
            </w:r>
          </w:p>
        </w:tc>
        <w:tc>
          <w:tcPr>
            <w:tcW w:w="5386" w:type="dxa"/>
            <w:vAlign w:val="center"/>
          </w:tcPr>
          <w:p>
            <w:pPr>
              <w:pStyle w:val="12"/>
            </w:pPr>
            <w:r>
              <w:t>文件印刷合格率</w:t>
            </w:r>
          </w:p>
        </w:tc>
        <w:tc>
          <w:tcPr>
            <w:tcW w:w="2268" w:type="dxa"/>
            <w:vAlign w:val="center"/>
          </w:tcPr>
          <w:p>
            <w:pPr>
              <w:pStyle w:val="12"/>
            </w:pPr>
            <w:r>
              <w:t>≥95%</w:t>
            </w:r>
          </w:p>
        </w:tc>
        <w:tc>
          <w:tcPr>
            <w:tcW w:w="1276" w:type="dxa"/>
            <w:vAlign w:val="center"/>
          </w:tcPr>
          <w:p>
            <w:pPr>
              <w:pStyle w:val="12"/>
            </w:pPr>
            <w:r>
              <w:t>印刷行业标准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按照工作安排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资金成本不超预算</w:t>
            </w:r>
          </w:p>
        </w:tc>
        <w:tc>
          <w:tcPr>
            <w:tcW w:w="2268" w:type="dxa"/>
            <w:vAlign w:val="center"/>
          </w:tcPr>
          <w:p>
            <w:pPr>
              <w:pStyle w:val="12"/>
            </w:pPr>
            <w:r>
              <w:t>≤2万元</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有效提升</w:t>
            </w:r>
          </w:p>
        </w:tc>
        <w:tc>
          <w:tcPr>
            <w:tcW w:w="1276" w:type="dxa"/>
            <w:vAlign w:val="center"/>
          </w:tcPr>
          <w:p>
            <w:pPr>
              <w:pStyle w:val="12"/>
            </w:pPr>
            <w:r>
              <w:t>按照工作要求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保障机关正常办公</w:t>
            </w:r>
          </w:p>
        </w:tc>
        <w:tc>
          <w:tcPr>
            <w:tcW w:w="5386" w:type="dxa"/>
            <w:vAlign w:val="center"/>
          </w:tcPr>
          <w:p>
            <w:pPr>
              <w:pStyle w:val="12"/>
            </w:pPr>
            <w:r>
              <w:t>保障机关正常办公</w:t>
            </w:r>
          </w:p>
        </w:tc>
        <w:tc>
          <w:tcPr>
            <w:tcW w:w="2268" w:type="dxa"/>
            <w:vAlign w:val="center"/>
          </w:tcPr>
          <w:p>
            <w:pPr>
              <w:pStyle w:val="12"/>
            </w:pPr>
            <w:r>
              <w:t>≥95%</w:t>
            </w:r>
          </w:p>
        </w:tc>
        <w:tc>
          <w:tcPr>
            <w:tcW w:w="1276" w:type="dxa"/>
            <w:vAlign w:val="center"/>
          </w:tcPr>
          <w:p>
            <w:pPr>
              <w:pStyle w:val="12"/>
            </w:pPr>
            <w:r>
              <w:t>按照工作要求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≥95%</w:t>
            </w:r>
          </w:p>
        </w:tc>
        <w:tc>
          <w:tcPr>
            <w:tcW w:w="1276" w:type="dxa"/>
            <w:vAlign w:val="center"/>
          </w:tcPr>
          <w:p>
            <w:pPr>
              <w:pStyle w:val="12"/>
            </w:pPr>
            <w:r>
              <w:t>按照工作安排要求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5、业务培训费绩效目标表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13010026P00007510184A</w:t>
            </w:r>
          </w:p>
        </w:tc>
        <w:tc>
          <w:tcPr>
            <w:tcW w:w="2835" w:type="dxa"/>
            <w:vAlign w:val="center"/>
          </w:tcPr>
          <w:p>
            <w:pPr>
              <w:pStyle w:val="10"/>
            </w:pPr>
            <w:r>
              <w:t>项目名称</w:t>
            </w:r>
          </w:p>
        </w:tc>
        <w:tc>
          <w:tcPr>
            <w:tcW w:w="6095" w:type="dxa"/>
            <w:gridSpan w:val="3"/>
            <w:vAlign w:val="center"/>
          </w:tcPr>
          <w:p>
            <w:pPr>
              <w:pStyle w:val="12"/>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5.70</w:t>
            </w:r>
          </w:p>
        </w:tc>
        <w:tc>
          <w:tcPr>
            <w:tcW w:w="2835" w:type="dxa"/>
            <w:vAlign w:val="center"/>
          </w:tcPr>
          <w:p>
            <w:pPr>
              <w:pStyle w:val="10"/>
            </w:pPr>
            <w:r>
              <w:t>其中：财政    资金</w:t>
            </w:r>
          </w:p>
        </w:tc>
        <w:tc>
          <w:tcPr>
            <w:tcW w:w="2551" w:type="dxa"/>
            <w:vAlign w:val="center"/>
          </w:tcPr>
          <w:p>
            <w:pPr>
              <w:pStyle w:val="12"/>
            </w:pPr>
            <w:r>
              <w:t>5.70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举办培训，提升市县外资工作业务水平，更好地服务外商投资企业及外资项目落地。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1.通过举办培训，提升市县外资工作业务水平，更好地服务外商投资企业及外资项目落地。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培训人次</w:t>
            </w:r>
          </w:p>
        </w:tc>
        <w:tc>
          <w:tcPr>
            <w:tcW w:w="5386" w:type="dxa"/>
            <w:vAlign w:val="center"/>
          </w:tcPr>
          <w:p>
            <w:pPr>
              <w:pStyle w:val="12"/>
            </w:pPr>
            <w:r>
              <w:t>全年培训市、县（市、区）两级负责外资工作人员人次</w:t>
            </w:r>
          </w:p>
        </w:tc>
        <w:tc>
          <w:tcPr>
            <w:tcW w:w="2268" w:type="dxa"/>
            <w:vAlign w:val="center"/>
          </w:tcPr>
          <w:p>
            <w:pPr>
              <w:pStyle w:val="12"/>
            </w:pPr>
            <w:r>
              <w:t>≥80人</w:t>
            </w:r>
          </w:p>
        </w:tc>
        <w:tc>
          <w:tcPr>
            <w:tcW w:w="1276" w:type="dxa"/>
            <w:vAlign w:val="center"/>
          </w:tcPr>
          <w:p>
            <w:pPr>
              <w:pStyle w:val="12"/>
            </w:pPr>
            <w: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培训计划按期完成率(%)</w:t>
            </w:r>
          </w:p>
        </w:tc>
        <w:tc>
          <w:tcPr>
            <w:tcW w:w="5386" w:type="dxa"/>
            <w:vAlign w:val="center"/>
          </w:tcPr>
          <w:p>
            <w:pPr>
              <w:pStyle w:val="12"/>
            </w:pPr>
            <w:r>
              <w:t>培训计划按期完成率(%)</w:t>
            </w:r>
          </w:p>
        </w:tc>
        <w:tc>
          <w:tcPr>
            <w:tcW w:w="2268" w:type="dxa"/>
            <w:vAlign w:val="center"/>
          </w:tcPr>
          <w:p>
            <w:pPr>
              <w:pStyle w:val="12"/>
            </w:pPr>
            <w:r>
              <w:t>≥95%</w:t>
            </w:r>
          </w:p>
        </w:tc>
        <w:tc>
          <w:tcPr>
            <w:tcW w:w="1276" w:type="dxa"/>
            <w:vAlign w:val="center"/>
          </w:tcPr>
          <w:p>
            <w:pPr>
              <w:pStyle w:val="12"/>
            </w:pPr>
            <w: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培训及时性</w:t>
            </w:r>
          </w:p>
        </w:tc>
        <w:tc>
          <w:tcPr>
            <w:tcW w:w="5386" w:type="dxa"/>
            <w:vAlign w:val="center"/>
          </w:tcPr>
          <w:p>
            <w:pPr>
              <w:pStyle w:val="12"/>
            </w:pPr>
            <w:r>
              <w:t>培训按计划及时开展</w:t>
            </w:r>
          </w:p>
        </w:tc>
        <w:tc>
          <w:tcPr>
            <w:tcW w:w="2268" w:type="dxa"/>
            <w:vAlign w:val="center"/>
          </w:tcPr>
          <w:p>
            <w:pPr>
              <w:pStyle w:val="12"/>
            </w:pPr>
            <w:r>
              <w:t>≥95%</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培训人均成本</w:t>
            </w:r>
          </w:p>
        </w:tc>
        <w:tc>
          <w:tcPr>
            <w:tcW w:w="5386" w:type="dxa"/>
            <w:vAlign w:val="center"/>
          </w:tcPr>
          <w:p>
            <w:pPr>
              <w:pStyle w:val="12"/>
            </w:pPr>
            <w:r>
              <w:t>参加培训人均成本</w:t>
            </w:r>
          </w:p>
        </w:tc>
        <w:tc>
          <w:tcPr>
            <w:tcW w:w="2268" w:type="dxa"/>
            <w:vAlign w:val="center"/>
          </w:tcPr>
          <w:p>
            <w:pPr>
              <w:pStyle w:val="12"/>
            </w:pPr>
            <w:r>
              <w:t>根据培训费管理办法</w:t>
            </w:r>
          </w:p>
        </w:tc>
        <w:tc>
          <w:tcPr>
            <w:tcW w:w="1276" w:type="dxa"/>
            <w:vAlign w:val="center"/>
          </w:tcPr>
          <w:p>
            <w:pPr>
              <w:pStyle w:val="12"/>
            </w:pPr>
            <w:r>
              <w:t>按照财政局培训费管理办法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培训效果影响程度</w:t>
            </w:r>
          </w:p>
        </w:tc>
        <w:tc>
          <w:tcPr>
            <w:tcW w:w="5386" w:type="dxa"/>
            <w:vAlign w:val="center"/>
          </w:tcPr>
          <w:p>
            <w:pPr>
              <w:pStyle w:val="12"/>
            </w:pPr>
            <w:r>
              <w:t>培训效果影响程度</w:t>
            </w:r>
          </w:p>
        </w:tc>
        <w:tc>
          <w:tcPr>
            <w:tcW w:w="2268" w:type="dxa"/>
            <w:vAlign w:val="center"/>
          </w:tcPr>
          <w:p>
            <w:pPr>
              <w:pStyle w:val="12"/>
            </w:pPr>
            <w:r>
              <w:t>≥95%</w:t>
            </w:r>
          </w:p>
        </w:tc>
        <w:tc>
          <w:tcPr>
            <w:tcW w:w="1276" w:type="dxa"/>
            <w:vAlign w:val="center"/>
          </w:tcPr>
          <w:p>
            <w:pPr>
              <w:pStyle w:val="12"/>
            </w:pPr>
            <w:r>
              <w:t>通过培训问询情况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提升业务水平</w:t>
            </w:r>
          </w:p>
        </w:tc>
        <w:tc>
          <w:tcPr>
            <w:tcW w:w="5386" w:type="dxa"/>
            <w:vAlign w:val="center"/>
          </w:tcPr>
          <w:p>
            <w:pPr>
              <w:pStyle w:val="12"/>
            </w:pPr>
            <w:r>
              <w:t>通过培训，提升市县外资工作业务水平值</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培训学员满意率</w:t>
            </w:r>
          </w:p>
        </w:tc>
        <w:tc>
          <w:tcPr>
            <w:tcW w:w="5386" w:type="dxa"/>
            <w:vAlign w:val="center"/>
          </w:tcPr>
          <w:p>
            <w:pPr>
              <w:pStyle w:val="12"/>
            </w:pPr>
            <w:r>
              <w:t>培训学员满意率</w:t>
            </w:r>
          </w:p>
        </w:tc>
        <w:tc>
          <w:tcPr>
            <w:tcW w:w="2268" w:type="dxa"/>
            <w:vAlign w:val="center"/>
          </w:tcPr>
          <w:p>
            <w:pPr>
              <w:pStyle w:val="12"/>
            </w:pPr>
            <w:r>
              <w:t>≥90%</w:t>
            </w:r>
          </w:p>
        </w:tc>
        <w:tc>
          <w:tcPr>
            <w:tcW w:w="1276" w:type="dxa"/>
            <w:vAlign w:val="center"/>
          </w:tcPr>
          <w:p>
            <w:pPr>
              <w:pStyle w:val="12"/>
            </w:pPr>
            <w:r>
              <w:t>通过培训问询情况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6、业务咨询费绩效目标表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13010026P009880102786</w:t>
            </w:r>
          </w:p>
        </w:tc>
        <w:tc>
          <w:tcPr>
            <w:tcW w:w="2835" w:type="dxa"/>
            <w:vAlign w:val="center"/>
          </w:tcPr>
          <w:p>
            <w:pPr>
              <w:pStyle w:val="10"/>
            </w:pPr>
            <w:r>
              <w:t>项目名称</w:t>
            </w:r>
          </w:p>
        </w:tc>
        <w:tc>
          <w:tcPr>
            <w:tcW w:w="6095" w:type="dxa"/>
            <w:gridSpan w:val="3"/>
            <w:vAlign w:val="center"/>
          </w:tcPr>
          <w:p>
            <w:pPr>
              <w:pStyle w:val="12"/>
            </w:pPr>
            <w:r>
              <w:t>业务咨询费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w:t>
            </w:r>
          </w:p>
        </w:tc>
        <w:tc>
          <w:tcPr>
            <w:tcW w:w="2835" w:type="dxa"/>
            <w:vAlign w:val="center"/>
          </w:tcPr>
          <w:p>
            <w:pPr>
              <w:pStyle w:val="10"/>
            </w:pPr>
            <w:r>
              <w:t>其中：财政    资金</w:t>
            </w:r>
          </w:p>
        </w:tc>
        <w:tc>
          <w:tcPr>
            <w:tcW w:w="2551" w:type="dxa"/>
            <w:vAlign w:val="center"/>
          </w:tcPr>
          <w:p>
            <w:pPr>
              <w:pStyle w:val="12"/>
            </w:pPr>
            <w:r>
              <w:t>2.80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委托专家开展重点招商项目研判，提供专业性指导并出具项目建议书；委托第三方专业机构对各县（市、区）外资管理部门报送的外商投资企业和个人奖励资金申报材料进行专项审核并出具报告。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1.委托专家开展重点招商项目研判，提供专业性指导并出具项目建议书。</w:t>
            </w:r>
          </w:p>
          <w:p>
            <w:pPr>
              <w:pStyle w:val="12"/>
            </w:pPr>
            <w:r>
              <w:t>2.委托第三方专业机构对各县（市、区）外资管理部门报送的外商投资企业和个人奖励资金申报材料进行专项审核并出具报告。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委托项目数量</w:t>
            </w:r>
          </w:p>
        </w:tc>
        <w:tc>
          <w:tcPr>
            <w:tcW w:w="5386" w:type="dxa"/>
            <w:vAlign w:val="center"/>
          </w:tcPr>
          <w:p>
            <w:pPr>
              <w:pStyle w:val="12"/>
            </w:pPr>
            <w:r>
              <w:t>委托项目数量</w:t>
            </w:r>
          </w:p>
        </w:tc>
        <w:tc>
          <w:tcPr>
            <w:tcW w:w="2268" w:type="dxa"/>
            <w:vAlign w:val="center"/>
          </w:tcPr>
          <w:p>
            <w:pPr>
              <w:pStyle w:val="12"/>
            </w:pPr>
            <w:r>
              <w:t>≥2个</w:t>
            </w:r>
          </w:p>
        </w:tc>
        <w:tc>
          <w:tcPr>
            <w:tcW w:w="1276" w:type="dxa"/>
            <w:vAlign w:val="center"/>
          </w:tcPr>
          <w:p>
            <w:pPr>
              <w:pStyle w:val="12"/>
            </w:pPr>
            <w:r>
              <w:t>根据年度工作要求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报告质量完成优良比率</w:t>
            </w:r>
          </w:p>
        </w:tc>
        <w:tc>
          <w:tcPr>
            <w:tcW w:w="5386" w:type="dxa"/>
            <w:vAlign w:val="center"/>
          </w:tcPr>
          <w:p>
            <w:pPr>
              <w:pStyle w:val="12"/>
            </w:pPr>
            <w:r>
              <w:t>报告质量完成优良比率</w:t>
            </w:r>
          </w:p>
        </w:tc>
        <w:tc>
          <w:tcPr>
            <w:tcW w:w="2268" w:type="dxa"/>
            <w:vAlign w:val="center"/>
          </w:tcPr>
          <w:p>
            <w:pPr>
              <w:pStyle w:val="12"/>
            </w:pPr>
            <w:r>
              <w:t>≥95%</w:t>
            </w:r>
          </w:p>
        </w:tc>
        <w:tc>
          <w:tcPr>
            <w:tcW w:w="1276" w:type="dxa"/>
            <w:vAlign w:val="center"/>
          </w:tcPr>
          <w:p>
            <w:pPr>
              <w:pStyle w:val="12"/>
            </w:pPr>
            <w:r>
              <w:t>委托服务按照合同规定要求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项目按期完成率</w:t>
            </w:r>
          </w:p>
        </w:tc>
        <w:tc>
          <w:tcPr>
            <w:tcW w:w="5386" w:type="dxa"/>
            <w:vAlign w:val="center"/>
          </w:tcPr>
          <w:p>
            <w:pPr>
              <w:pStyle w:val="12"/>
            </w:pPr>
            <w:r>
              <w:t>项目按期完成率</w:t>
            </w:r>
          </w:p>
        </w:tc>
        <w:tc>
          <w:tcPr>
            <w:tcW w:w="2268" w:type="dxa"/>
            <w:vAlign w:val="center"/>
          </w:tcPr>
          <w:p>
            <w:pPr>
              <w:pStyle w:val="12"/>
            </w:pPr>
            <w:r>
              <w:t>≥95%</w:t>
            </w:r>
          </w:p>
        </w:tc>
        <w:tc>
          <w:tcPr>
            <w:tcW w:w="1276" w:type="dxa"/>
            <w:vAlign w:val="center"/>
          </w:tcPr>
          <w:p>
            <w:pPr>
              <w:pStyle w:val="12"/>
            </w:pPr>
            <w:r>
              <w:t>委托服务按照合同规定时间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≤2.8万元</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有价值信息采用率</w:t>
            </w:r>
          </w:p>
        </w:tc>
        <w:tc>
          <w:tcPr>
            <w:tcW w:w="5386" w:type="dxa"/>
            <w:vAlign w:val="center"/>
          </w:tcPr>
          <w:p>
            <w:pPr>
              <w:pStyle w:val="12"/>
            </w:pPr>
            <w:r>
              <w:t>有价值信息采用率</w:t>
            </w:r>
          </w:p>
        </w:tc>
        <w:tc>
          <w:tcPr>
            <w:tcW w:w="2268" w:type="dxa"/>
            <w:vAlign w:val="center"/>
          </w:tcPr>
          <w:p>
            <w:pPr>
              <w:pStyle w:val="12"/>
            </w:pPr>
            <w:r>
              <w:t>≥95%</w:t>
            </w:r>
          </w:p>
        </w:tc>
        <w:tc>
          <w:tcPr>
            <w:tcW w:w="1276" w:type="dxa"/>
            <w:vAlign w:val="center"/>
          </w:tcPr>
          <w:p>
            <w:pPr>
              <w:pStyle w:val="12"/>
            </w:pPr>
            <w:r>
              <w:t>按照合同要求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根据年度工作要求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7、开发区管理经费绩效目标表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13010026P006144100065</w:t>
            </w:r>
          </w:p>
        </w:tc>
        <w:tc>
          <w:tcPr>
            <w:tcW w:w="2835" w:type="dxa"/>
            <w:vAlign w:val="center"/>
          </w:tcPr>
          <w:p>
            <w:pPr>
              <w:pStyle w:val="10"/>
            </w:pPr>
            <w:r>
              <w:t>项目名称</w:t>
            </w:r>
          </w:p>
        </w:tc>
        <w:tc>
          <w:tcPr>
            <w:tcW w:w="6095" w:type="dxa"/>
            <w:gridSpan w:val="3"/>
            <w:vAlign w:val="center"/>
          </w:tcPr>
          <w:p>
            <w:pPr>
              <w:pStyle w:val="12"/>
            </w:pPr>
            <w:r>
              <w:t>开发区管理经费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委托第三方开展开发区“十四五”规划评估，调研数据收集等;赴开发区推动项目，组织开发区赴外地参加活动的差旅费和租车等费用;组织开展开发区相关人员业务培训.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1.委托第三方开展开发区“十四五”规划评估，调研数据收集等。</w:t>
            </w:r>
          </w:p>
          <w:p>
            <w:pPr>
              <w:pStyle w:val="12"/>
            </w:pPr>
            <w:r>
              <w:t>2.赴开发区推动项目，组织开发区赴外地参加活动的差旅费和租车等费用。</w:t>
            </w:r>
          </w:p>
          <w:p>
            <w:pPr>
              <w:pStyle w:val="12"/>
            </w:pPr>
            <w:r>
              <w:t>3.通过组织开展开发区相关人员业务培训，提高人员业务素质，提升工作水平。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参加业务培训人数</w:t>
            </w:r>
          </w:p>
        </w:tc>
        <w:tc>
          <w:tcPr>
            <w:tcW w:w="5386" w:type="dxa"/>
            <w:vAlign w:val="center"/>
          </w:tcPr>
          <w:p>
            <w:pPr>
              <w:pStyle w:val="12"/>
            </w:pPr>
            <w:r>
              <w:t>参加业务培训人数</w:t>
            </w:r>
          </w:p>
        </w:tc>
        <w:tc>
          <w:tcPr>
            <w:tcW w:w="2268" w:type="dxa"/>
            <w:vAlign w:val="center"/>
          </w:tcPr>
          <w:p>
            <w:pPr>
              <w:pStyle w:val="12"/>
            </w:pPr>
            <w:r>
              <w:t>≥60人</w:t>
            </w:r>
          </w:p>
        </w:tc>
        <w:tc>
          <w:tcPr>
            <w:tcW w:w="1276" w:type="dxa"/>
            <w:vAlign w:val="center"/>
          </w:tcPr>
          <w:p>
            <w:pPr>
              <w:pStyle w:val="12"/>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业务培训合格率</w:t>
            </w:r>
          </w:p>
        </w:tc>
        <w:tc>
          <w:tcPr>
            <w:tcW w:w="5386" w:type="dxa"/>
            <w:vAlign w:val="center"/>
          </w:tcPr>
          <w:p>
            <w:pPr>
              <w:pStyle w:val="12"/>
            </w:pPr>
            <w:r>
              <w:t>业务培训合格率</w:t>
            </w:r>
          </w:p>
        </w:tc>
        <w:tc>
          <w:tcPr>
            <w:tcW w:w="2268" w:type="dxa"/>
            <w:vAlign w:val="center"/>
          </w:tcPr>
          <w:p>
            <w:pPr>
              <w:pStyle w:val="12"/>
            </w:pPr>
            <w:r>
              <w:t>≥95%</w:t>
            </w:r>
          </w:p>
        </w:tc>
        <w:tc>
          <w:tcPr>
            <w:tcW w:w="1276" w:type="dxa"/>
            <w:vAlign w:val="center"/>
          </w:tcPr>
          <w:p>
            <w:pPr>
              <w:pStyle w:val="12"/>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各项工作任务完成及时</w:t>
            </w:r>
          </w:p>
        </w:tc>
        <w:tc>
          <w:tcPr>
            <w:tcW w:w="5386" w:type="dxa"/>
            <w:vAlign w:val="center"/>
          </w:tcPr>
          <w:p>
            <w:pPr>
              <w:pStyle w:val="12"/>
            </w:pPr>
            <w:r>
              <w:t>各项工作任务完成及时</w:t>
            </w:r>
          </w:p>
        </w:tc>
        <w:tc>
          <w:tcPr>
            <w:tcW w:w="2268" w:type="dxa"/>
            <w:vAlign w:val="center"/>
          </w:tcPr>
          <w:p>
            <w:pPr>
              <w:pStyle w:val="12"/>
            </w:pPr>
            <w:r>
              <w:t>≥95&amp;</w:t>
            </w:r>
          </w:p>
        </w:tc>
        <w:tc>
          <w:tcPr>
            <w:tcW w:w="1276" w:type="dxa"/>
            <w:vAlign w:val="center"/>
          </w:tcPr>
          <w:p>
            <w:pPr>
              <w:pStyle w:val="12"/>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培训人均使用经费</w:t>
            </w:r>
          </w:p>
        </w:tc>
        <w:tc>
          <w:tcPr>
            <w:tcW w:w="5386" w:type="dxa"/>
            <w:vAlign w:val="center"/>
          </w:tcPr>
          <w:p>
            <w:pPr>
              <w:pStyle w:val="12"/>
            </w:pPr>
            <w:r>
              <w:t>培训人均使用经费</w:t>
            </w:r>
          </w:p>
        </w:tc>
        <w:tc>
          <w:tcPr>
            <w:tcW w:w="2268" w:type="dxa"/>
            <w:vAlign w:val="center"/>
          </w:tcPr>
          <w:p>
            <w:pPr>
              <w:pStyle w:val="12"/>
            </w:pPr>
            <w:r>
              <w:t>≤350元</w:t>
            </w:r>
          </w:p>
        </w:tc>
        <w:tc>
          <w:tcPr>
            <w:tcW w:w="1276" w:type="dxa"/>
            <w:vAlign w:val="center"/>
          </w:tcPr>
          <w:p>
            <w:pPr>
              <w:pStyle w:val="12"/>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全省经开区平均营收增速</w:t>
            </w:r>
          </w:p>
        </w:tc>
        <w:tc>
          <w:tcPr>
            <w:tcW w:w="5386" w:type="dxa"/>
            <w:vAlign w:val="center"/>
          </w:tcPr>
          <w:p>
            <w:pPr>
              <w:pStyle w:val="12"/>
            </w:pPr>
            <w:r>
              <w:t>全省经开区平均营收增速</w:t>
            </w:r>
          </w:p>
        </w:tc>
        <w:tc>
          <w:tcPr>
            <w:tcW w:w="2268" w:type="dxa"/>
            <w:vAlign w:val="center"/>
          </w:tcPr>
          <w:p>
            <w:pPr>
              <w:pStyle w:val="12"/>
            </w:pPr>
            <w:r>
              <w:t>≥5%</w:t>
            </w:r>
          </w:p>
        </w:tc>
        <w:tc>
          <w:tcPr>
            <w:tcW w:w="1276" w:type="dxa"/>
            <w:vAlign w:val="center"/>
          </w:tcPr>
          <w:p>
            <w:pPr>
              <w:pStyle w:val="12"/>
            </w:pPr>
            <w:r>
              <w:t>根据往年数据统计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培训效果影响程度</w:t>
            </w:r>
          </w:p>
        </w:tc>
        <w:tc>
          <w:tcPr>
            <w:tcW w:w="5386" w:type="dxa"/>
            <w:vAlign w:val="center"/>
          </w:tcPr>
          <w:p>
            <w:pPr>
              <w:pStyle w:val="12"/>
            </w:pPr>
            <w:r>
              <w:t>培训效果影响程度</w:t>
            </w:r>
          </w:p>
        </w:tc>
        <w:tc>
          <w:tcPr>
            <w:tcW w:w="2268" w:type="dxa"/>
            <w:vAlign w:val="center"/>
          </w:tcPr>
          <w:p>
            <w:pPr>
              <w:pStyle w:val="12"/>
            </w:pPr>
            <w:r>
              <w:t>≥95%</w:t>
            </w:r>
          </w:p>
        </w:tc>
        <w:tc>
          <w:tcPr>
            <w:tcW w:w="1276" w:type="dxa"/>
            <w:vAlign w:val="center"/>
          </w:tcPr>
          <w:p>
            <w:pPr>
              <w:pStyle w:val="12"/>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入园企业满意度</w:t>
            </w:r>
          </w:p>
        </w:tc>
        <w:tc>
          <w:tcPr>
            <w:tcW w:w="5386" w:type="dxa"/>
            <w:vAlign w:val="center"/>
          </w:tcPr>
          <w:p>
            <w:pPr>
              <w:pStyle w:val="12"/>
            </w:pPr>
            <w:r>
              <w:t>入园企业满意度</w:t>
            </w:r>
          </w:p>
        </w:tc>
        <w:tc>
          <w:tcPr>
            <w:tcW w:w="2268" w:type="dxa"/>
            <w:vAlign w:val="center"/>
          </w:tcPr>
          <w:p>
            <w:pPr>
              <w:pStyle w:val="12"/>
            </w:pPr>
            <w:r>
              <w:t>≥90%</w:t>
            </w:r>
          </w:p>
        </w:tc>
        <w:tc>
          <w:tcPr>
            <w:tcW w:w="1276" w:type="dxa"/>
            <w:vAlign w:val="center"/>
          </w:tcPr>
          <w:p>
            <w:pPr>
              <w:pStyle w:val="12"/>
            </w:pPr>
            <w:r>
              <w:t>实地回访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8、招商引资经费绩效目标表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13010026P00614310009A</w:t>
            </w:r>
          </w:p>
        </w:tc>
        <w:tc>
          <w:tcPr>
            <w:tcW w:w="2835" w:type="dxa"/>
            <w:vAlign w:val="center"/>
          </w:tcPr>
          <w:p>
            <w:pPr>
              <w:pStyle w:val="10"/>
            </w:pPr>
            <w:r>
              <w:t>项目名称</w:t>
            </w:r>
          </w:p>
        </w:tc>
        <w:tc>
          <w:tcPr>
            <w:tcW w:w="6095" w:type="dxa"/>
            <w:gridSpan w:val="3"/>
            <w:vAlign w:val="center"/>
          </w:tcPr>
          <w:p>
            <w:pPr>
              <w:pStyle w:val="12"/>
            </w:pPr>
            <w:r>
              <w:t>招商引资经费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640.00</w:t>
            </w:r>
          </w:p>
        </w:tc>
        <w:tc>
          <w:tcPr>
            <w:tcW w:w="2835" w:type="dxa"/>
            <w:vAlign w:val="center"/>
          </w:tcPr>
          <w:p>
            <w:pPr>
              <w:pStyle w:val="10"/>
            </w:pPr>
            <w:r>
              <w:t>其中：财政    资金</w:t>
            </w:r>
          </w:p>
        </w:tc>
        <w:tc>
          <w:tcPr>
            <w:tcW w:w="2551" w:type="dxa"/>
            <w:vAlign w:val="center"/>
          </w:tcPr>
          <w:p>
            <w:pPr>
              <w:pStyle w:val="12"/>
            </w:pPr>
            <w:r>
              <w:t>640.00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举办国内（境外）招商推荐活动，委托第三方提供会务、车辆和酒店租赁等相关服务；聘请招商大使；驻外招商工作支付租赁房费、差旅费和举办招商活动等支出。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1.组织、参加招商洽谈会，举办国内（境外）招商推荐活动，委托第三方提供会务、车辆和酒店租赁等相关服务，宣传、推介石家庄招商环境等相关支出。</w:t>
            </w:r>
          </w:p>
          <w:p>
            <w:pPr>
              <w:pStyle w:val="12"/>
            </w:pPr>
            <w:r>
              <w:t>2.通过聘请招商大使宣传推介我市投资环境、提供投资信息、邀约访客，促进项目签约等。</w:t>
            </w:r>
          </w:p>
          <w:p>
            <w:pPr>
              <w:pStyle w:val="12"/>
            </w:pPr>
            <w:r>
              <w:t>3.开展驻外招商工作支付租赁房费、差旅费和举办招商活动等支出。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赴外地组织、参加招商活动、拜访客户人次数、拜访企业数量</w:t>
            </w:r>
          </w:p>
        </w:tc>
        <w:tc>
          <w:tcPr>
            <w:tcW w:w="5386" w:type="dxa"/>
            <w:vAlign w:val="center"/>
          </w:tcPr>
          <w:p>
            <w:pPr>
              <w:pStyle w:val="12"/>
            </w:pPr>
            <w:r>
              <w:t>赴外地组织、参加招商活动、拜访客户人次数、拜访企业数量</w:t>
            </w:r>
          </w:p>
        </w:tc>
        <w:tc>
          <w:tcPr>
            <w:tcW w:w="2268" w:type="dxa"/>
            <w:vAlign w:val="center"/>
          </w:tcPr>
          <w:p>
            <w:pPr>
              <w:pStyle w:val="12"/>
            </w:pPr>
            <w:r>
              <w:t>≥100家</w:t>
            </w:r>
          </w:p>
        </w:tc>
        <w:tc>
          <w:tcPr>
            <w:tcW w:w="1276" w:type="dxa"/>
            <w:vAlign w:val="center"/>
          </w:tcPr>
          <w:p>
            <w:pPr>
              <w:pStyle w:val="12"/>
            </w:pPr>
            <w:r>
              <w:t>根据全年工作计划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完成招商引资签约项目</w:t>
            </w:r>
          </w:p>
        </w:tc>
        <w:tc>
          <w:tcPr>
            <w:tcW w:w="5386" w:type="dxa"/>
            <w:vAlign w:val="center"/>
          </w:tcPr>
          <w:p>
            <w:pPr>
              <w:pStyle w:val="12"/>
            </w:pPr>
            <w:r>
              <w:t>完成招商引资签约项目</w:t>
            </w:r>
          </w:p>
        </w:tc>
        <w:tc>
          <w:tcPr>
            <w:tcW w:w="2268" w:type="dxa"/>
            <w:vAlign w:val="center"/>
          </w:tcPr>
          <w:p>
            <w:pPr>
              <w:pStyle w:val="12"/>
            </w:pPr>
            <w:r>
              <w:t>≥100%</w:t>
            </w:r>
          </w:p>
        </w:tc>
        <w:tc>
          <w:tcPr>
            <w:tcW w:w="1276" w:type="dxa"/>
            <w:vAlign w:val="center"/>
          </w:tcPr>
          <w:p>
            <w:pPr>
              <w:pStyle w:val="12"/>
            </w:pPr>
            <w:r>
              <w:t>根据全年工作计划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各项招商工作完成及时率（%）</w:t>
            </w:r>
          </w:p>
        </w:tc>
        <w:tc>
          <w:tcPr>
            <w:tcW w:w="5386" w:type="dxa"/>
            <w:vAlign w:val="center"/>
          </w:tcPr>
          <w:p>
            <w:pPr>
              <w:pStyle w:val="12"/>
            </w:pPr>
            <w:r>
              <w:t>各项招商工作完成及时率（%）</w:t>
            </w:r>
          </w:p>
        </w:tc>
        <w:tc>
          <w:tcPr>
            <w:tcW w:w="2268" w:type="dxa"/>
            <w:vAlign w:val="center"/>
          </w:tcPr>
          <w:p>
            <w:pPr>
              <w:pStyle w:val="12"/>
            </w:pPr>
            <w:r>
              <w:t>≥100%</w:t>
            </w:r>
          </w:p>
        </w:tc>
        <w:tc>
          <w:tcPr>
            <w:tcW w:w="1276" w:type="dxa"/>
            <w:vAlign w:val="center"/>
          </w:tcPr>
          <w:p>
            <w:pPr>
              <w:pStyle w:val="12"/>
            </w:pPr>
            <w:r>
              <w:t>根据全年工作计划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5386" w:type="dxa"/>
            <w:vAlign w:val="center"/>
          </w:tcPr>
          <w:p>
            <w:pPr>
              <w:pStyle w:val="12"/>
            </w:pPr>
            <w:r>
              <w:t>总成本控制</w:t>
            </w:r>
          </w:p>
        </w:tc>
        <w:tc>
          <w:tcPr>
            <w:tcW w:w="2268" w:type="dxa"/>
            <w:vAlign w:val="center"/>
          </w:tcPr>
          <w:p>
            <w:pPr>
              <w:pStyle w:val="12"/>
            </w:pPr>
            <w:r>
              <w:t>≤640万元</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提升招商投资水平</w:t>
            </w:r>
          </w:p>
        </w:tc>
        <w:tc>
          <w:tcPr>
            <w:tcW w:w="5386" w:type="dxa"/>
            <w:vAlign w:val="center"/>
          </w:tcPr>
          <w:p>
            <w:pPr>
              <w:pStyle w:val="12"/>
            </w:pPr>
            <w:r>
              <w:t>提升招商引资精准度</w:t>
            </w:r>
          </w:p>
        </w:tc>
        <w:tc>
          <w:tcPr>
            <w:tcW w:w="2268" w:type="dxa"/>
            <w:vAlign w:val="center"/>
          </w:tcPr>
          <w:p>
            <w:pPr>
              <w:pStyle w:val="12"/>
            </w:pPr>
            <w:r>
              <w:t>有效提升</w:t>
            </w:r>
          </w:p>
        </w:tc>
        <w:tc>
          <w:tcPr>
            <w:tcW w:w="1276" w:type="dxa"/>
            <w:vAlign w:val="center"/>
          </w:tcPr>
          <w:p>
            <w:pPr>
              <w:pStyle w:val="12"/>
            </w:pPr>
            <w:r>
              <w:t>根据全年工作计划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客商和县（市、区）开发区及外资企业对我市组织招商工作满意率</w:t>
            </w:r>
          </w:p>
        </w:tc>
        <w:tc>
          <w:tcPr>
            <w:tcW w:w="2268" w:type="dxa"/>
            <w:vAlign w:val="center"/>
          </w:tcPr>
          <w:p>
            <w:pPr>
              <w:pStyle w:val="12"/>
            </w:pPr>
            <w:r>
              <w:t>≥95%</w:t>
            </w:r>
          </w:p>
        </w:tc>
        <w:tc>
          <w:tcPr>
            <w:tcW w:w="1276" w:type="dxa"/>
            <w:vAlign w:val="center"/>
          </w:tcPr>
          <w:p>
            <w:pPr>
              <w:pStyle w:val="12"/>
            </w:pPr>
            <w:r>
              <w:t>实地回访企业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9、招商引资经费-石家庄“香港周”活动绩效目标表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13010026P00614310010M</w:t>
            </w:r>
          </w:p>
        </w:tc>
        <w:tc>
          <w:tcPr>
            <w:tcW w:w="2835" w:type="dxa"/>
            <w:vAlign w:val="center"/>
          </w:tcPr>
          <w:p>
            <w:pPr>
              <w:pStyle w:val="10"/>
            </w:pPr>
            <w:r>
              <w:t>项目名称</w:t>
            </w:r>
          </w:p>
        </w:tc>
        <w:tc>
          <w:tcPr>
            <w:tcW w:w="6095" w:type="dxa"/>
            <w:gridSpan w:val="3"/>
            <w:vAlign w:val="center"/>
          </w:tcPr>
          <w:p>
            <w:pPr>
              <w:pStyle w:val="12"/>
            </w:pPr>
            <w:r>
              <w:t>招商引资经费-石家庄“香港周”活动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拜访香港重点企业，举办“石家庄·香港投资合作推介会暨应用场景发布会”、“石家庄·香港文旅产业推介会”“石家庄·香港科技医疗合作座谈会”、“石家庄·香港青年企业家新兴产业对话交流会”、“石家庄·香港农产品推介展示交流会”、“石家庄企业国际化发展对接交流会”等活动，布置城市、产业和文化待领域展览展示，推介石家庄市投资环境、重点产业、城市发展、文化旅游等，与当地企业、商协会等进行交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1.通过拜访香港重点企业，推动香港企业在我市开展合作。</w:t>
            </w:r>
          </w:p>
          <w:p>
            <w:pPr>
              <w:pStyle w:val="12"/>
            </w:pPr>
            <w:r>
              <w:t>2.举办“石家庄·香港投资合作推介会暨应用场景发布会”、“石家庄·香港文旅产业推介会”“石家庄·香港科技医疗合作座谈会”、“石家庄·香港青年企业家新兴产业对话交流会”、“石家庄·香港农产品推介展示交流会”、“石家庄企业国际化发展对接交流会”等活动，布置城市、产业和文化待领域展览展示，推介石家庄市投资环境、重点产业、城市发展、文化旅游等，与当地企业、商协会等进行交流，推动双方加强合作，扩大石家庄市的城市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组织、参加活动人次</w:t>
            </w:r>
          </w:p>
        </w:tc>
        <w:tc>
          <w:tcPr>
            <w:tcW w:w="5386" w:type="dxa"/>
            <w:vAlign w:val="center"/>
          </w:tcPr>
          <w:p>
            <w:pPr>
              <w:pStyle w:val="12"/>
            </w:pPr>
            <w:r>
              <w:t>组织、参加活动人次</w:t>
            </w:r>
          </w:p>
        </w:tc>
        <w:tc>
          <w:tcPr>
            <w:tcW w:w="2268" w:type="dxa"/>
            <w:vAlign w:val="center"/>
          </w:tcPr>
          <w:p>
            <w:pPr>
              <w:pStyle w:val="12"/>
            </w:pPr>
            <w:r>
              <w:t>≥200人</w:t>
            </w:r>
          </w:p>
        </w:tc>
        <w:tc>
          <w:tcPr>
            <w:tcW w:w="1276" w:type="dxa"/>
            <w:vAlign w:val="center"/>
          </w:tcPr>
          <w:p>
            <w:pPr>
              <w:pStyle w:val="12"/>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完成拜访香港企业</w:t>
            </w:r>
          </w:p>
        </w:tc>
        <w:tc>
          <w:tcPr>
            <w:tcW w:w="5386" w:type="dxa"/>
            <w:vAlign w:val="center"/>
          </w:tcPr>
          <w:p>
            <w:pPr>
              <w:pStyle w:val="12"/>
            </w:pPr>
            <w:r>
              <w:t>完成拜访香港企业</w:t>
            </w:r>
          </w:p>
        </w:tc>
        <w:tc>
          <w:tcPr>
            <w:tcW w:w="2268" w:type="dxa"/>
            <w:vAlign w:val="center"/>
          </w:tcPr>
          <w:p>
            <w:pPr>
              <w:pStyle w:val="12"/>
            </w:pPr>
            <w:r>
              <w:t>≥4家</w:t>
            </w:r>
          </w:p>
        </w:tc>
        <w:tc>
          <w:tcPr>
            <w:tcW w:w="1276" w:type="dxa"/>
            <w:vAlign w:val="center"/>
          </w:tcPr>
          <w:p>
            <w:pPr>
              <w:pStyle w:val="12"/>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按时完成招商引资工作</w:t>
            </w:r>
          </w:p>
        </w:tc>
        <w:tc>
          <w:tcPr>
            <w:tcW w:w="5386" w:type="dxa"/>
            <w:vAlign w:val="center"/>
          </w:tcPr>
          <w:p>
            <w:pPr>
              <w:pStyle w:val="12"/>
            </w:pPr>
            <w:r>
              <w:t>按时完成招商引资工作</w:t>
            </w:r>
          </w:p>
        </w:tc>
        <w:tc>
          <w:tcPr>
            <w:tcW w:w="2268" w:type="dxa"/>
            <w:vAlign w:val="center"/>
          </w:tcPr>
          <w:p>
            <w:pPr>
              <w:pStyle w:val="12"/>
            </w:pPr>
            <w:r>
              <w:t>≥95%</w:t>
            </w:r>
          </w:p>
        </w:tc>
        <w:tc>
          <w:tcPr>
            <w:tcW w:w="1276" w:type="dxa"/>
            <w:vAlign w:val="center"/>
          </w:tcPr>
          <w:p>
            <w:pPr>
              <w:pStyle w:val="12"/>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出访经费成本控制</w:t>
            </w:r>
          </w:p>
        </w:tc>
        <w:tc>
          <w:tcPr>
            <w:tcW w:w="5386" w:type="dxa"/>
            <w:vAlign w:val="center"/>
          </w:tcPr>
          <w:p>
            <w:pPr>
              <w:pStyle w:val="12"/>
            </w:pPr>
            <w:r>
              <w:t>出访经费成本控制</w:t>
            </w:r>
          </w:p>
        </w:tc>
        <w:tc>
          <w:tcPr>
            <w:tcW w:w="2268" w:type="dxa"/>
            <w:vAlign w:val="center"/>
          </w:tcPr>
          <w:p>
            <w:pPr>
              <w:pStyle w:val="12"/>
            </w:pPr>
            <w:r>
              <w:t>≤200万元</w:t>
            </w:r>
          </w:p>
        </w:tc>
        <w:tc>
          <w:tcPr>
            <w:tcW w:w="1276" w:type="dxa"/>
            <w:vAlign w:val="center"/>
          </w:tcPr>
          <w:p>
            <w:pPr>
              <w:pStyle w:val="12"/>
            </w:pPr>
            <w:r>
              <w:t>财政预算指标批复通知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提升石家庄外资招商投资水平</w:t>
            </w:r>
          </w:p>
        </w:tc>
        <w:tc>
          <w:tcPr>
            <w:tcW w:w="5386" w:type="dxa"/>
            <w:vAlign w:val="center"/>
          </w:tcPr>
          <w:p>
            <w:pPr>
              <w:pStyle w:val="12"/>
            </w:pPr>
            <w:r>
              <w:t>提升石家庄外资招商投资水平</w:t>
            </w:r>
          </w:p>
        </w:tc>
        <w:tc>
          <w:tcPr>
            <w:tcW w:w="2268" w:type="dxa"/>
            <w:vAlign w:val="center"/>
          </w:tcPr>
          <w:p>
            <w:pPr>
              <w:pStyle w:val="12"/>
            </w:pPr>
            <w:r>
              <w:t>有效提升</w:t>
            </w:r>
          </w:p>
        </w:tc>
        <w:tc>
          <w:tcPr>
            <w:tcW w:w="1276" w:type="dxa"/>
            <w:vAlign w:val="center"/>
          </w:tcPr>
          <w:p>
            <w:pPr>
              <w:pStyle w:val="12"/>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持续增强我市在香港的影响力</w:t>
            </w:r>
          </w:p>
        </w:tc>
        <w:tc>
          <w:tcPr>
            <w:tcW w:w="5386" w:type="dxa"/>
            <w:vAlign w:val="center"/>
          </w:tcPr>
          <w:p>
            <w:pPr>
              <w:pStyle w:val="12"/>
            </w:pPr>
            <w:r>
              <w:t>持续增强我市在香港的影响力</w:t>
            </w:r>
          </w:p>
        </w:tc>
        <w:tc>
          <w:tcPr>
            <w:tcW w:w="2268" w:type="dxa"/>
            <w:vAlign w:val="center"/>
          </w:tcPr>
          <w:p>
            <w:pPr>
              <w:pStyle w:val="12"/>
            </w:pPr>
            <w:r>
              <w:t>持续推进</w:t>
            </w:r>
          </w:p>
        </w:tc>
        <w:tc>
          <w:tcPr>
            <w:tcW w:w="1276" w:type="dxa"/>
            <w:vAlign w:val="center"/>
          </w:tcPr>
          <w:p>
            <w:pPr>
              <w:pStyle w:val="12"/>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客商对我市组织的活动满意度</w:t>
            </w:r>
          </w:p>
        </w:tc>
        <w:tc>
          <w:tcPr>
            <w:tcW w:w="5386" w:type="dxa"/>
            <w:vAlign w:val="center"/>
          </w:tcPr>
          <w:p>
            <w:pPr>
              <w:pStyle w:val="12"/>
            </w:pPr>
            <w:r>
              <w:t>客商对我市组织的活动满意度</w:t>
            </w:r>
          </w:p>
        </w:tc>
        <w:tc>
          <w:tcPr>
            <w:tcW w:w="2268" w:type="dxa"/>
            <w:vAlign w:val="center"/>
          </w:tcPr>
          <w:p>
            <w:pPr>
              <w:pStyle w:val="12"/>
            </w:pPr>
            <w:r>
              <w:t>≥95%</w:t>
            </w:r>
          </w:p>
        </w:tc>
        <w:tc>
          <w:tcPr>
            <w:tcW w:w="1276" w:type="dxa"/>
            <w:vAlign w:val="center"/>
          </w:tcPr>
          <w:p>
            <w:pPr>
              <w:pStyle w:val="12"/>
            </w:pPr>
            <w:r>
              <w:t>满意度抽查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321001石家庄市投资促进局本级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226.36</w:t>
            </w:r>
          </w:p>
        </w:tc>
        <w:tc>
          <w:tcPr>
            <w:tcW w:w="964" w:type="dxa"/>
            <w:vAlign w:val="center"/>
          </w:tcPr>
          <w:p>
            <w:pPr>
              <w:pStyle w:val="15"/>
            </w:pPr>
            <w:r>
              <w:t>226.36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石家庄市投资促进局本级小计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226.36</w:t>
            </w:r>
          </w:p>
        </w:tc>
        <w:tc>
          <w:tcPr>
            <w:tcW w:w="964" w:type="dxa"/>
            <w:vAlign w:val="center"/>
          </w:tcPr>
          <w:p>
            <w:pPr>
              <w:pStyle w:val="15"/>
            </w:pPr>
            <w:r>
              <w:t>226.36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42.45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60</w:t>
            </w:r>
          </w:p>
        </w:tc>
        <w:tc>
          <w:tcPr>
            <w:tcW w:w="850" w:type="dxa"/>
            <w:vAlign w:val="center"/>
          </w:tcPr>
          <w:p>
            <w:pPr>
              <w:pStyle w:val="11"/>
            </w:pPr>
            <w:r>
              <w:t>0.02</w:t>
            </w:r>
          </w:p>
        </w:tc>
        <w:tc>
          <w:tcPr>
            <w:tcW w:w="964" w:type="dxa"/>
            <w:vAlign w:val="center"/>
          </w:tcPr>
          <w:p>
            <w:pPr>
              <w:pStyle w:val="11"/>
            </w:pPr>
            <w:r>
              <w:t>1.01</w:t>
            </w:r>
          </w:p>
        </w:tc>
        <w:tc>
          <w:tcPr>
            <w:tcW w:w="964" w:type="dxa"/>
            <w:vAlign w:val="center"/>
          </w:tcPr>
          <w:p>
            <w:pPr>
              <w:pStyle w:val="11"/>
            </w:pPr>
            <w:r>
              <w:t>1.01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42.45</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42.45</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0.70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42.45</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0.94</w:t>
            </w:r>
          </w:p>
        </w:tc>
        <w:tc>
          <w:tcPr>
            <w:tcW w:w="964" w:type="dxa"/>
            <w:vAlign w:val="center"/>
          </w:tcPr>
          <w:p>
            <w:pPr>
              <w:pStyle w:val="11"/>
            </w:pPr>
            <w:r>
              <w:t>0.94</w:t>
            </w:r>
          </w:p>
        </w:tc>
        <w:tc>
          <w:tcPr>
            <w:tcW w:w="964" w:type="dxa"/>
            <w:vAlign w:val="center"/>
          </w:tcPr>
          <w:p>
            <w:pPr>
              <w:pStyle w:val="11"/>
            </w:pPr>
            <w:r>
              <w:t>0.94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1.21</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0.30</w:t>
            </w:r>
          </w:p>
        </w:tc>
        <w:tc>
          <w:tcPr>
            <w:tcW w:w="964" w:type="dxa"/>
            <w:vAlign w:val="center"/>
          </w:tcPr>
          <w:p>
            <w:pPr>
              <w:pStyle w:val="11"/>
            </w:pPr>
            <w:r>
              <w:t>1.21</w:t>
            </w:r>
          </w:p>
        </w:tc>
        <w:tc>
          <w:tcPr>
            <w:tcW w:w="964" w:type="dxa"/>
            <w:vAlign w:val="center"/>
          </w:tcPr>
          <w:p>
            <w:pPr>
              <w:pStyle w:val="11"/>
            </w:pPr>
            <w:r>
              <w:t>1.21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党组织活动经费</w:t>
            </w:r>
          </w:p>
        </w:tc>
        <w:tc>
          <w:tcPr>
            <w:tcW w:w="964" w:type="dxa"/>
            <w:vAlign w:val="center"/>
          </w:tcPr>
          <w:p>
            <w:pPr>
              <w:pStyle w:val="11"/>
            </w:pPr>
            <w:r>
              <w:t>3.50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100</w:t>
            </w:r>
          </w:p>
        </w:tc>
        <w:tc>
          <w:tcPr>
            <w:tcW w:w="850" w:type="dxa"/>
            <w:vAlign w:val="center"/>
          </w:tcPr>
          <w:p>
            <w:pPr>
              <w:pStyle w:val="11"/>
            </w:pPr>
            <w:r>
              <w:t>0.00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文件资料印刷费</w:t>
            </w:r>
          </w:p>
        </w:tc>
        <w:tc>
          <w:tcPr>
            <w:tcW w:w="964" w:type="dxa"/>
            <w:vAlign w:val="center"/>
          </w:tcPr>
          <w:p>
            <w:pPr>
              <w:pStyle w:val="11"/>
            </w:pPr>
            <w:r>
              <w:t>2.00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5000</w:t>
            </w:r>
          </w:p>
        </w:tc>
        <w:tc>
          <w:tcPr>
            <w:tcW w:w="850" w:type="dxa"/>
            <w:vAlign w:val="center"/>
          </w:tcPr>
          <w:p>
            <w:pPr>
              <w:pStyle w:val="11"/>
            </w:pPr>
            <w:r>
              <w:t>0.00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招商引资经费-石家庄“香港周”活动</w:t>
            </w:r>
          </w:p>
        </w:tc>
        <w:tc>
          <w:tcPr>
            <w:tcW w:w="964" w:type="dxa"/>
            <w:vAlign w:val="center"/>
          </w:tcPr>
          <w:p>
            <w:pPr>
              <w:pStyle w:val="11"/>
            </w:pPr>
            <w:r>
              <w:t>200.00</w:t>
            </w:r>
          </w:p>
        </w:tc>
        <w:tc>
          <w:tcPr>
            <w:tcW w:w="1134" w:type="dxa"/>
            <w:vAlign w:val="center"/>
          </w:tcPr>
          <w:p>
            <w:pPr>
              <w:pStyle w:val="12"/>
            </w:pPr>
            <w:r>
              <w:t>其他会议、展览、住宿和餐饮服务</w:t>
            </w:r>
          </w:p>
        </w:tc>
        <w:tc>
          <w:tcPr>
            <w:tcW w:w="1134" w:type="dxa"/>
            <w:vAlign w:val="center"/>
          </w:tcPr>
          <w:p>
            <w:pPr>
              <w:pStyle w:val="12"/>
            </w:pPr>
            <w:r>
              <w:t>C22990000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200.00</w:t>
            </w:r>
          </w:p>
        </w:tc>
        <w:tc>
          <w:tcPr>
            <w:tcW w:w="964" w:type="dxa"/>
            <w:vAlign w:val="center"/>
          </w:tcPr>
          <w:p>
            <w:pPr>
              <w:pStyle w:val="11"/>
            </w:pPr>
            <w:r>
              <w:t>200.00</w:t>
            </w:r>
          </w:p>
        </w:tc>
        <w:tc>
          <w:tcPr>
            <w:tcW w:w="964" w:type="dxa"/>
            <w:vAlign w:val="center"/>
          </w:tcPr>
          <w:p>
            <w:pPr>
              <w:pStyle w:val="11"/>
            </w:pPr>
            <w:r>
              <w:t>200.00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招商引资经费</w:t>
            </w:r>
          </w:p>
        </w:tc>
        <w:tc>
          <w:tcPr>
            <w:tcW w:w="964" w:type="dxa"/>
            <w:vAlign w:val="center"/>
          </w:tcPr>
          <w:p>
            <w:pPr>
              <w:pStyle w:val="11"/>
            </w:pPr>
            <w:r>
              <w:t>640.00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1000</w:t>
            </w:r>
          </w:p>
        </w:tc>
        <w:tc>
          <w:tcPr>
            <w:tcW w:w="850" w:type="dxa"/>
            <w:vAlign w:val="center"/>
          </w:tcPr>
          <w:p>
            <w:pPr>
              <w:pStyle w:val="11"/>
            </w:pPr>
            <w:r>
              <w:t>0.02</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石家庄市投资促进局本级上年末固定资产金额为</w:t>
      </w:r>
      <w:r>
        <w:rPr>
          <w:rFonts w:hint="eastAsia" w:eastAsia="方正仿宋_GBK" w:cs="Times New Roman"/>
          <w:b w:val="0"/>
          <w:color w:val="000000"/>
          <w:sz w:val="28"/>
          <w:lang w:val="en-US" w:eastAsia="zh-CN"/>
        </w:rPr>
        <w:t>181.37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1.21</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321001石家庄市投资促进局本级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jc w:val="center"/>
              <w:rPr>
                <w:rFonts w:hint="eastAsia" w:eastAsia="方正书宋_GBK"/>
                <w:lang w:eastAsia="zh-CN"/>
              </w:rPr>
            </w:pPr>
            <w:r>
              <w:rPr>
                <w:rFonts w:hint="eastAsia"/>
                <w:lang w:eastAsia="zh-CN"/>
              </w:rPr>
              <w:t>资产总额</w:t>
            </w:r>
          </w:p>
        </w:tc>
        <w:tc>
          <w:tcPr>
            <w:tcW w:w="2835" w:type="dxa"/>
            <w:vAlign w:val="center"/>
          </w:tcPr>
          <w:p>
            <w:pPr>
              <w:pStyle w:val="13"/>
              <w:rPr>
                <w:rFonts w:hint="eastAsia" w:eastAsia="方正书宋_GBK"/>
                <w:lang w:val="en-US" w:eastAsia="zh-CN"/>
              </w:rPr>
            </w:pPr>
            <w:r>
              <w:rPr>
                <w:rFonts w:hint="eastAsia"/>
                <w:lang w:val="en-US" w:eastAsia="zh-CN"/>
              </w:rPr>
              <w:t>-</w:t>
            </w:r>
          </w:p>
        </w:tc>
        <w:tc>
          <w:tcPr>
            <w:tcW w:w="2835" w:type="dxa"/>
            <w:vAlign w:val="center"/>
          </w:tcPr>
          <w:p>
            <w:pPr>
              <w:pStyle w:val="11"/>
            </w:pPr>
            <w:r>
              <w:rPr>
                <w:rFonts w:hint="eastAsia"/>
              </w:rPr>
              <w:t>181.37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rPr>
                <w:rFonts w:hint="eastAsia" w:ascii="FZSSK--GBK1-0" w:hAnsi="FZSSK--GBK1-0" w:eastAsia="FZSSK--GBK1-0"/>
                <w:sz w:val="21"/>
              </w:rPr>
              <w:t>1、房屋（平方米）</w:t>
            </w:r>
          </w:p>
        </w:tc>
        <w:tc>
          <w:tcPr>
            <w:tcW w:w="2835" w:type="dxa"/>
            <w:vAlign w:val="center"/>
          </w:tcPr>
          <w:p>
            <w:pPr>
              <w:pStyle w:val="13"/>
              <w:rPr>
                <w:rFonts w:hint="eastAsia" w:eastAsia="方正书宋_GBK"/>
                <w:lang w:val="en-US" w:eastAsia="zh-CN"/>
              </w:rPr>
            </w:pPr>
            <w:r>
              <w:rPr>
                <w:rFonts w:hint="eastAsia"/>
                <w:lang w:val="en-US" w:eastAsia="zh-CN"/>
              </w:rPr>
              <w:t>0</w:t>
            </w:r>
          </w:p>
        </w:tc>
        <w:tc>
          <w:tcPr>
            <w:tcW w:w="2835" w:type="dxa"/>
            <w:vAlign w:val="center"/>
          </w:tcPr>
          <w:p>
            <w:pPr>
              <w:pStyle w:val="11"/>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ind w:firstLine="200" w:firstLineChars="100"/>
            </w:pPr>
            <w:r>
              <w:rPr>
                <w:rFonts w:hint="eastAsia" w:ascii="MicrosoftYaHei" w:hAnsi="MicrosoftYaHei" w:eastAsia="MicrosoftYaHei"/>
                <w:sz w:val="20"/>
              </w:rPr>
              <w:t>其中：办公用房（平方米）</w:t>
            </w:r>
          </w:p>
        </w:tc>
        <w:tc>
          <w:tcPr>
            <w:tcW w:w="2835" w:type="dxa"/>
            <w:vAlign w:val="center"/>
          </w:tcPr>
          <w:p>
            <w:pPr>
              <w:pStyle w:val="13"/>
              <w:rPr>
                <w:rFonts w:hint="eastAsia" w:eastAsia="方正书宋_GBK"/>
                <w:lang w:val="en-US" w:eastAsia="zh-CN"/>
              </w:rPr>
            </w:pPr>
            <w:r>
              <w:rPr>
                <w:rFonts w:hint="eastAsia"/>
                <w:lang w:val="en-US" w:eastAsia="zh-CN"/>
              </w:rPr>
              <w:t>0</w:t>
            </w:r>
          </w:p>
        </w:tc>
        <w:tc>
          <w:tcPr>
            <w:tcW w:w="2835" w:type="dxa"/>
            <w:vAlign w:val="center"/>
          </w:tcPr>
          <w:p>
            <w:pPr>
              <w:pStyle w:val="11"/>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rPr>
                <w:rFonts w:hint="eastAsia" w:ascii="MicrosoftYaHei" w:hAnsi="MicrosoftYaHei" w:eastAsia="MicrosoftYaHei"/>
                <w:sz w:val="20"/>
              </w:rPr>
              <w:t>2、车辆（台、辆）</w:t>
            </w:r>
          </w:p>
        </w:tc>
        <w:tc>
          <w:tcPr>
            <w:tcW w:w="2835" w:type="dxa"/>
            <w:vAlign w:val="center"/>
          </w:tcPr>
          <w:p>
            <w:pPr>
              <w:pStyle w:val="13"/>
              <w:rPr>
                <w:rFonts w:hint="eastAsia" w:eastAsia="方正书宋_GBK"/>
                <w:lang w:val="en-US" w:eastAsia="zh-CN"/>
              </w:rPr>
            </w:pPr>
            <w:r>
              <w:rPr>
                <w:rFonts w:hint="eastAsia"/>
                <w:lang w:val="en-US" w:eastAsia="zh-CN"/>
              </w:rPr>
              <w:t>1</w:t>
            </w:r>
          </w:p>
        </w:tc>
        <w:tc>
          <w:tcPr>
            <w:tcW w:w="2835" w:type="dxa"/>
            <w:vAlign w:val="center"/>
          </w:tcPr>
          <w:p>
            <w:pPr>
              <w:pStyle w:val="11"/>
              <w:rPr>
                <w:rFonts w:hint="default" w:eastAsia="方正书宋_GBK"/>
                <w:lang w:val="en-US" w:eastAsia="zh-CN"/>
              </w:rPr>
            </w:pPr>
            <w:r>
              <w:rPr>
                <w:rFonts w:hint="eastAsia"/>
                <w:lang w:val="en-US" w:eastAsia="zh-CN"/>
              </w:rP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MicrosoftYaHei"/>
                <w:lang w:val="en-US" w:eastAsia="zh-CN"/>
              </w:rPr>
            </w:pPr>
            <w:r>
              <w:rPr>
                <w:rFonts w:hint="eastAsia" w:ascii="MicrosoftYaHei" w:hAnsi="MicrosoftYaHei" w:eastAsia="MicrosoftYaHei"/>
                <w:sz w:val="20"/>
              </w:rPr>
              <w:t>3、单价在20 万元以上</w:t>
            </w:r>
            <w:r>
              <w:rPr>
                <w:rFonts w:hint="eastAsia" w:ascii="MicrosoftYaHei" w:hAnsi="MicrosoftYaHei" w:eastAsia="MicrosoftYaHei"/>
                <w:sz w:val="20"/>
                <w:lang w:eastAsia="zh-CN"/>
              </w:rPr>
              <w:t>设备</w:t>
            </w:r>
          </w:p>
        </w:tc>
        <w:tc>
          <w:tcPr>
            <w:tcW w:w="2835" w:type="dxa"/>
            <w:vAlign w:val="center"/>
          </w:tcPr>
          <w:p>
            <w:pPr>
              <w:pStyle w:val="13"/>
              <w:rPr>
                <w:rFonts w:hint="eastAsia" w:eastAsia="方正书宋_GBK"/>
                <w:lang w:val="en-US" w:eastAsia="zh-CN"/>
              </w:rPr>
            </w:pPr>
            <w:r>
              <w:rPr>
                <w:rFonts w:hint="eastAsia"/>
                <w:lang w:val="en-US" w:eastAsia="zh-CN"/>
              </w:rPr>
              <w:t>0</w:t>
            </w:r>
          </w:p>
        </w:tc>
        <w:tc>
          <w:tcPr>
            <w:tcW w:w="2835" w:type="dxa"/>
            <w:vAlign w:val="center"/>
          </w:tcPr>
          <w:p>
            <w:pPr>
              <w:pStyle w:val="11"/>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rPr>
                <w:rFonts w:hint="eastAsia" w:ascii="MicrosoftYaHei" w:hAnsi="MicrosoftYaHei" w:eastAsia="MicrosoftYaHei"/>
                <w:sz w:val="20"/>
              </w:rPr>
              <w:t>4、其他固定资产</w:t>
            </w:r>
          </w:p>
        </w:tc>
        <w:tc>
          <w:tcPr>
            <w:tcW w:w="2835" w:type="dxa"/>
            <w:vAlign w:val="center"/>
          </w:tcPr>
          <w:p>
            <w:pPr>
              <w:pStyle w:val="13"/>
              <w:rPr>
                <w:rFonts w:hint="default" w:eastAsia="方正书宋_GBK"/>
                <w:lang w:val="en-US" w:eastAsia="zh-CN"/>
              </w:rPr>
            </w:pPr>
            <w:r>
              <w:rPr>
                <w:rFonts w:hint="eastAsia"/>
                <w:lang w:val="en-US" w:eastAsia="zh-CN"/>
              </w:rPr>
              <w:t>590</w:t>
            </w:r>
          </w:p>
        </w:tc>
        <w:tc>
          <w:tcPr>
            <w:tcW w:w="2835" w:type="dxa"/>
            <w:vAlign w:val="center"/>
          </w:tcPr>
          <w:p>
            <w:pPr>
              <w:pStyle w:val="11"/>
              <w:rPr>
                <w:rFonts w:hint="default" w:eastAsia="方正书宋_GBK"/>
                <w:lang w:val="en-US" w:eastAsia="zh-CN"/>
              </w:rPr>
            </w:pPr>
            <w:r>
              <w:rPr>
                <w:rFonts w:hint="eastAsia"/>
                <w:lang w:val="en-US" w:eastAsia="zh-CN"/>
              </w:rPr>
              <w:t>163.39</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二、石家庄市投资促进服务中心（石家庄市外商投资企业投诉服务中心）收支预算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260.02</w:t>
            </w:r>
          </w:p>
        </w:tc>
        <w:tc>
          <w:tcPr>
            <w:tcW w:w="4535" w:type="dxa"/>
            <w:vAlign w:val="center"/>
          </w:tcPr>
          <w:p>
            <w:pPr>
              <w:pStyle w:val="12"/>
            </w:pPr>
            <w:r>
              <w:t>一、一般公共服务支出</w:t>
            </w:r>
          </w:p>
        </w:tc>
        <w:tc>
          <w:tcPr>
            <w:tcW w:w="2126" w:type="dxa"/>
            <w:vAlign w:val="center"/>
          </w:tcPr>
          <w:p>
            <w:pPr>
              <w:pStyle w:val="11"/>
            </w:pPr>
            <w:r>
              <w:t>207.06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260.02</w:t>
            </w:r>
          </w:p>
        </w:tc>
        <w:tc>
          <w:tcPr>
            <w:tcW w:w="4535" w:type="dxa"/>
            <w:vAlign w:val="center"/>
          </w:tcPr>
          <w:p>
            <w:pPr>
              <w:pStyle w:val="14"/>
            </w:pPr>
            <w:r>
              <w:t>本年支出合计</w:t>
            </w:r>
          </w:p>
        </w:tc>
        <w:tc>
          <w:tcPr>
            <w:tcW w:w="2126" w:type="dxa"/>
            <w:vAlign w:val="center"/>
          </w:tcPr>
          <w:p>
            <w:pPr>
              <w:pStyle w:val="15"/>
            </w:pPr>
            <w:r>
              <w:t>260.02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260.02</w:t>
            </w:r>
          </w:p>
        </w:tc>
        <w:tc>
          <w:tcPr>
            <w:tcW w:w="4535" w:type="dxa"/>
            <w:vAlign w:val="center"/>
          </w:tcPr>
          <w:p>
            <w:pPr>
              <w:pStyle w:val="14"/>
            </w:pPr>
            <w:r>
              <w:t>支出总计</w:t>
            </w:r>
          </w:p>
        </w:tc>
        <w:tc>
          <w:tcPr>
            <w:tcW w:w="2126" w:type="dxa"/>
            <w:vAlign w:val="center"/>
          </w:tcPr>
          <w:p>
            <w:pPr>
              <w:pStyle w:val="15"/>
            </w:pPr>
            <w:r>
              <w:t>260.02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260.02</w:t>
            </w:r>
          </w:p>
        </w:tc>
        <w:tc>
          <w:tcPr>
            <w:tcW w:w="1134" w:type="dxa"/>
            <w:vAlign w:val="center"/>
          </w:tcPr>
          <w:p>
            <w:pPr>
              <w:pStyle w:val="15"/>
            </w:pPr>
            <w:r>
              <w:t>260.02</w:t>
            </w:r>
          </w:p>
        </w:tc>
        <w:tc>
          <w:tcPr>
            <w:tcW w:w="1134" w:type="dxa"/>
            <w:vAlign w:val="center"/>
          </w:tcPr>
          <w:p>
            <w:pPr>
              <w:pStyle w:val="15"/>
            </w:pPr>
            <w:r>
              <w:t>260.02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207.06</w:t>
            </w:r>
          </w:p>
        </w:tc>
        <w:tc>
          <w:tcPr>
            <w:tcW w:w="1134" w:type="dxa"/>
            <w:vAlign w:val="center"/>
          </w:tcPr>
          <w:p>
            <w:pPr>
              <w:pStyle w:val="11"/>
            </w:pPr>
            <w:r>
              <w:t>207.06</w:t>
            </w:r>
          </w:p>
        </w:tc>
        <w:tc>
          <w:tcPr>
            <w:tcW w:w="1134" w:type="dxa"/>
            <w:vAlign w:val="center"/>
          </w:tcPr>
          <w:p>
            <w:pPr>
              <w:pStyle w:val="11"/>
            </w:pPr>
            <w:r>
              <w:t>207.06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207.06</w:t>
            </w:r>
          </w:p>
        </w:tc>
        <w:tc>
          <w:tcPr>
            <w:tcW w:w="1134" w:type="dxa"/>
            <w:vAlign w:val="center"/>
          </w:tcPr>
          <w:p>
            <w:pPr>
              <w:pStyle w:val="11"/>
            </w:pPr>
            <w:r>
              <w:t>207.06</w:t>
            </w:r>
          </w:p>
        </w:tc>
        <w:tc>
          <w:tcPr>
            <w:tcW w:w="1134" w:type="dxa"/>
            <w:vAlign w:val="center"/>
          </w:tcPr>
          <w:p>
            <w:pPr>
              <w:pStyle w:val="11"/>
            </w:pPr>
            <w:r>
              <w:t>207.06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2011302</w:t>
            </w:r>
          </w:p>
        </w:tc>
        <w:tc>
          <w:tcPr>
            <w:tcW w:w="1559" w:type="dxa"/>
            <w:vAlign w:val="center"/>
          </w:tcPr>
          <w:p>
            <w:pPr>
              <w:pStyle w:val="12"/>
            </w:pPr>
            <w:r>
              <w:t>一般行政管理事务</w:t>
            </w:r>
          </w:p>
        </w:tc>
        <w:tc>
          <w:tcPr>
            <w:tcW w:w="1134" w:type="dxa"/>
            <w:vAlign w:val="center"/>
          </w:tcPr>
          <w:p>
            <w:pPr>
              <w:pStyle w:val="11"/>
            </w:pPr>
            <w:r>
              <w:t>4.17</w:t>
            </w:r>
          </w:p>
        </w:tc>
        <w:tc>
          <w:tcPr>
            <w:tcW w:w="1134" w:type="dxa"/>
            <w:vAlign w:val="center"/>
          </w:tcPr>
          <w:p>
            <w:pPr>
              <w:pStyle w:val="11"/>
            </w:pPr>
            <w:r>
              <w:t>4.17</w:t>
            </w:r>
          </w:p>
        </w:tc>
        <w:tc>
          <w:tcPr>
            <w:tcW w:w="1134" w:type="dxa"/>
            <w:vAlign w:val="center"/>
          </w:tcPr>
          <w:p>
            <w:pPr>
              <w:pStyle w:val="11"/>
            </w:pPr>
            <w:r>
              <w:t>4.17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2011350</w:t>
            </w:r>
          </w:p>
        </w:tc>
        <w:tc>
          <w:tcPr>
            <w:tcW w:w="1559" w:type="dxa"/>
            <w:vAlign w:val="center"/>
          </w:tcPr>
          <w:p>
            <w:pPr>
              <w:pStyle w:val="12"/>
            </w:pPr>
            <w:r>
              <w:t>事业运行</w:t>
            </w:r>
          </w:p>
        </w:tc>
        <w:tc>
          <w:tcPr>
            <w:tcW w:w="1134" w:type="dxa"/>
            <w:vAlign w:val="center"/>
          </w:tcPr>
          <w:p>
            <w:pPr>
              <w:pStyle w:val="11"/>
            </w:pPr>
            <w:r>
              <w:t>177.89</w:t>
            </w:r>
          </w:p>
        </w:tc>
        <w:tc>
          <w:tcPr>
            <w:tcW w:w="1134" w:type="dxa"/>
            <w:vAlign w:val="center"/>
          </w:tcPr>
          <w:p>
            <w:pPr>
              <w:pStyle w:val="11"/>
            </w:pPr>
            <w:r>
              <w:t>177.89</w:t>
            </w:r>
          </w:p>
        </w:tc>
        <w:tc>
          <w:tcPr>
            <w:tcW w:w="1134" w:type="dxa"/>
            <w:vAlign w:val="center"/>
          </w:tcPr>
          <w:p>
            <w:pPr>
              <w:pStyle w:val="11"/>
            </w:pPr>
            <w:r>
              <w:t>177.89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21.80</w:t>
            </w:r>
          </w:p>
        </w:tc>
        <w:tc>
          <w:tcPr>
            <w:tcW w:w="1134" w:type="dxa"/>
            <w:vAlign w:val="center"/>
          </w:tcPr>
          <w:p>
            <w:pPr>
              <w:pStyle w:val="11"/>
            </w:pPr>
            <w:r>
              <w:t>21.80</w:t>
            </w:r>
          </w:p>
        </w:tc>
        <w:tc>
          <w:tcPr>
            <w:tcW w:w="1134" w:type="dxa"/>
            <w:vAlign w:val="center"/>
          </w:tcPr>
          <w:p>
            <w:pPr>
              <w:pStyle w:val="11"/>
            </w:pPr>
            <w:r>
              <w:t>21.80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20.65</w:t>
            </w:r>
          </w:p>
        </w:tc>
        <w:tc>
          <w:tcPr>
            <w:tcW w:w="1134" w:type="dxa"/>
            <w:vAlign w:val="center"/>
          </w:tcPr>
          <w:p>
            <w:pPr>
              <w:pStyle w:val="11"/>
            </w:pPr>
            <w:r>
              <w:t>20.65</w:t>
            </w:r>
          </w:p>
        </w:tc>
        <w:tc>
          <w:tcPr>
            <w:tcW w:w="1134" w:type="dxa"/>
            <w:vAlign w:val="center"/>
          </w:tcPr>
          <w:p>
            <w:pPr>
              <w:pStyle w:val="11"/>
            </w:pPr>
            <w:r>
              <w:t>20.65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20.65</w:t>
            </w:r>
          </w:p>
        </w:tc>
        <w:tc>
          <w:tcPr>
            <w:tcW w:w="1134" w:type="dxa"/>
            <w:vAlign w:val="center"/>
          </w:tcPr>
          <w:p>
            <w:pPr>
              <w:pStyle w:val="11"/>
            </w:pPr>
            <w:r>
              <w:t>20.65</w:t>
            </w:r>
          </w:p>
        </w:tc>
        <w:tc>
          <w:tcPr>
            <w:tcW w:w="1134" w:type="dxa"/>
            <w:vAlign w:val="center"/>
          </w:tcPr>
          <w:p>
            <w:pPr>
              <w:pStyle w:val="11"/>
            </w:pPr>
            <w:r>
              <w:t>20.65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1.15</w:t>
            </w:r>
          </w:p>
        </w:tc>
        <w:tc>
          <w:tcPr>
            <w:tcW w:w="1134" w:type="dxa"/>
            <w:vAlign w:val="center"/>
          </w:tcPr>
          <w:p>
            <w:pPr>
              <w:pStyle w:val="11"/>
            </w:pPr>
            <w:r>
              <w:t>1.15</w:t>
            </w:r>
          </w:p>
        </w:tc>
        <w:tc>
          <w:tcPr>
            <w:tcW w:w="1134" w:type="dxa"/>
            <w:vAlign w:val="center"/>
          </w:tcPr>
          <w:p>
            <w:pPr>
              <w:pStyle w:val="11"/>
            </w:pPr>
            <w:r>
              <w:t>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1.15</w:t>
            </w:r>
          </w:p>
        </w:tc>
        <w:tc>
          <w:tcPr>
            <w:tcW w:w="1134" w:type="dxa"/>
            <w:vAlign w:val="center"/>
          </w:tcPr>
          <w:p>
            <w:pPr>
              <w:pStyle w:val="11"/>
            </w:pPr>
            <w:r>
              <w:t>1.15</w:t>
            </w:r>
          </w:p>
        </w:tc>
        <w:tc>
          <w:tcPr>
            <w:tcW w:w="1134" w:type="dxa"/>
            <w:vAlign w:val="center"/>
          </w:tcPr>
          <w:p>
            <w:pPr>
              <w:pStyle w:val="11"/>
            </w:pPr>
            <w:r>
              <w:t>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12.86</w:t>
            </w:r>
          </w:p>
        </w:tc>
        <w:tc>
          <w:tcPr>
            <w:tcW w:w="1134" w:type="dxa"/>
            <w:vAlign w:val="center"/>
          </w:tcPr>
          <w:p>
            <w:pPr>
              <w:pStyle w:val="11"/>
            </w:pPr>
            <w:r>
              <w:t>12.86</w:t>
            </w:r>
          </w:p>
        </w:tc>
        <w:tc>
          <w:tcPr>
            <w:tcW w:w="1134" w:type="dxa"/>
            <w:vAlign w:val="center"/>
          </w:tcPr>
          <w:p>
            <w:pPr>
              <w:pStyle w:val="11"/>
            </w:pPr>
            <w:r>
              <w:t>12.86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12.86</w:t>
            </w:r>
          </w:p>
        </w:tc>
        <w:tc>
          <w:tcPr>
            <w:tcW w:w="1134" w:type="dxa"/>
            <w:vAlign w:val="center"/>
          </w:tcPr>
          <w:p>
            <w:pPr>
              <w:pStyle w:val="11"/>
            </w:pPr>
            <w:r>
              <w:t>12.86</w:t>
            </w:r>
          </w:p>
        </w:tc>
        <w:tc>
          <w:tcPr>
            <w:tcW w:w="1134" w:type="dxa"/>
            <w:vAlign w:val="center"/>
          </w:tcPr>
          <w:p>
            <w:pPr>
              <w:pStyle w:val="11"/>
            </w:pPr>
            <w:r>
              <w:t>12.86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6.62</w:t>
            </w:r>
          </w:p>
        </w:tc>
        <w:tc>
          <w:tcPr>
            <w:tcW w:w="1134" w:type="dxa"/>
            <w:vAlign w:val="center"/>
          </w:tcPr>
          <w:p>
            <w:pPr>
              <w:pStyle w:val="11"/>
            </w:pPr>
            <w:r>
              <w:t>6.62</w:t>
            </w:r>
          </w:p>
        </w:tc>
        <w:tc>
          <w:tcPr>
            <w:tcW w:w="1134" w:type="dxa"/>
            <w:vAlign w:val="center"/>
          </w:tcPr>
          <w:p>
            <w:pPr>
              <w:pStyle w:val="11"/>
            </w:pPr>
            <w:r>
              <w:t>6.62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6.24</w:t>
            </w:r>
          </w:p>
        </w:tc>
        <w:tc>
          <w:tcPr>
            <w:tcW w:w="1134" w:type="dxa"/>
            <w:vAlign w:val="center"/>
          </w:tcPr>
          <w:p>
            <w:pPr>
              <w:pStyle w:val="11"/>
            </w:pPr>
            <w:r>
              <w:t>6.24</w:t>
            </w:r>
          </w:p>
        </w:tc>
        <w:tc>
          <w:tcPr>
            <w:tcW w:w="1134" w:type="dxa"/>
            <w:vAlign w:val="center"/>
          </w:tcPr>
          <w:p>
            <w:pPr>
              <w:pStyle w:val="11"/>
            </w:pPr>
            <w:r>
              <w:t>6.24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18.30</w:t>
            </w:r>
          </w:p>
        </w:tc>
        <w:tc>
          <w:tcPr>
            <w:tcW w:w="1134" w:type="dxa"/>
            <w:vAlign w:val="center"/>
          </w:tcPr>
          <w:p>
            <w:pPr>
              <w:pStyle w:val="11"/>
            </w:pPr>
            <w:r>
              <w:t>18.30</w:t>
            </w:r>
          </w:p>
        </w:tc>
        <w:tc>
          <w:tcPr>
            <w:tcW w:w="1134" w:type="dxa"/>
            <w:vAlign w:val="center"/>
          </w:tcPr>
          <w:p>
            <w:pPr>
              <w:pStyle w:val="11"/>
            </w:pPr>
            <w:r>
              <w:t>18.30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18.30</w:t>
            </w:r>
          </w:p>
        </w:tc>
        <w:tc>
          <w:tcPr>
            <w:tcW w:w="1134" w:type="dxa"/>
            <w:vAlign w:val="center"/>
          </w:tcPr>
          <w:p>
            <w:pPr>
              <w:pStyle w:val="11"/>
            </w:pPr>
            <w:r>
              <w:t>18.30</w:t>
            </w:r>
          </w:p>
        </w:tc>
        <w:tc>
          <w:tcPr>
            <w:tcW w:w="1134" w:type="dxa"/>
            <w:vAlign w:val="center"/>
          </w:tcPr>
          <w:p>
            <w:pPr>
              <w:pStyle w:val="11"/>
            </w:pPr>
            <w:r>
              <w:t>18.30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18.30</w:t>
            </w:r>
          </w:p>
        </w:tc>
        <w:tc>
          <w:tcPr>
            <w:tcW w:w="1134" w:type="dxa"/>
            <w:vAlign w:val="center"/>
          </w:tcPr>
          <w:p>
            <w:pPr>
              <w:pStyle w:val="11"/>
            </w:pPr>
            <w:r>
              <w:t>18.30</w:t>
            </w:r>
          </w:p>
        </w:tc>
        <w:tc>
          <w:tcPr>
            <w:tcW w:w="1134" w:type="dxa"/>
            <w:vAlign w:val="center"/>
          </w:tcPr>
          <w:p>
            <w:pPr>
              <w:pStyle w:val="11"/>
            </w:pPr>
            <w:r>
              <w:t>18.30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260.02</w:t>
            </w:r>
          </w:p>
        </w:tc>
        <w:tc>
          <w:tcPr>
            <w:tcW w:w="1361" w:type="dxa"/>
            <w:vAlign w:val="center"/>
          </w:tcPr>
          <w:p>
            <w:pPr>
              <w:pStyle w:val="15"/>
            </w:pPr>
            <w:r>
              <w:t>230.85</w:t>
            </w:r>
          </w:p>
        </w:tc>
        <w:tc>
          <w:tcPr>
            <w:tcW w:w="1361" w:type="dxa"/>
            <w:vAlign w:val="center"/>
          </w:tcPr>
          <w:p>
            <w:pPr>
              <w:pStyle w:val="15"/>
            </w:pPr>
            <w:r>
              <w:t>29.17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207.06</w:t>
            </w:r>
          </w:p>
        </w:tc>
        <w:tc>
          <w:tcPr>
            <w:tcW w:w="1361" w:type="dxa"/>
            <w:vAlign w:val="center"/>
          </w:tcPr>
          <w:p>
            <w:pPr>
              <w:pStyle w:val="11"/>
            </w:pPr>
            <w:r>
              <w:t>177.89</w:t>
            </w:r>
          </w:p>
        </w:tc>
        <w:tc>
          <w:tcPr>
            <w:tcW w:w="1361" w:type="dxa"/>
            <w:vAlign w:val="center"/>
          </w:tcPr>
          <w:p>
            <w:pPr>
              <w:pStyle w:val="11"/>
            </w:pPr>
            <w:r>
              <w:t>29.17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207.06</w:t>
            </w:r>
          </w:p>
        </w:tc>
        <w:tc>
          <w:tcPr>
            <w:tcW w:w="1361" w:type="dxa"/>
            <w:vAlign w:val="center"/>
          </w:tcPr>
          <w:p>
            <w:pPr>
              <w:pStyle w:val="11"/>
            </w:pPr>
            <w:r>
              <w:t>177.89</w:t>
            </w:r>
          </w:p>
        </w:tc>
        <w:tc>
          <w:tcPr>
            <w:tcW w:w="1361" w:type="dxa"/>
            <w:vAlign w:val="center"/>
          </w:tcPr>
          <w:p>
            <w:pPr>
              <w:pStyle w:val="11"/>
            </w:pPr>
            <w:r>
              <w:t>29.17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2011302</w:t>
            </w:r>
          </w:p>
        </w:tc>
        <w:tc>
          <w:tcPr>
            <w:tcW w:w="4535" w:type="dxa"/>
            <w:vAlign w:val="center"/>
          </w:tcPr>
          <w:p>
            <w:pPr>
              <w:pStyle w:val="12"/>
            </w:pPr>
            <w:r>
              <w:t>一般行政管理事务</w:t>
            </w:r>
          </w:p>
        </w:tc>
        <w:tc>
          <w:tcPr>
            <w:tcW w:w="1361" w:type="dxa"/>
            <w:vAlign w:val="center"/>
          </w:tcPr>
          <w:p>
            <w:pPr>
              <w:pStyle w:val="11"/>
            </w:pPr>
            <w:r>
              <w:t>4.17</w:t>
            </w:r>
          </w:p>
        </w:tc>
        <w:tc>
          <w:tcPr>
            <w:tcW w:w="1361" w:type="dxa"/>
            <w:vAlign w:val="center"/>
          </w:tcPr>
          <w:p>
            <w:pPr>
              <w:pStyle w:val="11"/>
            </w:pPr>
          </w:p>
        </w:tc>
        <w:tc>
          <w:tcPr>
            <w:tcW w:w="1361" w:type="dxa"/>
            <w:vAlign w:val="center"/>
          </w:tcPr>
          <w:p>
            <w:pPr>
              <w:pStyle w:val="11"/>
            </w:pPr>
            <w:r>
              <w:t>4.17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2011350</w:t>
            </w:r>
          </w:p>
        </w:tc>
        <w:tc>
          <w:tcPr>
            <w:tcW w:w="4535" w:type="dxa"/>
            <w:vAlign w:val="center"/>
          </w:tcPr>
          <w:p>
            <w:pPr>
              <w:pStyle w:val="12"/>
            </w:pPr>
            <w:r>
              <w:t>事业运行</w:t>
            </w:r>
          </w:p>
        </w:tc>
        <w:tc>
          <w:tcPr>
            <w:tcW w:w="1361" w:type="dxa"/>
            <w:vAlign w:val="center"/>
          </w:tcPr>
          <w:p>
            <w:pPr>
              <w:pStyle w:val="11"/>
            </w:pPr>
            <w:r>
              <w:t>177.89</w:t>
            </w:r>
          </w:p>
        </w:tc>
        <w:tc>
          <w:tcPr>
            <w:tcW w:w="1361" w:type="dxa"/>
            <w:vAlign w:val="center"/>
          </w:tcPr>
          <w:p>
            <w:pPr>
              <w:pStyle w:val="11"/>
            </w:pPr>
            <w:r>
              <w:t>177.89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21.80</w:t>
            </w:r>
          </w:p>
        </w:tc>
        <w:tc>
          <w:tcPr>
            <w:tcW w:w="1361" w:type="dxa"/>
            <w:vAlign w:val="center"/>
          </w:tcPr>
          <w:p>
            <w:pPr>
              <w:pStyle w:val="11"/>
            </w:pPr>
            <w:r>
              <w:t>21.80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20.65</w:t>
            </w:r>
          </w:p>
        </w:tc>
        <w:tc>
          <w:tcPr>
            <w:tcW w:w="1361" w:type="dxa"/>
            <w:vAlign w:val="center"/>
          </w:tcPr>
          <w:p>
            <w:pPr>
              <w:pStyle w:val="11"/>
            </w:pPr>
            <w:r>
              <w:t>20.65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20.65</w:t>
            </w:r>
          </w:p>
        </w:tc>
        <w:tc>
          <w:tcPr>
            <w:tcW w:w="1361" w:type="dxa"/>
            <w:vAlign w:val="center"/>
          </w:tcPr>
          <w:p>
            <w:pPr>
              <w:pStyle w:val="11"/>
            </w:pPr>
            <w:r>
              <w:t>20.65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1.15</w:t>
            </w:r>
          </w:p>
        </w:tc>
        <w:tc>
          <w:tcPr>
            <w:tcW w:w="1361" w:type="dxa"/>
            <w:vAlign w:val="center"/>
          </w:tcPr>
          <w:p>
            <w:pPr>
              <w:pStyle w:val="11"/>
            </w:pPr>
            <w:r>
              <w:t>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1.15</w:t>
            </w:r>
          </w:p>
        </w:tc>
        <w:tc>
          <w:tcPr>
            <w:tcW w:w="1361" w:type="dxa"/>
            <w:vAlign w:val="center"/>
          </w:tcPr>
          <w:p>
            <w:pPr>
              <w:pStyle w:val="11"/>
            </w:pPr>
            <w:r>
              <w:t>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12.86</w:t>
            </w:r>
          </w:p>
        </w:tc>
        <w:tc>
          <w:tcPr>
            <w:tcW w:w="1361" w:type="dxa"/>
            <w:vAlign w:val="center"/>
          </w:tcPr>
          <w:p>
            <w:pPr>
              <w:pStyle w:val="11"/>
            </w:pPr>
            <w:r>
              <w:t>12.86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12.86</w:t>
            </w:r>
          </w:p>
        </w:tc>
        <w:tc>
          <w:tcPr>
            <w:tcW w:w="1361" w:type="dxa"/>
            <w:vAlign w:val="center"/>
          </w:tcPr>
          <w:p>
            <w:pPr>
              <w:pStyle w:val="11"/>
            </w:pPr>
            <w:r>
              <w:t>12.86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6.62</w:t>
            </w:r>
          </w:p>
        </w:tc>
        <w:tc>
          <w:tcPr>
            <w:tcW w:w="1361" w:type="dxa"/>
            <w:vAlign w:val="center"/>
          </w:tcPr>
          <w:p>
            <w:pPr>
              <w:pStyle w:val="11"/>
            </w:pPr>
            <w:r>
              <w:t>6.62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6.24</w:t>
            </w:r>
          </w:p>
        </w:tc>
        <w:tc>
          <w:tcPr>
            <w:tcW w:w="1361" w:type="dxa"/>
            <w:vAlign w:val="center"/>
          </w:tcPr>
          <w:p>
            <w:pPr>
              <w:pStyle w:val="11"/>
            </w:pPr>
            <w:r>
              <w:t>6.24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18.30</w:t>
            </w:r>
          </w:p>
        </w:tc>
        <w:tc>
          <w:tcPr>
            <w:tcW w:w="1361" w:type="dxa"/>
            <w:vAlign w:val="center"/>
          </w:tcPr>
          <w:p>
            <w:pPr>
              <w:pStyle w:val="11"/>
            </w:pPr>
            <w:r>
              <w:t>18.30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18.30</w:t>
            </w:r>
          </w:p>
        </w:tc>
        <w:tc>
          <w:tcPr>
            <w:tcW w:w="1361" w:type="dxa"/>
            <w:vAlign w:val="center"/>
          </w:tcPr>
          <w:p>
            <w:pPr>
              <w:pStyle w:val="11"/>
            </w:pPr>
            <w:r>
              <w:t>18.30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18.30</w:t>
            </w:r>
          </w:p>
        </w:tc>
        <w:tc>
          <w:tcPr>
            <w:tcW w:w="1361" w:type="dxa"/>
            <w:vAlign w:val="center"/>
          </w:tcPr>
          <w:p>
            <w:pPr>
              <w:pStyle w:val="11"/>
            </w:pPr>
            <w:r>
              <w:t>18.30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260.02</w:t>
            </w:r>
          </w:p>
        </w:tc>
        <w:tc>
          <w:tcPr>
            <w:tcW w:w="3402" w:type="dxa"/>
            <w:vAlign w:val="center"/>
          </w:tcPr>
          <w:p>
            <w:pPr>
              <w:pStyle w:val="12"/>
            </w:pPr>
            <w:r>
              <w:t>一、一般公共服务支出</w:t>
            </w:r>
          </w:p>
        </w:tc>
        <w:tc>
          <w:tcPr>
            <w:tcW w:w="1474" w:type="dxa"/>
            <w:vAlign w:val="center"/>
          </w:tcPr>
          <w:p>
            <w:pPr>
              <w:pStyle w:val="11"/>
            </w:pPr>
            <w:r>
              <w:t>207.06</w:t>
            </w:r>
          </w:p>
        </w:tc>
        <w:tc>
          <w:tcPr>
            <w:tcW w:w="1474" w:type="dxa"/>
            <w:vAlign w:val="center"/>
          </w:tcPr>
          <w:p>
            <w:pPr>
              <w:pStyle w:val="11"/>
            </w:pPr>
            <w:r>
              <w:t>207.06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21.80</w:t>
            </w:r>
          </w:p>
        </w:tc>
        <w:tc>
          <w:tcPr>
            <w:tcW w:w="1474" w:type="dxa"/>
            <w:vAlign w:val="center"/>
          </w:tcPr>
          <w:p>
            <w:pPr>
              <w:pStyle w:val="11"/>
            </w:pPr>
            <w:r>
              <w:t>21.80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12.86</w:t>
            </w:r>
          </w:p>
        </w:tc>
        <w:tc>
          <w:tcPr>
            <w:tcW w:w="1474" w:type="dxa"/>
            <w:vAlign w:val="center"/>
          </w:tcPr>
          <w:p>
            <w:pPr>
              <w:pStyle w:val="11"/>
            </w:pPr>
            <w:r>
              <w:t>12.86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18.30</w:t>
            </w:r>
          </w:p>
        </w:tc>
        <w:tc>
          <w:tcPr>
            <w:tcW w:w="1474" w:type="dxa"/>
            <w:vAlign w:val="center"/>
          </w:tcPr>
          <w:p>
            <w:pPr>
              <w:pStyle w:val="11"/>
            </w:pPr>
            <w:r>
              <w:t>18.30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260.02</w:t>
            </w:r>
          </w:p>
        </w:tc>
        <w:tc>
          <w:tcPr>
            <w:tcW w:w="3402" w:type="dxa"/>
            <w:vAlign w:val="center"/>
          </w:tcPr>
          <w:p>
            <w:pPr>
              <w:pStyle w:val="14"/>
            </w:pPr>
            <w:r>
              <w:t>本年支出合计</w:t>
            </w:r>
          </w:p>
        </w:tc>
        <w:tc>
          <w:tcPr>
            <w:tcW w:w="1474" w:type="dxa"/>
            <w:vAlign w:val="center"/>
          </w:tcPr>
          <w:p>
            <w:pPr>
              <w:pStyle w:val="15"/>
            </w:pPr>
            <w:r>
              <w:t>260.02</w:t>
            </w:r>
          </w:p>
        </w:tc>
        <w:tc>
          <w:tcPr>
            <w:tcW w:w="1474" w:type="dxa"/>
            <w:vAlign w:val="center"/>
          </w:tcPr>
          <w:p>
            <w:pPr>
              <w:pStyle w:val="15"/>
            </w:pPr>
            <w:r>
              <w:t>260.02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260.02</w:t>
            </w:r>
          </w:p>
        </w:tc>
        <w:tc>
          <w:tcPr>
            <w:tcW w:w="3402" w:type="dxa"/>
            <w:vAlign w:val="center"/>
          </w:tcPr>
          <w:p>
            <w:pPr>
              <w:pStyle w:val="14"/>
            </w:pPr>
            <w:r>
              <w:t>支出总计</w:t>
            </w:r>
          </w:p>
        </w:tc>
        <w:tc>
          <w:tcPr>
            <w:tcW w:w="1474" w:type="dxa"/>
            <w:vAlign w:val="center"/>
          </w:tcPr>
          <w:p>
            <w:pPr>
              <w:pStyle w:val="15"/>
            </w:pPr>
            <w:r>
              <w:t>260.02</w:t>
            </w:r>
          </w:p>
        </w:tc>
        <w:tc>
          <w:tcPr>
            <w:tcW w:w="1474" w:type="dxa"/>
            <w:vAlign w:val="center"/>
          </w:tcPr>
          <w:p>
            <w:pPr>
              <w:pStyle w:val="15"/>
            </w:pPr>
            <w:r>
              <w:t>260.02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260.02</w:t>
            </w:r>
          </w:p>
        </w:tc>
        <w:tc>
          <w:tcPr>
            <w:tcW w:w="2551" w:type="dxa"/>
            <w:vAlign w:val="center"/>
          </w:tcPr>
          <w:p>
            <w:pPr>
              <w:pStyle w:val="15"/>
            </w:pPr>
            <w:r>
              <w:t>230.85</w:t>
            </w:r>
          </w:p>
        </w:tc>
        <w:tc>
          <w:tcPr>
            <w:tcW w:w="2551" w:type="dxa"/>
            <w:vAlign w:val="center"/>
          </w:tcPr>
          <w:p>
            <w:pPr>
              <w:pStyle w:val="15"/>
            </w:pPr>
            <w:r>
              <w:t>29.17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207.06</w:t>
            </w:r>
          </w:p>
        </w:tc>
        <w:tc>
          <w:tcPr>
            <w:tcW w:w="2551" w:type="dxa"/>
            <w:vAlign w:val="center"/>
          </w:tcPr>
          <w:p>
            <w:pPr>
              <w:pStyle w:val="11"/>
            </w:pPr>
            <w:r>
              <w:t>177.89</w:t>
            </w:r>
          </w:p>
        </w:tc>
        <w:tc>
          <w:tcPr>
            <w:tcW w:w="2551" w:type="dxa"/>
            <w:vAlign w:val="center"/>
          </w:tcPr>
          <w:p>
            <w:pPr>
              <w:pStyle w:val="11"/>
            </w:pPr>
            <w:r>
              <w:t>29.17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207.06</w:t>
            </w:r>
          </w:p>
        </w:tc>
        <w:tc>
          <w:tcPr>
            <w:tcW w:w="2551" w:type="dxa"/>
            <w:vAlign w:val="center"/>
          </w:tcPr>
          <w:p>
            <w:pPr>
              <w:pStyle w:val="11"/>
            </w:pPr>
            <w:r>
              <w:t>177.89</w:t>
            </w:r>
          </w:p>
        </w:tc>
        <w:tc>
          <w:tcPr>
            <w:tcW w:w="2551" w:type="dxa"/>
            <w:vAlign w:val="center"/>
          </w:tcPr>
          <w:p>
            <w:pPr>
              <w:pStyle w:val="11"/>
            </w:pPr>
            <w:r>
              <w:t>29.17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2011302</w:t>
            </w:r>
          </w:p>
        </w:tc>
        <w:tc>
          <w:tcPr>
            <w:tcW w:w="4535" w:type="dxa"/>
            <w:vAlign w:val="center"/>
          </w:tcPr>
          <w:p>
            <w:pPr>
              <w:pStyle w:val="12"/>
            </w:pPr>
            <w:r>
              <w:t>一般行政管理事务</w:t>
            </w:r>
          </w:p>
        </w:tc>
        <w:tc>
          <w:tcPr>
            <w:tcW w:w="2551" w:type="dxa"/>
            <w:vAlign w:val="center"/>
          </w:tcPr>
          <w:p>
            <w:pPr>
              <w:pStyle w:val="11"/>
            </w:pPr>
            <w:r>
              <w:t>4.17</w:t>
            </w:r>
          </w:p>
        </w:tc>
        <w:tc>
          <w:tcPr>
            <w:tcW w:w="2551" w:type="dxa"/>
            <w:vAlign w:val="center"/>
          </w:tcPr>
          <w:p>
            <w:pPr>
              <w:pStyle w:val="11"/>
            </w:pPr>
          </w:p>
        </w:tc>
        <w:tc>
          <w:tcPr>
            <w:tcW w:w="2551" w:type="dxa"/>
            <w:vAlign w:val="center"/>
          </w:tcPr>
          <w:p>
            <w:pPr>
              <w:pStyle w:val="11"/>
            </w:pPr>
            <w:r>
              <w:t>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2011350</w:t>
            </w:r>
          </w:p>
        </w:tc>
        <w:tc>
          <w:tcPr>
            <w:tcW w:w="4535" w:type="dxa"/>
            <w:vAlign w:val="center"/>
          </w:tcPr>
          <w:p>
            <w:pPr>
              <w:pStyle w:val="12"/>
            </w:pPr>
            <w:r>
              <w:t>事业运行</w:t>
            </w:r>
          </w:p>
        </w:tc>
        <w:tc>
          <w:tcPr>
            <w:tcW w:w="2551" w:type="dxa"/>
            <w:vAlign w:val="center"/>
          </w:tcPr>
          <w:p>
            <w:pPr>
              <w:pStyle w:val="11"/>
            </w:pPr>
            <w:r>
              <w:t>177.89</w:t>
            </w:r>
          </w:p>
        </w:tc>
        <w:tc>
          <w:tcPr>
            <w:tcW w:w="2551" w:type="dxa"/>
            <w:vAlign w:val="center"/>
          </w:tcPr>
          <w:p>
            <w:pPr>
              <w:pStyle w:val="11"/>
            </w:pPr>
            <w:r>
              <w:t>177.89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21.80</w:t>
            </w:r>
          </w:p>
        </w:tc>
        <w:tc>
          <w:tcPr>
            <w:tcW w:w="2551" w:type="dxa"/>
            <w:vAlign w:val="center"/>
          </w:tcPr>
          <w:p>
            <w:pPr>
              <w:pStyle w:val="11"/>
            </w:pPr>
            <w:r>
              <w:t>21.80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20.65</w:t>
            </w:r>
          </w:p>
        </w:tc>
        <w:tc>
          <w:tcPr>
            <w:tcW w:w="2551" w:type="dxa"/>
            <w:vAlign w:val="center"/>
          </w:tcPr>
          <w:p>
            <w:pPr>
              <w:pStyle w:val="11"/>
            </w:pPr>
            <w:r>
              <w:t>20.65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20.65</w:t>
            </w:r>
          </w:p>
        </w:tc>
        <w:tc>
          <w:tcPr>
            <w:tcW w:w="2551" w:type="dxa"/>
            <w:vAlign w:val="center"/>
          </w:tcPr>
          <w:p>
            <w:pPr>
              <w:pStyle w:val="11"/>
            </w:pPr>
            <w:r>
              <w:t>20.65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1.15</w:t>
            </w:r>
          </w:p>
        </w:tc>
        <w:tc>
          <w:tcPr>
            <w:tcW w:w="2551" w:type="dxa"/>
            <w:vAlign w:val="center"/>
          </w:tcPr>
          <w:p>
            <w:pPr>
              <w:pStyle w:val="11"/>
            </w:pPr>
            <w:r>
              <w:t>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1.15</w:t>
            </w:r>
          </w:p>
        </w:tc>
        <w:tc>
          <w:tcPr>
            <w:tcW w:w="2551" w:type="dxa"/>
            <w:vAlign w:val="center"/>
          </w:tcPr>
          <w:p>
            <w:pPr>
              <w:pStyle w:val="11"/>
            </w:pPr>
            <w:r>
              <w:t>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12.86</w:t>
            </w:r>
          </w:p>
        </w:tc>
        <w:tc>
          <w:tcPr>
            <w:tcW w:w="2551" w:type="dxa"/>
            <w:vAlign w:val="center"/>
          </w:tcPr>
          <w:p>
            <w:pPr>
              <w:pStyle w:val="11"/>
            </w:pPr>
            <w:r>
              <w:t>12.86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12.86</w:t>
            </w:r>
          </w:p>
        </w:tc>
        <w:tc>
          <w:tcPr>
            <w:tcW w:w="2551" w:type="dxa"/>
            <w:vAlign w:val="center"/>
          </w:tcPr>
          <w:p>
            <w:pPr>
              <w:pStyle w:val="11"/>
            </w:pPr>
            <w:r>
              <w:t>12.86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6.62</w:t>
            </w:r>
          </w:p>
        </w:tc>
        <w:tc>
          <w:tcPr>
            <w:tcW w:w="2551" w:type="dxa"/>
            <w:vAlign w:val="center"/>
          </w:tcPr>
          <w:p>
            <w:pPr>
              <w:pStyle w:val="11"/>
            </w:pPr>
            <w:r>
              <w:t>6.62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6.24</w:t>
            </w:r>
          </w:p>
        </w:tc>
        <w:tc>
          <w:tcPr>
            <w:tcW w:w="2551" w:type="dxa"/>
            <w:vAlign w:val="center"/>
          </w:tcPr>
          <w:p>
            <w:pPr>
              <w:pStyle w:val="11"/>
            </w:pPr>
            <w:r>
              <w:t>6.24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18.30</w:t>
            </w:r>
          </w:p>
        </w:tc>
        <w:tc>
          <w:tcPr>
            <w:tcW w:w="2551" w:type="dxa"/>
            <w:vAlign w:val="center"/>
          </w:tcPr>
          <w:p>
            <w:pPr>
              <w:pStyle w:val="11"/>
            </w:pPr>
            <w:r>
              <w:t>18.30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18.30</w:t>
            </w:r>
          </w:p>
        </w:tc>
        <w:tc>
          <w:tcPr>
            <w:tcW w:w="2551" w:type="dxa"/>
            <w:vAlign w:val="center"/>
          </w:tcPr>
          <w:p>
            <w:pPr>
              <w:pStyle w:val="11"/>
            </w:pPr>
            <w:r>
              <w:t>18.30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18.30</w:t>
            </w:r>
          </w:p>
        </w:tc>
        <w:tc>
          <w:tcPr>
            <w:tcW w:w="2551" w:type="dxa"/>
            <w:vAlign w:val="center"/>
          </w:tcPr>
          <w:p>
            <w:pPr>
              <w:pStyle w:val="11"/>
            </w:pPr>
            <w:r>
              <w:t>18.30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230.85</w:t>
            </w:r>
          </w:p>
        </w:tc>
        <w:tc>
          <w:tcPr>
            <w:tcW w:w="2551" w:type="dxa"/>
            <w:vAlign w:val="center"/>
          </w:tcPr>
          <w:p>
            <w:pPr>
              <w:pStyle w:val="15"/>
            </w:pPr>
            <w:r>
              <w:t>216.86</w:t>
            </w:r>
          </w:p>
        </w:tc>
        <w:tc>
          <w:tcPr>
            <w:tcW w:w="2551" w:type="dxa"/>
            <w:vAlign w:val="center"/>
          </w:tcPr>
          <w:p>
            <w:pPr>
              <w:pStyle w:val="15"/>
            </w:pPr>
            <w:r>
              <w:t>13.99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216.85</w:t>
            </w:r>
          </w:p>
        </w:tc>
        <w:tc>
          <w:tcPr>
            <w:tcW w:w="2551" w:type="dxa"/>
            <w:vAlign w:val="center"/>
          </w:tcPr>
          <w:p>
            <w:pPr>
              <w:pStyle w:val="11"/>
            </w:pPr>
            <w:r>
              <w:t>216.85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49.11</w:t>
            </w:r>
          </w:p>
        </w:tc>
        <w:tc>
          <w:tcPr>
            <w:tcW w:w="2551" w:type="dxa"/>
            <w:vAlign w:val="center"/>
          </w:tcPr>
          <w:p>
            <w:pPr>
              <w:pStyle w:val="11"/>
            </w:pPr>
            <w:r>
              <w:t>49.11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13.93</w:t>
            </w:r>
          </w:p>
        </w:tc>
        <w:tc>
          <w:tcPr>
            <w:tcW w:w="2551" w:type="dxa"/>
            <w:vAlign w:val="center"/>
          </w:tcPr>
          <w:p>
            <w:pPr>
              <w:pStyle w:val="11"/>
            </w:pPr>
            <w:r>
              <w:t>13.93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96.81</w:t>
            </w:r>
          </w:p>
        </w:tc>
        <w:tc>
          <w:tcPr>
            <w:tcW w:w="2551" w:type="dxa"/>
            <w:vAlign w:val="center"/>
          </w:tcPr>
          <w:p>
            <w:pPr>
              <w:pStyle w:val="11"/>
            </w:pPr>
            <w:r>
              <w:t>96.81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20.65</w:t>
            </w:r>
          </w:p>
        </w:tc>
        <w:tc>
          <w:tcPr>
            <w:tcW w:w="2551" w:type="dxa"/>
            <w:vAlign w:val="center"/>
          </w:tcPr>
          <w:p>
            <w:pPr>
              <w:pStyle w:val="11"/>
            </w:pPr>
            <w:r>
              <w:t>20.65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6.62</w:t>
            </w:r>
          </w:p>
        </w:tc>
        <w:tc>
          <w:tcPr>
            <w:tcW w:w="2551" w:type="dxa"/>
            <w:vAlign w:val="center"/>
          </w:tcPr>
          <w:p>
            <w:pPr>
              <w:pStyle w:val="11"/>
            </w:pPr>
            <w:r>
              <w:t>6.62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7.39</w:t>
            </w:r>
          </w:p>
        </w:tc>
        <w:tc>
          <w:tcPr>
            <w:tcW w:w="2551" w:type="dxa"/>
            <w:vAlign w:val="center"/>
          </w:tcPr>
          <w:p>
            <w:pPr>
              <w:pStyle w:val="11"/>
            </w:pPr>
            <w:r>
              <w:t>7.39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18.30</w:t>
            </w:r>
          </w:p>
        </w:tc>
        <w:tc>
          <w:tcPr>
            <w:tcW w:w="2551" w:type="dxa"/>
            <w:vAlign w:val="center"/>
          </w:tcPr>
          <w:p>
            <w:pPr>
              <w:pStyle w:val="11"/>
            </w:pPr>
            <w:r>
              <w:t>18.30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4.04</w:t>
            </w:r>
          </w:p>
        </w:tc>
        <w:tc>
          <w:tcPr>
            <w:tcW w:w="2551" w:type="dxa"/>
            <w:vAlign w:val="center"/>
          </w:tcPr>
          <w:p>
            <w:pPr>
              <w:pStyle w:val="11"/>
            </w:pPr>
            <w:r>
              <w:t>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13.99</w:t>
            </w:r>
          </w:p>
        </w:tc>
        <w:tc>
          <w:tcPr>
            <w:tcW w:w="2551" w:type="dxa"/>
            <w:vAlign w:val="center"/>
          </w:tcPr>
          <w:p>
            <w:pPr>
              <w:pStyle w:val="11"/>
            </w:pPr>
          </w:p>
        </w:tc>
        <w:tc>
          <w:tcPr>
            <w:tcW w:w="2551" w:type="dxa"/>
            <w:vAlign w:val="center"/>
          </w:tcPr>
          <w:p>
            <w:pPr>
              <w:pStyle w:val="11"/>
            </w:pPr>
            <w:r>
              <w:t>13.99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1.19</w:t>
            </w:r>
          </w:p>
        </w:tc>
        <w:tc>
          <w:tcPr>
            <w:tcW w:w="2551" w:type="dxa"/>
            <w:vAlign w:val="center"/>
          </w:tcPr>
          <w:p>
            <w:pPr>
              <w:pStyle w:val="11"/>
            </w:pPr>
          </w:p>
        </w:tc>
        <w:tc>
          <w:tcPr>
            <w:tcW w:w="2551" w:type="dxa"/>
            <w:vAlign w:val="center"/>
          </w:tcPr>
          <w:p>
            <w:pPr>
              <w:pStyle w:val="11"/>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0.71</w:t>
            </w:r>
          </w:p>
        </w:tc>
        <w:tc>
          <w:tcPr>
            <w:tcW w:w="2551" w:type="dxa"/>
            <w:vAlign w:val="center"/>
          </w:tcPr>
          <w:p>
            <w:pPr>
              <w:pStyle w:val="11"/>
            </w:pPr>
          </w:p>
        </w:tc>
        <w:tc>
          <w:tcPr>
            <w:tcW w:w="2551" w:type="dxa"/>
            <w:vAlign w:val="center"/>
          </w:tcPr>
          <w:p>
            <w:pPr>
              <w:pStyle w:val="11"/>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1.89</w:t>
            </w:r>
          </w:p>
        </w:tc>
        <w:tc>
          <w:tcPr>
            <w:tcW w:w="2551" w:type="dxa"/>
            <w:vAlign w:val="center"/>
          </w:tcPr>
          <w:p>
            <w:pPr>
              <w:pStyle w:val="11"/>
            </w:pPr>
          </w:p>
        </w:tc>
        <w:tc>
          <w:tcPr>
            <w:tcW w:w="2551" w:type="dxa"/>
            <w:vAlign w:val="center"/>
          </w:tcPr>
          <w:p>
            <w:pPr>
              <w:pStyle w:val="11"/>
            </w:pPr>
            <w:r>
              <w:t>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8.26</w:t>
            </w:r>
          </w:p>
        </w:tc>
        <w:tc>
          <w:tcPr>
            <w:tcW w:w="2551" w:type="dxa"/>
            <w:vAlign w:val="center"/>
          </w:tcPr>
          <w:p>
            <w:pPr>
              <w:pStyle w:val="11"/>
            </w:pPr>
          </w:p>
        </w:tc>
        <w:tc>
          <w:tcPr>
            <w:tcW w:w="2551" w:type="dxa"/>
            <w:vAlign w:val="center"/>
          </w:tcPr>
          <w:p>
            <w:pPr>
              <w:pStyle w:val="11"/>
            </w:pPr>
            <w:r>
              <w:t>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1.94</w:t>
            </w:r>
          </w:p>
        </w:tc>
        <w:tc>
          <w:tcPr>
            <w:tcW w:w="2381" w:type="dxa"/>
            <w:vAlign w:val="center"/>
          </w:tcPr>
          <w:p>
            <w:pPr>
              <w:pStyle w:val="15"/>
            </w:pPr>
            <w:r>
              <w:t>1.94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石家庄市投资促进服务中心（石家庄市外商投资企业投诉服务中心）2026年单位预算信息公开情况说明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投资促进服务中心（石家庄市外商投资企业投诉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hint="default" w:eastAsia="方正仿宋_GBK"/>
          <w:lang w:val="en-US" w:eastAsia="zh-CN"/>
        </w:rPr>
      </w:pPr>
      <w:r>
        <w:rPr>
          <w:rFonts w:hint="eastAsia"/>
          <w:lang w:val="en-US" w:eastAsia="zh-CN"/>
        </w:rPr>
        <w:t>为全市投资促进、招商引资及外资项目引进咨询、专家论证、重大项目签约等工作提供服务保障；负责外商投资企业投诉相关事务性工作。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石家庄市投资促进服务中心（石家庄市外商投资企业投诉服务中心）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Lines="0" w:afterLines="0"/>
        <w:ind w:firstLine="560" w:firstLineChars="20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按照预算管理有关规定，目前我市单位预算的编制实行综合预算管理，即全部收入和支出都反映在预算中。</w:t>
      </w:r>
    </w:p>
    <w:p>
      <w:pPr>
        <w:numPr>
          <w:ilvl w:val="0"/>
          <w:numId w:val="1"/>
        </w:numPr>
        <w:spacing w:beforeLines="0" w:afterLines="0"/>
        <w:ind w:firstLine="560" w:firstLineChars="20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收入说明</w:t>
      </w:r>
    </w:p>
    <w:p>
      <w:pPr>
        <w:numPr>
          <w:ilvl w:val="0"/>
          <w:numId w:val="0"/>
        </w:numPr>
        <w:spacing w:beforeLines="0" w:afterLines="0"/>
        <w:ind w:firstLine="560" w:firstLineChars="20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反映本单位当年全部收入。202</w:t>
      </w:r>
      <w:r>
        <w:rPr>
          <w:rFonts w:hint="eastAsia" w:eastAsia="方正仿宋_GBK" w:cs="Times New Roman"/>
          <w:sz w:val="28"/>
          <w:szCs w:val="22"/>
          <w:lang w:val="en-US" w:eastAsia="zh-CN"/>
        </w:rPr>
        <w:t>6</w:t>
      </w:r>
      <w:r>
        <w:rPr>
          <w:rFonts w:hint="eastAsia" w:ascii="Times New Roman" w:hAnsi="Times New Roman" w:eastAsia="方正仿宋_GBK" w:cs="Times New Roman"/>
          <w:sz w:val="28"/>
          <w:szCs w:val="22"/>
          <w:lang w:val="en-US" w:eastAsia="zh-CN"/>
        </w:rPr>
        <w:t>年预算收入</w:t>
      </w:r>
      <w:r>
        <w:rPr>
          <w:rFonts w:hint="eastAsia" w:eastAsia="方正仿宋_GBK" w:cs="Times New Roman"/>
          <w:sz w:val="28"/>
          <w:szCs w:val="22"/>
          <w:lang w:val="en-US" w:eastAsia="zh-CN"/>
        </w:rPr>
        <w:t>260.02</w:t>
      </w:r>
      <w:r>
        <w:rPr>
          <w:rFonts w:hint="eastAsia" w:ascii="Times New Roman" w:hAnsi="Times New Roman" w:eastAsia="方正仿宋_GBK" w:cs="Times New Roman"/>
          <w:sz w:val="28"/>
          <w:szCs w:val="22"/>
          <w:lang w:val="en-US" w:eastAsia="zh-CN"/>
        </w:rPr>
        <w:t>万元，其中：一般公共预算收入</w:t>
      </w:r>
      <w:r>
        <w:rPr>
          <w:rFonts w:hint="eastAsia" w:eastAsia="方正仿宋_GBK" w:cs="Times New Roman"/>
          <w:sz w:val="28"/>
          <w:szCs w:val="22"/>
          <w:lang w:val="en-US" w:eastAsia="zh-CN"/>
        </w:rPr>
        <w:t>260.02</w:t>
      </w:r>
      <w:r>
        <w:rPr>
          <w:rFonts w:hint="eastAsia" w:ascii="Times New Roman" w:hAnsi="Times New Roman" w:eastAsia="方正仿宋_GBK" w:cs="Times New Roman"/>
          <w:sz w:val="28"/>
          <w:szCs w:val="22"/>
          <w:lang w:val="en-US" w:eastAsia="zh-CN"/>
        </w:rPr>
        <w:t>万元，基金预算收入0</w:t>
      </w:r>
    </w:p>
    <w:p>
      <w:pPr>
        <w:spacing w:beforeLines="0" w:afterLines="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万元，国有资本经营预算收入0 万元，财政专户核拨收入0 万元，其他来源收入0 万元。</w:t>
      </w:r>
    </w:p>
    <w:p>
      <w:pPr>
        <w:numPr>
          <w:ilvl w:val="0"/>
          <w:numId w:val="1"/>
        </w:numPr>
        <w:spacing w:beforeLines="0" w:afterLines="0"/>
        <w:ind w:left="0" w:leftChars="0" w:firstLine="560" w:firstLineChars="20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支出说明</w:t>
      </w:r>
    </w:p>
    <w:p>
      <w:pPr>
        <w:numPr>
          <w:ilvl w:val="0"/>
          <w:numId w:val="0"/>
        </w:numPr>
        <w:spacing w:beforeLines="0" w:afterLines="0"/>
        <w:ind w:leftChars="20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收支预算总表支出栏、基本支出表、项目支出表按经济分类和支出功能分类科目编制，反映石家庄市投资促进服务</w:t>
      </w:r>
    </w:p>
    <w:p>
      <w:pPr>
        <w:numPr>
          <w:ilvl w:val="0"/>
          <w:numId w:val="0"/>
        </w:numPr>
        <w:spacing w:beforeLines="0" w:afterLines="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中心（石家庄市外商投资企业投诉服务中心）单位预算中支出预算的总体情况。202</w:t>
      </w:r>
      <w:r>
        <w:rPr>
          <w:rFonts w:hint="eastAsia" w:eastAsia="方正仿宋_GBK" w:cs="Times New Roman"/>
          <w:sz w:val="28"/>
          <w:szCs w:val="22"/>
          <w:lang w:val="en-US" w:eastAsia="zh-CN"/>
        </w:rPr>
        <w:t>6</w:t>
      </w:r>
      <w:r>
        <w:rPr>
          <w:rFonts w:hint="eastAsia" w:ascii="Times New Roman" w:hAnsi="Times New Roman" w:eastAsia="方正仿宋_GBK" w:cs="Times New Roman"/>
          <w:sz w:val="28"/>
          <w:szCs w:val="22"/>
          <w:lang w:val="en-US" w:eastAsia="zh-CN"/>
        </w:rPr>
        <w:t xml:space="preserve"> 年部门支出预算为</w:t>
      </w:r>
      <w:r>
        <w:rPr>
          <w:rFonts w:hint="eastAsia" w:eastAsia="方正仿宋_GBK" w:cs="Times New Roman"/>
          <w:sz w:val="28"/>
          <w:szCs w:val="22"/>
          <w:lang w:val="en-US" w:eastAsia="zh-CN"/>
        </w:rPr>
        <w:t>260.02</w:t>
      </w:r>
      <w:r>
        <w:rPr>
          <w:rFonts w:hint="eastAsia" w:ascii="Times New Roman" w:hAnsi="Times New Roman" w:eastAsia="方正仿宋_GBK" w:cs="Times New Roman"/>
          <w:sz w:val="28"/>
          <w:szCs w:val="22"/>
          <w:lang w:val="en-US" w:eastAsia="zh-CN"/>
        </w:rPr>
        <w:t>万元，</w:t>
      </w:r>
    </w:p>
    <w:p>
      <w:pPr>
        <w:numPr>
          <w:ilvl w:val="0"/>
          <w:numId w:val="0"/>
        </w:numPr>
        <w:spacing w:beforeLines="0" w:afterLines="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其中基本支出</w:t>
      </w:r>
      <w:r>
        <w:rPr>
          <w:rFonts w:hint="eastAsia" w:eastAsia="方正仿宋_GBK" w:cs="Times New Roman"/>
          <w:sz w:val="28"/>
          <w:szCs w:val="22"/>
          <w:lang w:val="en-US" w:eastAsia="zh-CN"/>
        </w:rPr>
        <w:t>230.85</w:t>
      </w:r>
      <w:r>
        <w:rPr>
          <w:rFonts w:hint="eastAsia" w:ascii="Times New Roman" w:hAnsi="Times New Roman" w:eastAsia="方正仿宋_GBK" w:cs="Times New Roman"/>
          <w:sz w:val="28"/>
          <w:szCs w:val="22"/>
          <w:lang w:val="en-US" w:eastAsia="zh-CN"/>
        </w:rPr>
        <w:t>万元，包括人员经费</w:t>
      </w:r>
      <w:r>
        <w:rPr>
          <w:rFonts w:hint="eastAsia" w:eastAsia="方正仿宋_GBK" w:cs="Times New Roman"/>
          <w:sz w:val="28"/>
          <w:szCs w:val="22"/>
          <w:lang w:val="en-US" w:eastAsia="zh-CN"/>
        </w:rPr>
        <w:t>216.86</w:t>
      </w:r>
      <w:r>
        <w:rPr>
          <w:rFonts w:hint="eastAsia" w:ascii="Times New Roman" w:hAnsi="Times New Roman" w:eastAsia="方正仿宋_GBK" w:cs="Times New Roman"/>
          <w:sz w:val="28"/>
          <w:szCs w:val="22"/>
          <w:lang w:val="en-US" w:eastAsia="zh-CN"/>
        </w:rPr>
        <w:t>万元和日常公用经费</w:t>
      </w:r>
      <w:r>
        <w:rPr>
          <w:rFonts w:hint="eastAsia" w:eastAsia="方正仿宋_GBK" w:cs="Times New Roman"/>
          <w:sz w:val="28"/>
          <w:szCs w:val="22"/>
          <w:lang w:val="en-US" w:eastAsia="zh-CN"/>
        </w:rPr>
        <w:t>13.99</w:t>
      </w:r>
      <w:r>
        <w:rPr>
          <w:rFonts w:hint="eastAsia" w:ascii="Times New Roman" w:hAnsi="Times New Roman" w:eastAsia="方正仿宋_GBK" w:cs="Times New Roman"/>
          <w:sz w:val="28"/>
          <w:szCs w:val="22"/>
          <w:lang w:val="en-US" w:eastAsia="zh-CN"/>
        </w:rPr>
        <w:t>万元。项目支出</w:t>
      </w:r>
      <w:r>
        <w:rPr>
          <w:rFonts w:hint="eastAsia" w:eastAsia="方正仿宋_GBK" w:cs="Times New Roman"/>
          <w:sz w:val="28"/>
          <w:szCs w:val="22"/>
          <w:lang w:val="en-US" w:eastAsia="zh-CN"/>
        </w:rPr>
        <w:t>29.17</w:t>
      </w:r>
      <w:r>
        <w:rPr>
          <w:rFonts w:hint="eastAsia" w:ascii="Times New Roman" w:hAnsi="Times New Roman" w:eastAsia="方正仿宋_GBK" w:cs="Times New Roman"/>
          <w:sz w:val="28"/>
          <w:szCs w:val="22"/>
          <w:lang w:val="en-US" w:eastAsia="zh-CN"/>
        </w:rPr>
        <w:t>万元，主要为：招</w:t>
      </w:r>
    </w:p>
    <w:p>
      <w:pPr>
        <w:numPr>
          <w:ilvl w:val="0"/>
          <w:numId w:val="0"/>
        </w:numPr>
        <w:spacing w:beforeLines="0" w:afterLines="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商</w:t>
      </w:r>
      <w:r>
        <w:rPr>
          <w:rFonts w:hint="eastAsia" w:eastAsia="方正仿宋_GBK" w:cs="Times New Roman"/>
          <w:sz w:val="28"/>
          <w:szCs w:val="22"/>
          <w:lang w:val="en-US" w:eastAsia="zh-CN"/>
        </w:rPr>
        <w:t>活动</w:t>
      </w:r>
      <w:r>
        <w:rPr>
          <w:rFonts w:hint="eastAsia" w:ascii="Times New Roman" w:hAnsi="Times New Roman" w:eastAsia="方正仿宋_GBK" w:cs="Times New Roman"/>
          <w:sz w:val="28"/>
          <w:szCs w:val="22"/>
          <w:lang w:val="en-US" w:eastAsia="zh-CN"/>
        </w:rPr>
        <w:t>经费</w:t>
      </w:r>
      <w:r>
        <w:rPr>
          <w:rFonts w:hint="eastAsia" w:eastAsia="方正仿宋_GBK" w:cs="Times New Roman"/>
          <w:sz w:val="28"/>
          <w:szCs w:val="22"/>
          <w:lang w:val="en-US" w:eastAsia="zh-CN"/>
        </w:rPr>
        <w:t>25.00</w:t>
      </w:r>
      <w:r>
        <w:rPr>
          <w:rFonts w:hint="eastAsia" w:ascii="Times New Roman" w:hAnsi="Times New Roman" w:eastAsia="方正仿宋_GBK" w:cs="Times New Roman"/>
          <w:sz w:val="28"/>
          <w:szCs w:val="22"/>
          <w:lang w:val="en-US" w:eastAsia="zh-CN"/>
        </w:rPr>
        <w:t>万元；党组织活动经费0.</w:t>
      </w:r>
      <w:r>
        <w:rPr>
          <w:rFonts w:hint="eastAsia" w:eastAsia="方正仿宋_GBK" w:cs="Times New Roman"/>
          <w:sz w:val="28"/>
          <w:szCs w:val="22"/>
          <w:lang w:val="en-US" w:eastAsia="zh-CN"/>
        </w:rPr>
        <w:t>29</w:t>
      </w:r>
      <w:r>
        <w:rPr>
          <w:rFonts w:hint="eastAsia" w:ascii="Times New Roman" w:hAnsi="Times New Roman" w:eastAsia="方正仿宋_GBK" w:cs="Times New Roman"/>
          <w:sz w:val="28"/>
          <w:szCs w:val="22"/>
          <w:lang w:val="en-US" w:eastAsia="zh-CN"/>
        </w:rPr>
        <w:t xml:space="preserve"> 万元；业务培训费1.</w:t>
      </w:r>
      <w:r>
        <w:rPr>
          <w:rFonts w:hint="eastAsia" w:eastAsia="方正仿宋_GBK" w:cs="Times New Roman"/>
          <w:sz w:val="28"/>
          <w:szCs w:val="22"/>
          <w:lang w:val="en-US" w:eastAsia="zh-CN"/>
        </w:rPr>
        <w:t>08</w:t>
      </w:r>
      <w:r>
        <w:rPr>
          <w:rFonts w:hint="eastAsia" w:ascii="Times New Roman" w:hAnsi="Times New Roman" w:eastAsia="方正仿宋_GBK" w:cs="Times New Roman"/>
          <w:sz w:val="28"/>
          <w:szCs w:val="22"/>
          <w:lang w:val="en-US" w:eastAsia="zh-CN"/>
        </w:rPr>
        <w:t>万元；办公设备购置</w:t>
      </w:r>
      <w:r>
        <w:rPr>
          <w:rFonts w:hint="eastAsia" w:eastAsia="方正仿宋_GBK" w:cs="Times New Roman"/>
          <w:sz w:val="28"/>
          <w:szCs w:val="22"/>
          <w:lang w:val="en-US" w:eastAsia="zh-CN"/>
        </w:rPr>
        <w:t>1.00</w:t>
      </w:r>
      <w:r>
        <w:rPr>
          <w:rFonts w:hint="eastAsia" w:ascii="Times New Roman" w:hAnsi="Times New Roman" w:eastAsia="方正仿宋_GBK" w:cs="Times New Roman"/>
          <w:sz w:val="28"/>
          <w:szCs w:val="22"/>
          <w:lang w:val="en-US" w:eastAsia="zh-CN"/>
        </w:rPr>
        <w:t>万元；</w:t>
      </w:r>
      <w:r>
        <w:rPr>
          <w:rFonts w:hint="eastAsia" w:eastAsia="方正仿宋_GBK" w:cs="Times New Roman"/>
          <w:sz w:val="28"/>
          <w:szCs w:val="22"/>
          <w:lang w:val="en-US" w:eastAsia="zh-CN"/>
        </w:rPr>
        <w:t>业务</w:t>
      </w:r>
      <w:r>
        <w:rPr>
          <w:rFonts w:hint="eastAsia" w:ascii="Times New Roman" w:hAnsi="Times New Roman" w:eastAsia="方正仿宋_GBK" w:cs="Times New Roman"/>
          <w:sz w:val="28"/>
          <w:szCs w:val="22"/>
          <w:lang w:val="en-US" w:eastAsia="zh-CN"/>
        </w:rPr>
        <w:t>咨询费</w:t>
      </w:r>
      <w:r>
        <w:rPr>
          <w:rFonts w:hint="eastAsia" w:eastAsia="方正仿宋_GBK" w:cs="Times New Roman"/>
          <w:sz w:val="28"/>
          <w:szCs w:val="22"/>
          <w:lang w:val="en-US" w:eastAsia="zh-CN"/>
        </w:rPr>
        <w:t>1.80</w:t>
      </w:r>
      <w:r>
        <w:rPr>
          <w:rFonts w:hint="eastAsia" w:ascii="Times New Roman" w:hAnsi="Times New Roman" w:eastAsia="方正仿宋_GBK" w:cs="Times New Roman"/>
          <w:sz w:val="28"/>
          <w:szCs w:val="22"/>
          <w:lang w:val="en-US" w:eastAsia="zh-CN"/>
        </w:rPr>
        <w:t>万元；其他支出0 万元。</w:t>
      </w:r>
    </w:p>
    <w:p>
      <w:pPr>
        <w:numPr>
          <w:ilvl w:val="0"/>
          <w:numId w:val="0"/>
        </w:numPr>
        <w:spacing w:beforeLines="0" w:afterLines="0"/>
        <w:ind w:firstLine="560" w:firstLineChars="20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3、比上年增减情况</w:t>
      </w:r>
    </w:p>
    <w:p>
      <w:pPr>
        <w:numPr>
          <w:ilvl w:val="0"/>
          <w:numId w:val="0"/>
        </w:numPr>
        <w:spacing w:beforeLines="0" w:afterLines="0"/>
        <w:ind w:firstLine="560" w:firstLineChars="200"/>
        <w:jc w:val="left"/>
        <w:rPr>
          <w:rFonts w:hint="eastAsia" w:eastAsia="方正仿宋_GBK" w:cs="Times New Roman"/>
          <w:sz w:val="28"/>
          <w:szCs w:val="22"/>
          <w:lang w:val="en-US" w:eastAsia="zh-CN"/>
        </w:rPr>
      </w:pPr>
      <w:r>
        <w:rPr>
          <w:rFonts w:hint="eastAsia" w:eastAsia="方正仿宋_GBK" w:cs="Times New Roman"/>
          <w:sz w:val="28"/>
          <w:szCs w:val="22"/>
          <w:lang w:val="en-US" w:eastAsia="zh-CN"/>
        </w:rPr>
        <w:t>2026年单位预算收支安排260.02 万元，较2025年减少7.72 万元，其中：基本支出增加29.01万元，包括人员经费</w:t>
      </w:r>
    </w:p>
    <w:p>
      <w:pPr>
        <w:numPr>
          <w:ilvl w:val="0"/>
          <w:numId w:val="0"/>
        </w:numPr>
        <w:spacing w:beforeLines="0" w:afterLines="0"/>
        <w:jc w:val="left"/>
        <w:rPr>
          <w:rFonts w:hint="eastAsia" w:eastAsia="方正仿宋_GBK" w:cs="Times New Roman"/>
          <w:sz w:val="28"/>
          <w:szCs w:val="22"/>
          <w:lang w:val="en-US" w:eastAsia="zh-CN"/>
        </w:rPr>
      </w:pPr>
      <w:r>
        <w:rPr>
          <w:rFonts w:hint="eastAsia" w:eastAsia="方正仿宋_GBK" w:cs="Times New Roman"/>
          <w:sz w:val="28"/>
          <w:szCs w:val="22"/>
          <w:lang w:val="en-US" w:eastAsia="zh-CN"/>
        </w:rPr>
        <w:t>增加27.91 万元和日常公用增加1.10万元，主要是在职人员增加导致人员经费和日常公用经费变化；项目支出减少36.73 万元，主要是招商活动经费调减、响应过紧日子要求厉行节约等。</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numPr>
          <w:ilvl w:val="0"/>
          <w:numId w:val="0"/>
        </w:numPr>
        <w:spacing w:beforeLines="0" w:afterLines="0"/>
        <w:ind w:firstLine="560" w:firstLineChars="200"/>
        <w:jc w:val="left"/>
        <w:rPr>
          <w:rFonts w:hint="eastAsia" w:eastAsia="方正仿宋_GBK" w:cs="Times New Roman"/>
          <w:sz w:val="28"/>
          <w:szCs w:val="22"/>
          <w:lang w:val="en-US" w:eastAsia="zh-CN"/>
        </w:rPr>
      </w:pPr>
      <w:r>
        <w:rPr>
          <w:rFonts w:hint="eastAsia" w:eastAsia="方正仿宋_GBK" w:cs="Times New Roman"/>
          <w:sz w:val="28"/>
          <w:szCs w:val="22"/>
          <w:lang w:val="en-US" w:eastAsia="zh-CN"/>
        </w:rPr>
        <w:t>2026年，我单位机关运行经费共计安排13.99万元，主要用于保证机关正常运转的办公费、邮电费、差旅费、公务</w:t>
      </w:r>
    </w:p>
    <w:p>
      <w:pPr>
        <w:numPr>
          <w:ilvl w:val="0"/>
          <w:numId w:val="0"/>
        </w:numPr>
        <w:spacing w:beforeLines="0" w:afterLines="0"/>
        <w:jc w:val="left"/>
        <w:rPr>
          <w:rFonts w:hint="eastAsia" w:eastAsia="方正仿宋_GBK" w:cs="Times New Roman"/>
          <w:sz w:val="28"/>
          <w:szCs w:val="22"/>
          <w:lang w:val="en-US" w:eastAsia="zh-CN"/>
        </w:rPr>
      </w:pPr>
      <w:r>
        <w:rPr>
          <w:rFonts w:hint="eastAsia" w:eastAsia="方正仿宋_GBK" w:cs="Times New Roman"/>
          <w:sz w:val="28"/>
          <w:szCs w:val="22"/>
          <w:lang w:val="en-US" w:eastAsia="zh-CN"/>
        </w:rPr>
        <w:t>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val="en-US" w:eastAsia="zh-CN"/>
        </w:rPr>
      </w:pPr>
      <w:r>
        <w:rPr>
          <w:rFonts w:hint="eastAsia"/>
        </w:rPr>
        <w:t>202</w:t>
      </w:r>
      <w:r>
        <w:rPr>
          <w:rFonts w:hint="eastAsia"/>
          <w:lang w:val="en-US" w:eastAsia="zh-CN"/>
        </w:rPr>
        <w:t>6</w:t>
      </w:r>
      <w:r>
        <w:rPr>
          <w:rFonts w:hint="eastAsia"/>
        </w:rPr>
        <w:t>年度，我单位财政拨款“三公”经费预算安排</w:t>
      </w:r>
      <w:r>
        <w:rPr>
          <w:rFonts w:hint="eastAsia"/>
          <w:lang w:val="en-US" w:eastAsia="zh-CN"/>
        </w:rPr>
        <w:t>1.94</w:t>
      </w:r>
      <w:r>
        <w:rPr>
          <w:rFonts w:hint="eastAsia"/>
        </w:rPr>
        <w:t>万元，其中：因公出国（境）费0万元；公务用车购置及运维费</w:t>
      </w:r>
      <w:r>
        <w:rPr>
          <w:rFonts w:hint="eastAsia"/>
          <w:lang w:val="en-US" w:eastAsia="zh-CN"/>
        </w:rPr>
        <w:t>1.94</w:t>
      </w:r>
      <w:r>
        <w:rPr>
          <w:rFonts w:hint="eastAsia"/>
        </w:rPr>
        <w:t>万元（其中：公务用车购置费0万元，公务用车运行维护费</w:t>
      </w:r>
      <w:r>
        <w:rPr>
          <w:rFonts w:hint="eastAsia"/>
          <w:lang w:val="en-US" w:eastAsia="zh-CN"/>
        </w:rPr>
        <w:t>1.94</w:t>
      </w:r>
      <w:r>
        <w:rPr>
          <w:rFonts w:hint="eastAsia"/>
        </w:rPr>
        <w:t>万元)；公务接待费0万元。202</w:t>
      </w:r>
      <w:r>
        <w:rPr>
          <w:rFonts w:hint="eastAsia"/>
          <w:lang w:val="en-US" w:eastAsia="zh-CN"/>
        </w:rPr>
        <w:t>5</w:t>
      </w:r>
      <w:r>
        <w:rPr>
          <w:rFonts w:hint="eastAsia"/>
        </w:rPr>
        <w:t>年度，我单位财政拨款“三公”经费预算安排</w:t>
      </w:r>
      <w:r>
        <w:rPr>
          <w:rFonts w:hint="eastAsia"/>
          <w:lang w:val="en-US" w:eastAsia="zh-CN"/>
        </w:rPr>
        <w:t>2.00</w:t>
      </w:r>
      <w:r>
        <w:rPr>
          <w:rFonts w:hint="eastAsia"/>
        </w:rPr>
        <w:t>万元，202</w:t>
      </w:r>
      <w:r>
        <w:rPr>
          <w:rFonts w:hint="eastAsia"/>
          <w:lang w:val="en-US" w:eastAsia="zh-CN"/>
        </w:rPr>
        <w:t>6</w:t>
      </w:r>
      <w:r>
        <w:rPr>
          <w:rFonts w:hint="eastAsia"/>
        </w:rPr>
        <w:t>年度“三公”经费较202</w:t>
      </w:r>
      <w:r>
        <w:rPr>
          <w:rFonts w:hint="eastAsia"/>
          <w:lang w:val="en-US" w:eastAsia="zh-CN"/>
        </w:rPr>
        <w:t>5</w:t>
      </w:r>
      <w:r>
        <w:rPr>
          <w:rFonts w:hint="eastAsia"/>
        </w:rPr>
        <w:t>年度减少0.</w:t>
      </w:r>
      <w:r>
        <w:rPr>
          <w:rFonts w:hint="eastAsia"/>
          <w:lang w:val="en-US" w:eastAsia="zh-CN"/>
        </w:rPr>
        <w:t>0</w:t>
      </w:r>
      <w:r>
        <w:rPr>
          <w:rFonts w:hint="eastAsia"/>
        </w:rPr>
        <w:t>6万元，增减变化的主要原因是厉行节约，减少经费开支</w:t>
      </w:r>
      <w:r>
        <w:rPr>
          <w:rFonts w:hint="eastAsia"/>
          <w:lang w:eastAsia="zh-CN"/>
        </w:rP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pStyle w:val="20"/>
        <w:rPr>
          <w:rFonts w:hint="eastAsia" w:eastAsia="方正仿宋_GBK"/>
          <w:lang w:val="en-US" w:eastAsia="zh-CN"/>
        </w:rPr>
        <w:sectPr>
          <w:pgSz w:w="16840" w:h="11900" w:orient="landscape"/>
          <w:pgMar w:top="1361" w:right="1020" w:bottom="1361" w:left="1020" w:header="720" w:footer="720" w:gutter="0"/>
          <w:cols w:space="720" w:num="1"/>
        </w:sectPr>
      </w:pPr>
      <w:r>
        <w:rPr>
          <w:rFonts w:hint="eastAsia"/>
        </w:rPr>
        <w:t>2026年石家庄市投资促进局无专项资金预算</w:t>
      </w:r>
      <w:r>
        <w:rPr>
          <w:rFonts w:hint="eastAsia"/>
          <w:lang w:eastAsia="zh-CN"/>
        </w:rPr>
        <w:t>。</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13010026P00971210643N</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新增在编人员，工作内容为长期驻外招商，申请购置笔记本电脑；支付上年度笔记本电脑尾款。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1.保障单位各项工作正常平稳运转</w:t>
            </w:r>
          </w:p>
          <w:p>
            <w:pPr>
              <w:pStyle w:val="12"/>
            </w:pPr>
            <w:r>
              <w:t>2.确保驻外招商工作顺利开展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按要求数量购置</w:t>
            </w:r>
          </w:p>
        </w:tc>
        <w:tc>
          <w:tcPr>
            <w:tcW w:w="5386" w:type="dxa"/>
            <w:vAlign w:val="center"/>
          </w:tcPr>
          <w:p>
            <w:pPr>
              <w:pStyle w:val="12"/>
            </w:pPr>
            <w:r>
              <w:t>购置笔记本电脑；支付上年度笔记本电脑尾款</w:t>
            </w:r>
          </w:p>
        </w:tc>
        <w:tc>
          <w:tcPr>
            <w:tcW w:w="2268" w:type="dxa"/>
            <w:vAlign w:val="center"/>
          </w:tcPr>
          <w:p>
            <w:pPr>
              <w:pStyle w:val="12"/>
            </w:pPr>
            <w:r>
              <w:t>按预算安排购置</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购置验收通过率</w:t>
            </w:r>
          </w:p>
        </w:tc>
        <w:tc>
          <w:tcPr>
            <w:tcW w:w="5386" w:type="dxa"/>
            <w:vAlign w:val="center"/>
          </w:tcPr>
          <w:p>
            <w:pPr>
              <w:pStyle w:val="12"/>
            </w:pPr>
            <w:r>
              <w:t>购置验收通过率</w:t>
            </w:r>
          </w:p>
        </w:tc>
        <w:tc>
          <w:tcPr>
            <w:tcW w:w="2268" w:type="dxa"/>
            <w:vAlign w:val="center"/>
          </w:tcPr>
          <w:p>
            <w:pPr>
              <w:pStyle w:val="12"/>
            </w:pPr>
            <w:r>
              <w:t>≥95%</w:t>
            </w:r>
          </w:p>
        </w:tc>
        <w:tc>
          <w:tcPr>
            <w:tcW w:w="1276" w:type="dxa"/>
            <w:vAlign w:val="center"/>
          </w:tcPr>
          <w:p>
            <w:pPr>
              <w:pStyle w:val="12"/>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约定事项完成时限</w:t>
            </w:r>
          </w:p>
        </w:tc>
        <w:tc>
          <w:tcPr>
            <w:tcW w:w="5386" w:type="dxa"/>
            <w:vAlign w:val="center"/>
          </w:tcPr>
          <w:p>
            <w:pPr>
              <w:pStyle w:val="12"/>
            </w:pPr>
            <w:r>
              <w:t>在规定时限内完成约定事项</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设备购置支出上限</w:t>
            </w:r>
          </w:p>
        </w:tc>
        <w:tc>
          <w:tcPr>
            <w:tcW w:w="2268" w:type="dxa"/>
            <w:vAlign w:val="center"/>
          </w:tcPr>
          <w:p>
            <w:pPr>
              <w:pStyle w:val="12"/>
            </w:pPr>
            <w:r>
              <w:t>≤1万元</w:t>
            </w:r>
          </w:p>
        </w:tc>
        <w:tc>
          <w:tcPr>
            <w:tcW w:w="1276"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保障工作正常开展</w:t>
            </w:r>
          </w:p>
        </w:tc>
        <w:tc>
          <w:tcPr>
            <w:tcW w:w="5386" w:type="dxa"/>
            <w:vAlign w:val="center"/>
          </w:tcPr>
          <w:p>
            <w:pPr>
              <w:pStyle w:val="12"/>
            </w:pPr>
            <w:r>
              <w:t>保障工作正常开展</w:t>
            </w:r>
          </w:p>
        </w:tc>
        <w:tc>
          <w:tcPr>
            <w:tcW w:w="2268" w:type="dxa"/>
            <w:vAlign w:val="center"/>
          </w:tcPr>
          <w:p>
            <w:pPr>
              <w:pStyle w:val="12"/>
            </w:pPr>
            <w:r>
              <w:t>良好</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任务完成率</w:t>
            </w:r>
          </w:p>
        </w:tc>
        <w:tc>
          <w:tcPr>
            <w:tcW w:w="5386" w:type="dxa"/>
            <w:vAlign w:val="center"/>
          </w:tcPr>
          <w:p>
            <w:pPr>
              <w:pStyle w:val="12"/>
            </w:pPr>
            <w:r>
              <w:t>任务计划完成率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使用人员满意度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13010026P009711106335</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0.29</w:t>
            </w:r>
          </w:p>
        </w:tc>
        <w:tc>
          <w:tcPr>
            <w:tcW w:w="2835" w:type="dxa"/>
            <w:vAlign w:val="center"/>
          </w:tcPr>
          <w:p>
            <w:pPr>
              <w:pStyle w:val="10"/>
            </w:pPr>
            <w:r>
              <w:t>其中：财政    资金</w:t>
            </w:r>
          </w:p>
        </w:tc>
        <w:tc>
          <w:tcPr>
            <w:tcW w:w="2551" w:type="dxa"/>
            <w:vAlign w:val="center"/>
          </w:tcPr>
          <w:p>
            <w:pPr>
              <w:pStyle w:val="12"/>
            </w:pPr>
            <w:r>
              <w:t>0.29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用于投促中心党支部学习资料、书刊购置，开展党建活动等。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40%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1.按要求印制或购买党员学习资料</w:t>
            </w:r>
          </w:p>
          <w:p>
            <w:pPr>
              <w:pStyle w:val="12"/>
            </w:pPr>
            <w:r>
              <w:t>2.根据党总支安排开展党建活动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购买党员学习用书</w:t>
            </w:r>
          </w:p>
        </w:tc>
        <w:tc>
          <w:tcPr>
            <w:tcW w:w="5386" w:type="dxa"/>
            <w:vAlign w:val="center"/>
          </w:tcPr>
          <w:p>
            <w:pPr>
              <w:pStyle w:val="12"/>
            </w:pPr>
            <w:r>
              <w:t>购买党员学习用书</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约定事项完成情况</w:t>
            </w:r>
          </w:p>
        </w:tc>
        <w:tc>
          <w:tcPr>
            <w:tcW w:w="5386" w:type="dxa"/>
            <w:vAlign w:val="center"/>
          </w:tcPr>
          <w:p>
            <w:pPr>
              <w:pStyle w:val="12"/>
            </w:pPr>
            <w:r>
              <w:t>事项完成率</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约定事项完成时限</w:t>
            </w:r>
          </w:p>
        </w:tc>
        <w:tc>
          <w:tcPr>
            <w:tcW w:w="5386" w:type="dxa"/>
            <w:vAlign w:val="center"/>
          </w:tcPr>
          <w:p>
            <w:pPr>
              <w:pStyle w:val="12"/>
            </w:pPr>
            <w:r>
              <w:t>在规定时限内完成约定事项</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核定支出上限</w:t>
            </w:r>
          </w:p>
        </w:tc>
        <w:tc>
          <w:tcPr>
            <w:tcW w:w="2268" w:type="dxa"/>
            <w:vAlign w:val="center"/>
          </w:tcPr>
          <w:p>
            <w:pPr>
              <w:pStyle w:val="12"/>
            </w:pPr>
            <w:r>
              <w:t>≤0.29万元</w:t>
            </w:r>
          </w:p>
        </w:tc>
        <w:tc>
          <w:tcPr>
            <w:tcW w:w="1276"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党员学习教育效果</w:t>
            </w:r>
          </w:p>
        </w:tc>
        <w:tc>
          <w:tcPr>
            <w:tcW w:w="5386" w:type="dxa"/>
            <w:vAlign w:val="center"/>
          </w:tcPr>
          <w:p>
            <w:pPr>
              <w:pStyle w:val="12"/>
            </w:pPr>
            <w:r>
              <w:t>党员学习教育效果</w:t>
            </w:r>
          </w:p>
        </w:tc>
        <w:tc>
          <w:tcPr>
            <w:tcW w:w="2268" w:type="dxa"/>
            <w:vAlign w:val="center"/>
          </w:tcPr>
          <w:p>
            <w:pPr>
              <w:pStyle w:val="12"/>
            </w:pPr>
            <w:r>
              <w:t>良好</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党组织凝聚力</w:t>
            </w:r>
          </w:p>
        </w:tc>
        <w:tc>
          <w:tcPr>
            <w:tcW w:w="5386" w:type="dxa"/>
            <w:vAlign w:val="center"/>
          </w:tcPr>
          <w:p>
            <w:pPr>
              <w:pStyle w:val="12"/>
            </w:pPr>
            <w:r>
              <w:t>加强党员教育管理、提升组织的凝聚力</w:t>
            </w:r>
          </w:p>
        </w:tc>
        <w:tc>
          <w:tcPr>
            <w:tcW w:w="2268" w:type="dxa"/>
            <w:vAlign w:val="center"/>
          </w:tcPr>
          <w:p>
            <w:pPr>
              <w:pStyle w:val="12"/>
            </w:pPr>
            <w:r>
              <w:t>持续增强</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党员干部、服务对象满意度</w:t>
            </w:r>
          </w:p>
        </w:tc>
        <w:tc>
          <w:tcPr>
            <w:tcW w:w="5386" w:type="dxa"/>
            <w:vAlign w:val="center"/>
          </w:tcPr>
          <w:p>
            <w:pPr>
              <w:pStyle w:val="12"/>
            </w:pPr>
            <w:r>
              <w:t>党员干部、服务对象满意度</w:t>
            </w:r>
          </w:p>
        </w:tc>
        <w:tc>
          <w:tcPr>
            <w:tcW w:w="2268" w:type="dxa"/>
            <w:vAlign w:val="center"/>
          </w:tcPr>
          <w:p>
            <w:pPr>
              <w:pStyle w:val="12"/>
            </w:pPr>
            <w:r>
              <w:t>良好</w:t>
            </w:r>
          </w:p>
        </w:tc>
        <w:tc>
          <w:tcPr>
            <w:tcW w:w="1276"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3、业务培训费绩效目标表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13010026P00007510248J</w:t>
            </w:r>
          </w:p>
        </w:tc>
        <w:tc>
          <w:tcPr>
            <w:tcW w:w="2835" w:type="dxa"/>
            <w:vAlign w:val="center"/>
          </w:tcPr>
          <w:p>
            <w:pPr>
              <w:pStyle w:val="10"/>
            </w:pPr>
            <w:r>
              <w:t>项目名称</w:t>
            </w:r>
          </w:p>
        </w:tc>
        <w:tc>
          <w:tcPr>
            <w:tcW w:w="6095" w:type="dxa"/>
            <w:gridSpan w:val="3"/>
            <w:vAlign w:val="center"/>
          </w:tcPr>
          <w:p>
            <w:pPr>
              <w:pStyle w:val="12"/>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w:t>
            </w:r>
          </w:p>
        </w:tc>
        <w:tc>
          <w:tcPr>
            <w:tcW w:w="2835" w:type="dxa"/>
            <w:vAlign w:val="center"/>
          </w:tcPr>
          <w:p>
            <w:pPr>
              <w:pStyle w:val="10"/>
            </w:pPr>
            <w:r>
              <w:t>其中：财政    资金</w:t>
            </w:r>
          </w:p>
        </w:tc>
        <w:tc>
          <w:tcPr>
            <w:tcW w:w="2551" w:type="dxa"/>
            <w:vAlign w:val="center"/>
          </w:tcPr>
          <w:p>
            <w:pPr>
              <w:pStyle w:val="12"/>
            </w:pPr>
            <w:r>
              <w:t>1.08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邀请行业专家、高校经济学教授等，面向各县（市、区）投促中心（局）、外资主管部门工作人员开展专题业务培训，用于场地费（设备使用、会场服务）、授课费、材料费等。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1.提高招商队伍专业化水平</w:t>
            </w:r>
          </w:p>
          <w:p>
            <w:pPr>
              <w:pStyle w:val="12"/>
            </w:pPr>
            <w:r>
              <w:t>2.提升各县（市、区）投促中心工作人员知识储备、业务能力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开展培训</w:t>
            </w:r>
          </w:p>
        </w:tc>
        <w:tc>
          <w:tcPr>
            <w:tcW w:w="5386" w:type="dxa"/>
            <w:vAlign w:val="center"/>
          </w:tcPr>
          <w:p>
            <w:pPr>
              <w:pStyle w:val="12"/>
            </w:pPr>
            <w:r>
              <w:t>邀请专家授课培训</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约定事项完成情况</w:t>
            </w:r>
          </w:p>
        </w:tc>
        <w:tc>
          <w:tcPr>
            <w:tcW w:w="5386" w:type="dxa"/>
            <w:vAlign w:val="center"/>
          </w:tcPr>
          <w:p>
            <w:pPr>
              <w:pStyle w:val="12"/>
            </w:pPr>
            <w:r>
              <w:t>事项完成率</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约定事项完成时限</w:t>
            </w:r>
          </w:p>
        </w:tc>
        <w:tc>
          <w:tcPr>
            <w:tcW w:w="5386" w:type="dxa"/>
            <w:vAlign w:val="center"/>
          </w:tcPr>
          <w:p>
            <w:pPr>
              <w:pStyle w:val="12"/>
            </w:pPr>
            <w:r>
              <w:t>在规定时限内完成约定事项</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核定支出上限</w:t>
            </w:r>
          </w:p>
        </w:tc>
        <w:tc>
          <w:tcPr>
            <w:tcW w:w="2268" w:type="dxa"/>
            <w:vAlign w:val="center"/>
          </w:tcPr>
          <w:p>
            <w:pPr>
              <w:pStyle w:val="12"/>
            </w:pPr>
            <w:r>
              <w:t>≤1.08万元</w:t>
            </w:r>
          </w:p>
        </w:tc>
        <w:tc>
          <w:tcPr>
            <w:tcW w:w="1276"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培训效果</w:t>
            </w:r>
          </w:p>
        </w:tc>
        <w:tc>
          <w:tcPr>
            <w:tcW w:w="5386" w:type="dxa"/>
            <w:vAlign w:val="center"/>
          </w:tcPr>
          <w:p>
            <w:pPr>
              <w:pStyle w:val="12"/>
            </w:pPr>
            <w:r>
              <w:t>培训效果影响程度</w:t>
            </w:r>
          </w:p>
        </w:tc>
        <w:tc>
          <w:tcPr>
            <w:tcW w:w="2268" w:type="dxa"/>
            <w:vAlign w:val="center"/>
          </w:tcPr>
          <w:p>
            <w:pPr>
              <w:pStyle w:val="12"/>
            </w:pPr>
            <w:r>
              <w:t>≥90%</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提升工作人员业务能力和水平</w:t>
            </w:r>
          </w:p>
        </w:tc>
        <w:tc>
          <w:tcPr>
            <w:tcW w:w="2268" w:type="dxa"/>
            <w:vAlign w:val="center"/>
          </w:tcPr>
          <w:p>
            <w:pPr>
              <w:pStyle w:val="12"/>
            </w:pPr>
            <w:r>
              <w:t>≥90%</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参加培训人员满意度</w:t>
            </w:r>
          </w:p>
        </w:tc>
        <w:tc>
          <w:tcPr>
            <w:tcW w:w="5386" w:type="dxa"/>
            <w:vAlign w:val="center"/>
          </w:tcPr>
          <w:p>
            <w:pPr>
              <w:pStyle w:val="12"/>
            </w:pPr>
            <w:r>
              <w:t>参加培训人员满意度</w:t>
            </w:r>
          </w:p>
        </w:tc>
        <w:tc>
          <w:tcPr>
            <w:tcW w:w="2268" w:type="dxa"/>
            <w:vAlign w:val="center"/>
          </w:tcPr>
          <w:p>
            <w:pPr>
              <w:pStyle w:val="12"/>
            </w:pPr>
            <w:r>
              <w:t>良好</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4、业务咨询费绩效目标表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13010026P00988010314R</w:t>
            </w:r>
          </w:p>
        </w:tc>
        <w:tc>
          <w:tcPr>
            <w:tcW w:w="2835" w:type="dxa"/>
            <w:vAlign w:val="center"/>
          </w:tcPr>
          <w:p>
            <w:pPr>
              <w:pStyle w:val="10"/>
            </w:pPr>
            <w:r>
              <w:t>项目名称</w:t>
            </w:r>
          </w:p>
        </w:tc>
        <w:tc>
          <w:tcPr>
            <w:tcW w:w="6095" w:type="dxa"/>
            <w:gridSpan w:val="3"/>
            <w:vAlign w:val="center"/>
          </w:tcPr>
          <w:p>
            <w:pPr>
              <w:pStyle w:val="12"/>
            </w:pPr>
            <w:r>
              <w:t>业务咨询费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招商项目涉及产业、基金、经济等多方面，专业性强，需要向专业人员、团队开展业务咨询，聘请第三方进行项目评估；投资促进服务中心作为独立核算单位，需要聘请专业人员分析指导。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1.通过对单位制度、绩效目标等指导评价，规范运行，提高工作效能</w:t>
            </w:r>
          </w:p>
          <w:p>
            <w:pPr>
              <w:pStyle w:val="12"/>
            </w:pPr>
            <w:r>
              <w:t>2.委托专家、专业机构对招商引资项目进行评估，研判评估结果作为项目推动的依据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委托次数</w:t>
            </w:r>
          </w:p>
        </w:tc>
        <w:tc>
          <w:tcPr>
            <w:tcW w:w="5386" w:type="dxa"/>
            <w:vAlign w:val="center"/>
          </w:tcPr>
          <w:p>
            <w:pPr>
              <w:pStyle w:val="12"/>
            </w:pPr>
            <w:r>
              <w:t>组织专家对重点招商引资项目进行研判，开展绩效评价。</w:t>
            </w:r>
          </w:p>
        </w:tc>
        <w:tc>
          <w:tcPr>
            <w:tcW w:w="2268" w:type="dxa"/>
            <w:vAlign w:val="center"/>
          </w:tcPr>
          <w:p>
            <w:pPr>
              <w:pStyle w:val="12"/>
            </w:pPr>
            <w:r>
              <w:t>≤2次</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约定事项完成情况</w:t>
            </w:r>
          </w:p>
        </w:tc>
        <w:tc>
          <w:tcPr>
            <w:tcW w:w="5386" w:type="dxa"/>
            <w:vAlign w:val="center"/>
          </w:tcPr>
          <w:p>
            <w:pPr>
              <w:pStyle w:val="12"/>
            </w:pPr>
            <w:r>
              <w:t>综合实务工作完成率</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约定事项完成时限</w:t>
            </w:r>
          </w:p>
        </w:tc>
        <w:tc>
          <w:tcPr>
            <w:tcW w:w="5386" w:type="dxa"/>
            <w:vAlign w:val="center"/>
          </w:tcPr>
          <w:p>
            <w:pPr>
              <w:pStyle w:val="12"/>
            </w:pPr>
            <w:r>
              <w:t>在规定时限内完成约定事项</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资金成本</w:t>
            </w:r>
          </w:p>
        </w:tc>
        <w:tc>
          <w:tcPr>
            <w:tcW w:w="2268" w:type="dxa"/>
            <w:vAlign w:val="center"/>
          </w:tcPr>
          <w:p>
            <w:pPr>
              <w:pStyle w:val="12"/>
            </w:pPr>
            <w:r>
              <w:t>≤1.8万元</w:t>
            </w:r>
          </w:p>
        </w:tc>
        <w:tc>
          <w:tcPr>
            <w:tcW w:w="1276"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产业集群发展</w:t>
            </w:r>
          </w:p>
        </w:tc>
        <w:tc>
          <w:tcPr>
            <w:tcW w:w="5386" w:type="dxa"/>
            <w:vAlign w:val="center"/>
          </w:tcPr>
          <w:p>
            <w:pPr>
              <w:pStyle w:val="12"/>
            </w:pPr>
            <w:r>
              <w:t>产业集群发展</w:t>
            </w:r>
          </w:p>
        </w:tc>
        <w:tc>
          <w:tcPr>
            <w:tcW w:w="2268" w:type="dxa"/>
            <w:vAlign w:val="center"/>
          </w:tcPr>
          <w:p>
            <w:pPr>
              <w:pStyle w:val="12"/>
            </w:pPr>
            <w:r>
              <w:t>促进作用</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工作效率</w:t>
            </w:r>
          </w:p>
        </w:tc>
        <w:tc>
          <w:tcPr>
            <w:tcW w:w="5386" w:type="dxa"/>
            <w:vAlign w:val="center"/>
          </w:tcPr>
          <w:p>
            <w:pPr>
              <w:pStyle w:val="12"/>
            </w:pPr>
            <w:r>
              <w:t>项目招引质量与推进效率</w:t>
            </w:r>
          </w:p>
        </w:tc>
        <w:tc>
          <w:tcPr>
            <w:tcW w:w="2268" w:type="dxa"/>
            <w:vAlign w:val="center"/>
          </w:tcPr>
          <w:p>
            <w:pPr>
              <w:pStyle w:val="12"/>
            </w:pPr>
            <w:r>
              <w:t>有所提高</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5、招商活动经费绩效目标表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13010026P00LH0C10003T</w:t>
            </w:r>
          </w:p>
        </w:tc>
        <w:tc>
          <w:tcPr>
            <w:tcW w:w="2835" w:type="dxa"/>
            <w:vAlign w:val="center"/>
          </w:tcPr>
          <w:p>
            <w:pPr>
              <w:pStyle w:val="10"/>
            </w:pPr>
            <w:r>
              <w:t>项目名称</w:t>
            </w:r>
          </w:p>
        </w:tc>
        <w:tc>
          <w:tcPr>
            <w:tcW w:w="6095" w:type="dxa"/>
            <w:gridSpan w:val="3"/>
            <w:vAlign w:val="center"/>
          </w:tcPr>
          <w:p>
            <w:pPr>
              <w:pStyle w:val="12"/>
            </w:pPr>
            <w:r>
              <w:t>招商活动经费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（1）常态化驻外招商工作，驻地为北京、深圳、长三角、</w:t>
            </w:r>
            <w:r>
              <w:rPr>
                <w:rFonts w:hint="eastAsia"/>
                <w:color w:val="auto"/>
                <w:highlight w:val="none"/>
                <w:lang w:val="en-US" w:eastAsia="zh-CN"/>
              </w:rPr>
              <w:t>成都</w:t>
            </w:r>
            <w:r>
              <w:rPr>
                <w:rFonts w:hint="eastAsia"/>
                <w:lang w:eastAsia="zh-CN"/>
              </w:rPr>
              <w:t>等</w:t>
            </w:r>
            <w:r>
              <w:t>，用于往返交通费、差旅补助、部分城市住宿费；（2）赴外地参加国际、国内大型展会、博览会活动，或赴外地对接考察意向项目，用于人员交通、住宿、差旅补助；（3）赴各县（市、区）外资企业，提供政策咨询、投诉处理、法律服务、纠纷调解、权益保障等服务，用于人员差旅补助。（4）举办招商引资对接活动，推介我市产业与营商环境，挖掘意向项目，拓展客商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1.参加广交会、投洽会、进博会、厦洽会等大型展会，挖掘意向项目</w:t>
            </w:r>
          </w:p>
          <w:p>
            <w:pPr>
              <w:pStyle w:val="12"/>
            </w:pPr>
            <w:r>
              <w:t>2.赴县（市、区）对接企业、服务企业</w:t>
            </w:r>
          </w:p>
          <w:p>
            <w:pPr>
              <w:pStyle w:val="12"/>
            </w:pPr>
            <w:r>
              <w:t>3.举办招商对接活动，展示我市营商环境与发展机遇</w:t>
            </w:r>
          </w:p>
          <w:p>
            <w:pPr>
              <w:pStyle w:val="12"/>
            </w:pPr>
            <w:r>
              <w:t>4.于驻地开展驻外招商工作，对接客商、洽谈项目，吸引更多企业家关注石家庄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拓展资源渠道</w:t>
            </w:r>
          </w:p>
        </w:tc>
        <w:tc>
          <w:tcPr>
            <w:tcW w:w="5386" w:type="dxa"/>
            <w:vAlign w:val="center"/>
          </w:tcPr>
          <w:p>
            <w:pPr>
              <w:pStyle w:val="12"/>
            </w:pPr>
            <w:r>
              <w:t>对接客商资源、拓展招商朋友圈</w:t>
            </w:r>
          </w:p>
        </w:tc>
        <w:tc>
          <w:tcPr>
            <w:tcW w:w="2268" w:type="dxa"/>
            <w:vAlign w:val="center"/>
          </w:tcPr>
          <w:p>
            <w:pPr>
              <w:pStyle w:val="12"/>
            </w:pPr>
            <w:r>
              <w:t>≥100个</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挖掘项目信息</w:t>
            </w:r>
          </w:p>
        </w:tc>
        <w:tc>
          <w:tcPr>
            <w:tcW w:w="5386" w:type="dxa"/>
            <w:vAlign w:val="center"/>
          </w:tcPr>
          <w:p>
            <w:pPr>
              <w:pStyle w:val="12"/>
            </w:pPr>
            <w:r>
              <w:t>挖掘意向项目并向符合县（市、区）推送</w:t>
            </w:r>
          </w:p>
        </w:tc>
        <w:tc>
          <w:tcPr>
            <w:tcW w:w="2268" w:type="dxa"/>
            <w:vAlign w:val="center"/>
          </w:tcPr>
          <w:p>
            <w:pPr>
              <w:pStyle w:val="12"/>
            </w:pPr>
            <w:r>
              <w:t>≥20个</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各项任务完成时间</w:t>
            </w:r>
          </w:p>
        </w:tc>
        <w:tc>
          <w:tcPr>
            <w:tcW w:w="5386" w:type="dxa"/>
            <w:vAlign w:val="center"/>
          </w:tcPr>
          <w:p>
            <w:pPr>
              <w:pStyle w:val="12"/>
            </w:pPr>
            <w:r>
              <w:t>各项招商工作完成及时率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控制预算成本</w:t>
            </w:r>
          </w:p>
        </w:tc>
        <w:tc>
          <w:tcPr>
            <w:tcW w:w="2268" w:type="dxa"/>
            <w:vAlign w:val="center"/>
          </w:tcPr>
          <w:p>
            <w:pPr>
              <w:pStyle w:val="12"/>
            </w:pPr>
            <w:r>
              <w:t>≤25万元</w:t>
            </w:r>
          </w:p>
        </w:tc>
        <w:tc>
          <w:tcPr>
            <w:tcW w:w="1276"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提高我市知名度，吸引企业家来石投资</w:t>
            </w:r>
          </w:p>
        </w:tc>
        <w:tc>
          <w:tcPr>
            <w:tcW w:w="5386" w:type="dxa"/>
            <w:vAlign w:val="center"/>
          </w:tcPr>
          <w:p>
            <w:pPr>
              <w:pStyle w:val="12"/>
            </w:pPr>
            <w:r>
              <w:t>通过对外不断的对接，宣传石家庄城市形象、营商环境、区位优势，推动有意向投资企业来石考察</w:t>
            </w:r>
          </w:p>
        </w:tc>
        <w:tc>
          <w:tcPr>
            <w:tcW w:w="2268" w:type="dxa"/>
            <w:vAlign w:val="center"/>
          </w:tcPr>
          <w:p>
            <w:pPr>
              <w:pStyle w:val="12"/>
            </w:pPr>
            <w:r>
              <w:t>提升</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企业对我市组织招商工作满意率</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3.51</w:t>
            </w:r>
          </w:p>
        </w:tc>
        <w:tc>
          <w:tcPr>
            <w:tcW w:w="964" w:type="dxa"/>
            <w:vAlign w:val="center"/>
          </w:tcPr>
          <w:p>
            <w:pPr>
              <w:pStyle w:val="15"/>
            </w:pPr>
            <w:r>
              <w:t>3.51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石家庄市投资促进服务中心（石家庄市外商投资企业投诉服务中心）小计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3.51</w:t>
            </w:r>
          </w:p>
        </w:tc>
        <w:tc>
          <w:tcPr>
            <w:tcW w:w="964" w:type="dxa"/>
            <w:vAlign w:val="center"/>
          </w:tcPr>
          <w:p>
            <w:pPr>
              <w:pStyle w:val="15"/>
            </w:pPr>
            <w:r>
              <w:t>3.51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13.99</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34</w:t>
            </w:r>
          </w:p>
        </w:tc>
        <w:tc>
          <w:tcPr>
            <w:tcW w:w="850" w:type="dxa"/>
            <w:vAlign w:val="center"/>
          </w:tcPr>
          <w:p>
            <w:pPr>
              <w:pStyle w:val="11"/>
            </w:pPr>
            <w:r>
              <w:t>0.02</w:t>
            </w:r>
          </w:p>
        </w:tc>
        <w:tc>
          <w:tcPr>
            <w:tcW w:w="964" w:type="dxa"/>
            <w:vAlign w:val="center"/>
          </w:tcPr>
          <w:p>
            <w:pPr>
              <w:pStyle w:val="11"/>
            </w:pPr>
            <w:r>
              <w:t>0.57</w:t>
            </w:r>
          </w:p>
        </w:tc>
        <w:tc>
          <w:tcPr>
            <w:tcW w:w="964" w:type="dxa"/>
            <w:vAlign w:val="center"/>
          </w:tcPr>
          <w:p>
            <w:pPr>
              <w:pStyle w:val="11"/>
            </w:pPr>
            <w:r>
              <w:t>0.57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13.99</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13.99</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0.67</w:t>
            </w:r>
          </w:p>
        </w:tc>
        <w:tc>
          <w:tcPr>
            <w:tcW w:w="964" w:type="dxa"/>
            <w:vAlign w:val="center"/>
          </w:tcPr>
          <w:p>
            <w:pPr>
              <w:pStyle w:val="11"/>
            </w:pPr>
            <w:r>
              <w:t>0.67</w:t>
            </w:r>
          </w:p>
        </w:tc>
        <w:tc>
          <w:tcPr>
            <w:tcW w:w="964" w:type="dxa"/>
            <w:vAlign w:val="center"/>
          </w:tcPr>
          <w:p>
            <w:pPr>
              <w:pStyle w:val="11"/>
            </w:pPr>
            <w:r>
              <w:t>0.67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13.99</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0.67</w:t>
            </w:r>
          </w:p>
        </w:tc>
        <w:tc>
          <w:tcPr>
            <w:tcW w:w="964" w:type="dxa"/>
            <w:vAlign w:val="center"/>
          </w:tcPr>
          <w:p>
            <w:pPr>
              <w:pStyle w:val="11"/>
            </w:pPr>
            <w:r>
              <w:t>0.67</w:t>
            </w:r>
          </w:p>
        </w:tc>
        <w:tc>
          <w:tcPr>
            <w:tcW w:w="964" w:type="dxa"/>
            <w:vAlign w:val="center"/>
          </w:tcPr>
          <w:p>
            <w:pPr>
              <w:pStyle w:val="11"/>
            </w:pPr>
            <w:r>
              <w:t>0.67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13.99</w:t>
            </w:r>
          </w:p>
        </w:tc>
        <w:tc>
          <w:tcPr>
            <w:tcW w:w="1134" w:type="dxa"/>
            <w:vAlign w:val="center"/>
          </w:tcPr>
          <w:p>
            <w:pPr>
              <w:pStyle w:val="12"/>
            </w:pPr>
            <w:r>
              <w:t>车辆充换电服务</w:t>
            </w:r>
          </w:p>
        </w:tc>
        <w:tc>
          <w:tcPr>
            <w:tcW w:w="1134" w:type="dxa"/>
            <w:vAlign w:val="center"/>
          </w:tcPr>
          <w:p>
            <w:pPr>
              <w:pStyle w:val="12"/>
            </w:pPr>
            <w:r>
              <w:t>C23120303</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石家庄市投资促进服务中心（石家庄市外商投资企业投诉服务中心）上年末固定资产金额为</w:t>
      </w:r>
      <w:r>
        <w:rPr>
          <w:rFonts w:hint="eastAsia" w:eastAsia="方正仿宋_GBK" w:cs="Times New Roman"/>
          <w:b w:val="0"/>
          <w:color w:val="000000"/>
          <w:sz w:val="28"/>
          <w:lang w:val="en-US" w:eastAsia="zh-CN"/>
        </w:rPr>
        <w:t>30.14</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1.00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jc w:val="center"/>
              <w:rPr>
                <w:rFonts w:hint="default" w:eastAsia="方正书宋_GBK"/>
                <w:lang w:val="en-US" w:eastAsia="zh-CN"/>
              </w:rPr>
            </w:pPr>
            <w:r>
              <w:rPr>
                <w:rFonts w:hint="eastAsia"/>
                <w:lang w:val="en-US" w:eastAsia="zh-CN"/>
              </w:rPr>
              <w:t>资产总额</w:t>
            </w:r>
          </w:p>
        </w:tc>
        <w:tc>
          <w:tcPr>
            <w:tcW w:w="2835" w:type="dxa"/>
            <w:vAlign w:val="center"/>
          </w:tcPr>
          <w:p>
            <w:pPr>
              <w:pStyle w:val="13"/>
              <w:rPr>
                <w:rFonts w:hint="eastAsia" w:eastAsia="方正书宋_GBK"/>
                <w:lang w:eastAsia="zh-CN"/>
              </w:rPr>
            </w:pPr>
            <w:r>
              <w:rPr>
                <w:rFonts w:hint="eastAsia"/>
                <w:lang w:eastAsia="zh-CN"/>
              </w:rPr>
              <w:t>——</w:t>
            </w:r>
          </w:p>
        </w:tc>
        <w:tc>
          <w:tcPr>
            <w:tcW w:w="2835" w:type="dxa"/>
            <w:vAlign w:val="center"/>
          </w:tcPr>
          <w:p>
            <w:pPr>
              <w:pStyle w:val="11"/>
              <w:rPr>
                <w:rFonts w:hint="default" w:eastAsia="方正书宋_GBK"/>
                <w:lang w:val="en-US" w:eastAsia="zh-CN"/>
              </w:rPr>
            </w:pPr>
            <w:r>
              <w:rPr>
                <w:rFonts w:hint="eastAsia"/>
                <w:lang w:val="en-US" w:eastAsia="zh-CN"/>
              </w:rPr>
              <w:t>30.14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jc w:val="both"/>
              <w:rPr>
                <w:rFonts w:hint="default"/>
                <w:lang w:val="en-US" w:eastAsia="zh-CN"/>
              </w:rPr>
            </w:pPr>
            <w:r>
              <w:rPr>
                <w:rFonts w:hint="eastAsia"/>
                <w:lang w:val="en-US" w:eastAsia="zh-CN"/>
              </w:rPr>
              <w:t>1.房屋（平方米）</w:t>
            </w:r>
          </w:p>
        </w:tc>
        <w:tc>
          <w:tcPr>
            <w:tcW w:w="2835" w:type="dxa"/>
            <w:vAlign w:val="center"/>
          </w:tcPr>
          <w:p>
            <w:pPr>
              <w:pStyle w:val="13"/>
              <w:rPr>
                <w:rFonts w:hint="default"/>
                <w:lang w:val="en-US" w:eastAsia="zh-CN"/>
              </w:rPr>
            </w:pPr>
            <w:r>
              <w:rPr>
                <w:rFonts w:hint="eastAsia"/>
                <w:lang w:val="en-US" w:eastAsia="zh-CN"/>
              </w:rPr>
              <w:t>0</w:t>
            </w:r>
          </w:p>
        </w:tc>
        <w:tc>
          <w:tcPr>
            <w:tcW w:w="2835" w:type="dxa"/>
            <w:vAlign w:val="center"/>
          </w:tcPr>
          <w:p>
            <w:pPr>
              <w:pStyle w:val="11"/>
              <w:rPr>
                <w:rFonts w:hint="default"/>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jc w:val="both"/>
              <w:rPr>
                <w:rFonts w:hint="default"/>
                <w:lang w:val="en-US" w:eastAsia="zh-CN"/>
              </w:rPr>
            </w:pPr>
            <w:r>
              <w:rPr>
                <w:rFonts w:hint="eastAsia"/>
                <w:lang w:val="en-US" w:eastAsia="zh-CN"/>
              </w:rPr>
              <w:t>其中：办公用房（平方米）</w:t>
            </w:r>
          </w:p>
        </w:tc>
        <w:tc>
          <w:tcPr>
            <w:tcW w:w="2835" w:type="dxa"/>
            <w:vAlign w:val="center"/>
          </w:tcPr>
          <w:p>
            <w:pPr>
              <w:pStyle w:val="13"/>
              <w:rPr>
                <w:rFonts w:hint="default"/>
                <w:lang w:val="en-US" w:eastAsia="zh-CN"/>
              </w:rPr>
            </w:pPr>
            <w:r>
              <w:rPr>
                <w:rFonts w:hint="eastAsia"/>
                <w:lang w:val="en-US" w:eastAsia="zh-CN"/>
              </w:rPr>
              <w:t>0</w:t>
            </w:r>
          </w:p>
        </w:tc>
        <w:tc>
          <w:tcPr>
            <w:tcW w:w="2835" w:type="dxa"/>
            <w:vAlign w:val="center"/>
          </w:tcPr>
          <w:p>
            <w:pPr>
              <w:pStyle w:val="11"/>
              <w:rPr>
                <w:rFonts w:hint="default"/>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jc w:val="both"/>
              <w:rPr>
                <w:rFonts w:hint="default"/>
                <w:lang w:val="en-US" w:eastAsia="zh-CN"/>
              </w:rPr>
            </w:pPr>
            <w:r>
              <w:rPr>
                <w:rFonts w:hint="eastAsia"/>
                <w:lang w:val="en-US" w:eastAsia="zh-CN"/>
              </w:rPr>
              <w:t>2.车辆（台、辆）</w:t>
            </w:r>
          </w:p>
        </w:tc>
        <w:tc>
          <w:tcPr>
            <w:tcW w:w="2835" w:type="dxa"/>
            <w:vAlign w:val="center"/>
          </w:tcPr>
          <w:p>
            <w:pPr>
              <w:pStyle w:val="13"/>
              <w:rPr>
                <w:rFonts w:hint="default"/>
                <w:lang w:val="en-US" w:eastAsia="zh-CN"/>
              </w:rPr>
            </w:pPr>
            <w:r>
              <w:rPr>
                <w:rFonts w:hint="eastAsia"/>
                <w:lang w:val="en-US" w:eastAsia="zh-CN"/>
              </w:rPr>
              <w:t>1</w:t>
            </w:r>
          </w:p>
        </w:tc>
        <w:tc>
          <w:tcPr>
            <w:tcW w:w="2835" w:type="dxa"/>
            <w:vAlign w:val="center"/>
          </w:tcPr>
          <w:p>
            <w:pPr>
              <w:pStyle w:val="11"/>
              <w:rPr>
                <w:rFonts w:hint="default"/>
                <w:lang w:val="en-US" w:eastAsia="zh-CN"/>
              </w:rPr>
            </w:pPr>
            <w:r>
              <w:rPr>
                <w:rFonts w:hint="eastAsia"/>
                <w:lang w:val="en-US" w:eastAsia="zh-CN"/>
              </w:rP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jc w:val="both"/>
              <w:rPr>
                <w:rFonts w:hint="default"/>
                <w:lang w:val="en-US" w:eastAsia="zh-CN"/>
              </w:rPr>
            </w:pPr>
            <w:r>
              <w:rPr>
                <w:rFonts w:hint="eastAsia"/>
                <w:lang w:val="en-US" w:eastAsia="zh-CN"/>
              </w:rPr>
              <w:t>3.单价在20万元以上的设备</w:t>
            </w:r>
          </w:p>
        </w:tc>
        <w:tc>
          <w:tcPr>
            <w:tcW w:w="2835" w:type="dxa"/>
            <w:vAlign w:val="center"/>
          </w:tcPr>
          <w:p>
            <w:pPr>
              <w:pStyle w:val="13"/>
              <w:rPr>
                <w:rFonts w:hint="default"/>
                <w:lang w:val="en-US" w:eastAsia="zh-CN"/>
              </w:rPr>
            </w:pPr>
            <w:r>
              <w:rPr>
                <w:rFonts w:hint="eastAsia"/>
                <w:lang w:val="en-US" w:eastAsia="zh-CN"/>
              </w:rPr>
              <w:t>0</w:t>
            </w:r>
          </w:p>
        </w:tc>
        <w:tc>
          <w:tcPr>
            <w:tcW w:w="2835" w:type="dxa"/>
            <w:vAlign w:val="center"/>
          </w:tcPr>
          <w:p>
            <w:pPr>
              <w:pStyle w:val="11"/>
              <w:rPr>
                <w:rFonts w:hint="default"/>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jc w:val="both"/>
              <w:rPr>
                <w:rFonts w:hint="default"/>
                <w:lang w:val="en-US" w:eastAsia="zh-CN"/>
              </w:rPr>
            </w:pPr>
            <w:r>
              <w:rPr>
                <w:rFonts w:hint="eastAsia"/>
                <w:lang w:val="en-US" w:eastAsia="zh-CN"/>
              </w:rPr>
              <w:t>4.其他固定资产</w:t>
            </w:r>
          </w:p>
        </w:tc>
        <w:tc>
          <w:tcPr>
            <w:tcW w:w="2835" w:type="dxa"/>
            <w:vAlign w:val="center"/>
          </w:tcPr>
          <w:p>
            <w:pPr>
              <w:pStyle w:val="13"/>
              <w:rPr>
                <w:rFonts w:hint="default"/>
                <w:lang w:val="en-US" w:eastAsia="zh-CN"/>
              </w:rPr>
            </w:pPr>
            <w:r>
              <w:rPr>
                <w:rFonts w:hint="eastAsia"/>
                <w:lang w:val="en-US" w:eastAsia="zh-CN"/>
              </w:rPr>
              <w:t>29</w:t>
            </w:r>
          </w:p>
        </w:tc>
        <w:tc>
          <w:tcPr>
            <w:tcW w:w="2835" w:type="dxa"/>
            <w:vAlign w:val="center"/>
          </w:tcPr>
          <w:p>
            <w:pPr>
              <w:pStyle w:val="11"/>
              <w:rPr>
                <w:rFonts w:hint="default"/>
                <w:lang w:val="en-US" w:eastAsia="zh-CN"/>
              </w:rPr>
            </w:pPr>
            <w:r>
              <w:rPr>
                <w:rFonts w:hint="eastAsia"/>
                <w:lang w:val="en-US" w:eastAsia="zh-CN"/>
              </w:rPr>
              <w:t>12.16</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bookmarkStart w:id="2" w:name="_GoBack"/>
      <w:bookmarkEnd w:id="2"/>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FZSSK--GBK1-0">
    <w:altName w:val="宋体"/>
    <w:panose1 w:val="00000000000000000000"/>
    <w:charset w:val="86"/>
    <w:family w:val="auto"/>
    <w:pitch w:val="default"/>
    <w:sig w:usb0="00000000" w:usb1="00000000" w:usb2="00000000" w:usb3="00000000" w:csb0="00040000" w:csb1="00000000"/>
  </w:font>
  <w:font w:name="MicrosoftYaHei">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DE8B7AC"/>
    <w:multiLevelType w:val="singleLevel"/>
    <w:tmpl w:val="9DE8B7AC"/>
    <w:lvl w:ilvl="0" w:tentative="0">
      <w:start w:val="1"/>
      <w:numFmt w:val="decimal"/>
      <w:suff w:val="nothing"/>
      <w:lvlText w:val="%1、"/>
      <w:lvlJc w:val="left"/>
    </w:lvl>
  </w:abstractNum>
  <w:abstractNum w:abstractNumId="1">
    <w:nsid w:val="CFCFDEEF"/>
    <w:multiLevelType w:val="singleLevel"/>
    <w:tmpl w:val="CFCFDEEF"/>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9845B30"/>
    <w:rsid w:val="0DC71555"/>
    <w:rsid w:val="1CE477DF"/>
    <w:rsid w:val="63481212"/>
    <w:rsid w:val="66F604F3"/>
    <w:rsid w:val="75FB207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55</Pages>
  <TotalTime>0</TotalTime>
  <ScaleCrop>false</ScaleCrop>
  <LinksUpToDate>false</LinksUpToDate>
  <Application>WPS Office_11.8.2.8950_F1E327BC-269C-435d-A152-05C5408002CA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2026-02-09T14:55:00Z</dcterms:created>
  <dc:creator>Administrator</dc:creator>
  <cp:lastModifiedBy>Administrator</cp:lastModifiedBy>
  <cp:lastPrinted>2026-02-09T08:22:00Z</cp:lastPrinted>
  <dcterms:modified xsi:type="dcterms:W3CDTF">2026-02-12T01:53:45Z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2052-11.8.2.8950</vt:lpwstr>
  </property>
  <property fmtid="{D5CDD505-2E9C-101B-9397-08002B2CF9AE}" pid="3" name="ICV">
    <vt:lpwstr>81970BA0B46F4AB1AE361E3B87833049</vt:lpwstr>
  </property>
</Properties>
</file>