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6B402B">
      <w:pPr>
        <w:adjustRightInd w:val="0"/>
        <w:snapToGrid w:val="0"/>
        <w:spacing w:line="560" w:lineRule="exact"/>
        <w:rPr>
          <w:rFonts w:hint="eastAsia" w:ascii="黑体" w:hAnsi="黑体" w:eastAsia="黑体" w:cs="黑体"/>
          <w:sz w:val="32"/>
          <w:szCs w:val="32"/>
        </w:rPr>
      </w:pPr>
    </w:p>
    <w:p w14:paraId="1AAEAD8A">
      <w:pPr>
        <w:adjustRightInd w:val="0"/>
        <w:snapToGrid w:val="0"/>
        <w:spacing w:line="560" w:lineRule="exact"/>
        <w:rPr>
          <w:rFonts w:hint="eastAsia" w:ascii="黑体" w:hAnsi="黑体" w:eastAsia="黑体" w:cs="黑体"/>
          <w:sz w:val="32"/>
          <w:szCs w:val="32"/>
        </w:rPr>
      </w:pPr>
      <w:r>
        <w:rPr>
          <w:rFonts w:hint="eastAsia" w:ascii="黑体" w:hAnsi="黑体" w:eastAsia="黑体" w:cs="黑体"/>
          <w:sz w:val="32"/>
          <w:szCs w:val="32"/>
        </w:rPr>
        <w:t>附件4</w:t>
      </w:r>
    </w:p>
    <w:p w14:paraId="133CCEF6">
      <w:pPr>
        <w:spacing w:line="560" w:lineRule="exact"/>
        <w:jc w:val="center"/>
        <w:rPr>
          <w:rFonts w:ascii="宋体" w:hAnsi="宋体" w:cs="宋体"/>
          <w:b/>
          <w:bCs/>
          <w:sz w:val="44"/>
          <w:szCs w:val="44"/>
        </w:rPr>
      </w:pPr>
    </w:p>
    <w:p w14:paraId="2C6AB783">
      <w:pPr>
        <w:spacing w:line="560" w:lineRule="exact"/>
        <w:jc w:val="center"/>
        <w:rPr>
          <w:rFonts w:hint="eastAsia" w:ascii="宋体" w:hAnsi="宋体" w:cs="宋体"/>
          <w:b/>
          <w:bCs/>
          <w:sz w:val="44"/>
          <w:szCs w:val="44"/>
          <w:lang w:val="en-US" w:eastAsia="zh-CN"/>
        </w:rPr>
      </w:pPr>
      <w:r>
        <w:rPr>
          <w:rFonts w:hint="eastAsia" w:ascii="宋体" w:hAnsi="宋体" w:cs="宋体"/>
          <w:b/>
          <w:bCs/>
          <w:sz w:val="44"/>
          <w:szCs w:val="44"/>
          <w:lang w:val="en-US" w:eastAsia="zh-CN"/>
        </w:rPr>
        <w:t>灵寿县人民检察院</w:t>
      </w:r>
    </w:p>
    <w:p w14:paraId="31735896">
      <w:pPr>
        <w:spacing w:line="560" w:lineRule="exact"/>
        <w:jc w:val="center"/>
        <w:rPr>
          <w:rFonts w:ascii="宋体" w:hAnsi="宋体" w:cs="宋体"/>
          <w:b/>
          <w:bCs/>
          <w:sz w:val="44"/>
          <w:szCs w:val="44"/>
        </w:rPr>
      </w:pPr>
      <w:r>
        <w:rPr>
          <w:rFonts w:hint="eastAsia" w:ascii="宋体" w:hAnsi="宋体" w:cs="宋体"/>
          <w:b/>
          <w:bCs/>
          <w:sz w:val="44"/>
          <w:szCs w:val="44"/>
        </w:rPr>
        <w:t>202</w:t>
      </w:r>
      <w:r>
        <w:rPr>
          <w:rFonts w:hint="eastAsia" w:ascii="宋体" w:hAnsi="宋体" w:cs="宋体"/>
          <w:b/>
          <w:bCs/>
          <w:sz w:val="44"/>
          <w:szCs w:val="44"/>
          <w:lang w:val="en-US" w:eastAsia="zh-CN"/>
        </w:rPr>
        <w:t>5</w:t>
      </w:r>
      <w:r>
        <w:rPr>
          <w:rFonts w:hint="eastAsia" w:ascii="宋体" w:hAnsi="宋体" w:cs="宋体"/>
          <w:b/>
          <w:bCs/>
          <w:sz w:val="44"/>
          <w:szCs w:val="44"/>
        </w:rPr>
        <w:t>年度整体支出绩效自评报告</w:t>
      </w:r>
    </w:p>
    <w:p w14:paraId="47CCF1B9">
      <w:pPr>
        <w:spacing w:line="560" w:lineRule="exact"/>
        <w:jc w:val="center"/>
        <w:rPr>
          <w:rFonts w:ascii="华文楷体" w:eastAsia="华文楷体"/>
          <w:sz w:val="32"/>
          <w:szCs w:val="32"/>
        </w:rPr>
      </w:pPr>
    </w:p>
    <w:p w14:paraId="0D214642">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贯彻落实市委市政府《关于全面落实预算绩效管理的实施意见》（石发﹝2019﹞8号）文件精神，遵循“科学性、规范性、客观性和公正性”的原则，对</w:t>
      </w:r>
      <w:r>
        <w:rPr>
          <w:rFonts w:hint="eastAsia" w:ascii="仿宋" w:hAnsi="仿宋" w:eastAsia="仿宋"/>
          <w:sz w:val="32"/>
          <w:szCs w:val="32"/>
          <w:lang w:val="en-US" w:eastAsia="zh-CN"/>
        </w:rPr>
        <w:t>灵寿县人民检察院</w:t>
      </w:r>
      <w:r>
        <w:rPr>
          <w:rFonts w:hint="eastAsia" w:ascii="仿宋" w:hAnsi="仿宋" w:eastAsia="仿宋"/>
          <w:sz w:val="32"/>
          <w:szCs w:val="32"/>
        </w:rPr>
        <w:t>202</w:t>
      </w:r>
      <w:r>
        <w:rPr>
          <w:rFonts w:hint="eastAsia" w:ascii="仿宋" w:hAnsi="仿宋" w:eastAsia="仿宋"/>
          <w:sz w:val="32"/>
          <w:szCs w:val="32"/>
          <w:lang w:val="en-US" w:eastAsia="zh-CN"/>
        </w:rPr>
        <w:t>5</w:t>
      </w:r>
      <w:r>
        <w:rPr>
          <w:rFonts w:hint="eastAsia" w:ascii="仿宋" w:hAnsi="仿宋" w:eastAsia="仿宋"/>
          <w:sz w:val="32"/>
          <w:szCs w:val="32"/>
        </w:rPr>
        <w:t>年整体支出情况实施了财政支出绩效自评价，形成本评价报告。</w:t>
      </w:r>
    </w:p>
    <w:p w14:paraId="7422A4B6">
      <w:pPr>
        <w:adjustRightInd w:val="0"/>
        <w:snapToGrid w:val="0"/>
        <w:spacing w:line="560" w:lineRule="exact"/>
        <w:rPr>
          <w:rFonts w:ascii="黑体" w:hAnsi="黑体" w:eastAsia="黑体"/>
          <w:b/>
          <w:bCs/>
          <w:sz w:val="32"/>
          <w:szCs w:val="36"/>
        </w:rPr>
      </w:pPr>
      <w:r>
        <w:rPr>
          <w:rFonts w:hint="eastAsia" w:ascii="黑体" w:hAnsi="黑体" w:eastAsia="黑体"/>
          <w:sz w:val="32"/>
          <w:szCs w:val="32"/>
        </w:rPr>
        <w:t xml:space="preserve">     一、部门</w:t>
      </w:r>
      <w:r>
        <w:rPr>
          <w:rFonts w:hint="eastAsia" w:ascii="黑体" w:hAnsi="黑体" w:eastAsia="黑体"/>
          <w:sz w:val="32"/>
          <w:szCs w:val="36"/>
        </w:rPr>
        <w:t>基本情况</w:t>
      </w:r>
    </w:p>
    <w:p w14:paraId="074773A6">
      <w:pPr>
        <w:adjustRightInd w:val="0"/>
        <w:snapToGrid w:val="0"/>
        <w:spacing w:line="560" w:lineRule="exact"/>
        <w:ind w:firstLine="640" w:firstLineChars="200"/>
        <w:rPr>
          <w:rFonts w:hint="eastAsia" w:ascii="楷体" w:hAnsi="楷体" w:eastAsia="楷体" w:cs="楷体_GB2312"/>
          <w:bCs/>
          <w:sz w:val="32"/>
          <w:szCs w:val="32"/>
        </w:rPr>
      </w:pPr>
      <w:r>
        <w:rPr>
          <w:rFonts w:hint="eastAsia" w:ascii="楷体" w:hAnsi="楷体" w:eastAsia="楷体" w:cs="楷体_GB2312"/>
          <w:bCs/>
          <w:sz w:val="32"/>
          <w:szCs w:val="32"/>
        </w:rPr>
        <w:t>（一）部门概况</w:t>
      </w:r>
    </w:p>
    <w:p w14:paraId="171DD579">
      <w:pPr>
        <w:spacing w:line="560" w:lineRule="exact"/>
        <w:ind w:firstLine="640" w:firstLineChars="200"/>
        <w:rPr>
          <w:rFonts w:hint="eastAsia" w:ascii="楷体" w:hAnsi="楷体" w:eastAsia="楷体" w:cs="楷体_GB2312"/>
          <w:bCs/>
          <w:sz w:val="32"/>
          <w:szCs w:val="32"/>
        </w:rPr>
      </w:pPr>
      <w:r>
        <w:rPr>
          <w:rFonts w:hint="eastAsia" w:ascii="仿宋_GB2312" w:hAnsi="仿宋" w:eastAsia="仿宋_GB2312" w:cs="仿宋"/>
          <w:sz w:val="32"/>
          <w:szCs w:val="32"/>
        </w:rPr>
        <w:t>1.部门职能</w:t>
      </w:r>
    </w:p>
    <w:p w14:paraId="61214590">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根据《灵寿县人民检察院职能配置、内设机构和人员编制规定》，灵寿县人民检察院的主要职责是：</w:t>
      </w:r>
    </w:p>
    <w:p w14:paraId="6C95DCBD">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（一）深入贯彻习近平新时代中国特色社会主义思想，深入贯彻党的路线方针和决策部署，坚持党对检察工作的绝对领导，坚决维护习近平总书记的核心地位，坚决维护党中央权威和集中统一领导。</w:t>
      </w:r>
    </w:p>
    <w:p w14:paraId="4CC7C2A1">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（二）依法向县人民代表大会及其常</w:t>
      </w:r>
      <w:r>
        <w:rPr>
          <w:rFonts w:hint="eastAsia" w:ascii="仿宋" w:hAnsi="仿宋" w:eastAsia="仿宋"/>
          <w:sz w:val="32"/>
          <w:szCs w:val="32"/>
          <w:lang w:val="en-US" w:eastAsia="zh-CN"/>
        </w:rPr>
        <w:t>务</w:t>
      </w:r>
      <w:r>
        <w:rPr>
          <w:rFonts w:hint="eastAsia" w:ascii="仿宋" w:hAnsi="仿宋" w:eastAsia="仿宋"/>
          <w:sz w:val="32"/>
          <w:szCs w:val="32"/>
        </w:rPr>
        <w:t>委员会提出议案。</w:t>
      </w:r>
    </w:p>
    <w:p w14:paraId="473BD010">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（三）贯彻落实检察工作方针、总体规划，研究制定检察工作计划并组织实施。</w:t>
      </w:r>
    </w:p>
    <w:p w14:paraId="01721899">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（四）依照法律规定对直接受理的刑事案件行使侦查权。</w:t>
      </w:r>
    </w:p>
    <w:p w14:paraId="0B23C8B8">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（五）负责对管辖的各类刑事案件依法审查批准逮捕、决定逮捕、提起公诉。</w:t>
      </w:r>
    </w:p>
    <w:p w14:paraId="3713281C">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（六）负责应由本院承办的刑事、民事、行政诉讼活动及刑事、民事、行政判决和裁定等生效法律文书执行的法律监督工作。</w:t>
      </w:r>
    </w:p>
    <w:p w14:paraId="2ACA4DF0">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（七）负责应由本院承办的提起公益诉讼工作。</w:t>
      </w:r>
    </w:p>
    <w:p w14:paraId="00A3FB2C">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（八）依法受理核准追诉案件，审查是否上报。</w:t>
      </w:r>
    </w:p>
    <w:p w14:paraId="4128D65C">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（九）负责应由本院承办的对看守所、社区矫正等执法活动的法律监督工作。</w:t>
      </w:r>
    </w:p>
    <w:p w14:paraId="5C863FEA">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（十）受理向本院的控告申诉。</w:t>
      </w:r>
    </w:p>
    <w:p w14:paraId="7393FE20">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（十一）组织检察工作中法律政策具体应用问题的研究；组织开展检察理论研究工作。</w:t>
      </w:r>
    </w:p>
    <w:p w14:paraId="0A66B58A">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（十二）负责检察人员思想政治教育和业务培训工作；按照权限管理检察官和其他工作人员。</w:t>
      </w:r>
    </w:p>
    <w:p w14:paraId="0B2C0067">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（十三）负责本院检务督察工作。</w:t>
      </w:r>
    </w:p>
    <w:p w14:paraId="4CDD8ADC">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（十四）负责本院检务保障以及检察技术、信息化建设工作。</w:t>
      </w:r>
    </w:p>
    <w:p w14:paraId="7EC05AD5">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（十五）完成其他应当由本院负责的工作</w:t>
      </w:r>
    </w:p>
    <w:p w14:paraId="704D0B65">
      <w:pPr>
        <w:spacing w:line="560" w:lineRule="exact"/>
        <w:ind w:firstLine="640" w:firstLineChars="200"/>
        <w:rPr>
          <w:rFonts w:hint="default"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2.</w:t>
      </w:r>
      <w:r>
        <w:rPr>
          <w:rFonts w:hint="eastAsia" w:ascii="仿宋" w:hAnsi="仿宋" w:eastAsia="仿宋"/>
          <w:sz w:val="32"/>
          <w:szCs w:val="32"/>
        </w:rPr>
        <w:t>组织机构及人员</w:t>
      </w:r>
    </w:p>
    <w:p w14:paraId="42AB62CF">
      <w:pPr>
        <w:spacing w:line="560" w:lineRule="exact"/>
        <w:ind w:firstLine="640" w:firstLineChars="200"/>
        <w:rPr>
          <w:rFonts w:hint="eastAsia" w:ascii="仿宋_GB2312" w:hAnsi="仿宋" w:eastAsia="仿宋_GB2312" w:cs="仿宋"/>
          <w:sz w:val="32"/>
          <w:szCs w:val="32"/>
        </w:rPr>
      </w:pPr>
      <w:r>
        <w:rPr>
          <w:rFonts w:hint="eastAsia" w:ascii="仿宋" w:hAnsi="仿宋" w:eastAsia="仿宋"/>
          <w:sz w:val="32"/>
          <w:szCs w:val="32"/>
        </w:rPr>
        <w:t>灵寿县人民检察院</w:t>
      </w:r>
      <w:r>
        <w:rPr>
          <w:rFonts w:hint="eastAsia" w:ascii="仿宋_GB2312" w:hAnsi="仿宋" w:eastAsia="仿宋_GB2312" w:cs="仿宋"/>
          <w:sz w:val="32"/>
          <w:szCs w:val="32"/>
        </w:rPr>
        <w:t>政法编制</w:t>
      </w:r>
      <w:r>
        <w:rPr>
          <w:rFonts w:hint="eastAsia" w:ascii="仿宋_GB2312" w:hAnsi="仿宋" w:eastAsia="仿宋_GB2312" w:cs="仿宋"/>
          <w:sz w:val="32"/>
          <w:szCs w:val="32"/>
          <w:lang w:val="en-US" w:eastAsia="zh-CN"/>
        </w:rPr>
        <w:t>35</w:t>
      </w:r>
      <w:r>
        <w:rPr>
          <w:rFonts w:hint="eastAsia" w:ascii="仿宋_GB2312" w:hAnsi="仿宋" w:eastAsia="仿宋_GB2312" w:cs="仿宋"/>
          <w:sz w:val="32"/>
          <w:szCs w:val="32"/>
        </w:rPr>
        <w:t>名;内设机构</w:t>
      </w:r>
      <w:r>
        <w:rPr>
          <w:rFonts w:hint="eastAsia" w:ascii="仿宋_GB2312" w:hAnsi="仿宋" w:eastAsia="仿宋_GB2312" w:cs="仿宋"/>
          <w:sz w:val="32"/>
          <w:szCs w:val="32"/>
          <w:lang w:val="en-US" w:eastAsia="zh-CN"/>
        </w:rPr>
        <w:t>5</w:t>
      </w:r>
      <w:r>
        <w:rPr>
          <w:rFonts w:hint="eastAsia" w:ascii="仿宋_GB2312" w:hAnsi="仿宋" w:eastAsia="仿宋_GB2312" w:cs="仿宋"/>
          <w:sz w:val="32"/>
          <w:szCs w:val="32"/>
        </w:rPr>
        <w:t>个(</w:t>
      </w:r>
      <w:r>
        <w:rPr>
          <w:rFonts w:hint="eastAsia" w:ascii="仿宋_GB2312" w:hAnsi="仿宋" w:eastAsia="仿宋_GB2312" w:cs="仿宋"/>
          <w:sz w:val="32"/>
          <w:szCs w:val="32"/>
          <w:lang w:val="en-US" w:eastAsia="zh-CN"/>
        </w:rPr>
        <w:t>第一</w:t>
      </w:r>
      <w:r>
        <w:rPr>
          <w:rFonts w:hint="eastAsia" w:ascii="仿宋_GB2312" w:hAnsi="仿宋" w:eastAsia="仿宋_GB2312" w:cs="仿宋"/>
          <w:sz w:val="32"/>
          <w:szCs w:val="32"/>
        </w:rPr>
        <w:t>检察部、</w:t>
      </w:r>
      <w:r>
        <w:rPr>
          <w:rFonts w:hint="eastAsia" w:ascii="仿宋_GB2312" w:hAnsi="仿宋" w:eastAsia="仿宋_GB2312" w:cs="仿宋"/>
          <w:sz w:val="32"/>
          <w:szCs w:val="32"/>
          <w:lang w:val="en-US" w:eastAsia="zh-CN"/>
        </w:rPr>
        <w:t>第二</w:t>
      </w:r>
      <w:r>
        <w:rPr>
          <w:rFonts w:hint="eastAsia" w:ascii="仿宋_GB2312" w:hAnsi="仿宋" w:eastAsia="仿宋_GB2312" w:cs="仿宋"/>
          <w:sz w:val="32"/>
          <w:szCs w:val="32"/>
        </w:rPr>
        <w:t>检察部</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第三</w:t>
      </w:r>
      <w:r>
        <w:rPr>
          <w:rFonts w:hint="eastAsia" w:ascii="仿宋_GB2312" w:hAnsi="仿宋" w:eastAsia="仿宋_GB2312" w:cs="仿宋"/>
          <w:sz w:val="32"/>
          <w:szCs w:val="32"/>
        </w:rPr>
        <w:t>检察部</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政治</w:t>
      </w:r>
      <w:r>
        <w:rPr>
          <w:rFonts w:hint="eastAsia" w:ascii="仿宋_GB2312" w:hAnsi="仿宋" w:eastAsia="仿宋_GB2312" w:cs="仿宋"/>
          <w:sz w:val="32"/>
          <w:szCs w:val="32"/>
        </w:rPr>
        <w:t>部、办公室),</w:t>
      </w:r>
      <w:r>
        <w:rPr>
          <w:rFonts w:hint="eastAsia" w:ascii="仿宋_GB2312" w:hAnsi="仿宋" w:eastAsia="仿宋_GB2312" w:cs="仿宋"/>
          <w:sz w:val="32"/>
          <w:szCs w:val="32"/>
          <w:lang w:val="en-US" w:eastAsia="zh-CN"/>
        </w:rPr>
        <w:t>书记员14名</w:t>
      </w:r>
      <w:r>
        <w:rPr>
          <w:rFonts w:hint="eastAsia" w:ascii="仿宋_GB2312" w:hAnsi="仿宋" w:eastAsia="仿宋_GB2312" w:cs="仿宋"/>
          <w:sz w:val="32"/>
          <w:szCs w:val="32"/>
        </w:rPr>
        <w:t>。</w:t>
      </w:r>
    </w:p>
    <w:p w14:paraId="0E266844">
      <w:pPr>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（二）部门收支预决算情况</w:t>
      </w:r>
    </w:p>
    <w:p w14:paraId="191EE65E">
      <w:pPr>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我院202</w:t>
      </w:r>
      <w:r>
        <w:rPr>
          <w:rFonts w:hint="eastAsia" w:ascii="仿宋_GB2312" w:hAnsi="仿宋" w:eastAsia="仿宋_GB2312" w:cs="仿宋"/>
          <w:sz w:val="32"/>
          <w:szCs w:val="32"/>
          <w:lang w:val="en-US" w:eastAsia="zh-CN"/>
        </w:rPr>
        <w:t>5</w:t>
      </w:r>
      <w:r>
        <w:rPr>
          <w:rFonts w:hint="eastAsia" w:ascii="仿宋_GB2312" w:hAnsi="仿宋" w:eastAsia="仿宋_GB2312" w:cs="仿宋"/>
          <w:sz w:val="32"/>
          <w:szCs w:val="32"/>
        </w:rPr>
        <w:t>年预算为</w:t>
      </w:r>
      <w:r>
        <w:rPr>
          <w:rFonts w:hint="eastAsia" w:ascii="仿宋_GB2312" w:hAnsi="仿宋" w:eastAsia="仿宋_GB2312" w:cs="仿宋"/>
          <w:sz w:val="32"/>
          <w:szCs w:val="32"/>
          <w:lang w:val="en-US" w:eastAsia="zh-CN"/>
        </w:rPr>
        <w:t>1055.89</w:t>
      </w:r>
      <w:r>
        <w:rPr>
          <w:rFonts w:hint="eastAsia" w:ascii="仿宋_GB2312" w:hAnsi="仿宋" w:eastAsia="仿宋_GB2312" w:cs="仿宋"/>
          <w:sz w:val="32"/>
          <w:szCs w:val="32"/>
        </w:rPr>
        <w:t>万元，其中财政拨款</w:t>
      </w:r>
      <w:r>
        <w:rPr>
          <w:rFonts w:hint="eastAsia" w:ascii="仿宋_GB2312" w:hAnsi="仿宋" w:eastAsia="仿宋_GB2312" w:cs="仿宋"/>
          <w:sz w:val="32"/>
          <w:szCs w:val="32"/>
          <w:lang w:val="en-US" w:eastAsia="zh-CN"/>
        </w:rPr>
        <w:t>1055.89</w:t>
      </w:r>
      <w:r>
        <w:rPr>
          <w:rFonts w:hint="eastAsia" w:ascii="仿宋_GB2312" w:hAnsi="仿宋" w:eastAsia="仿宋_GB2312" w:cs="仿宋"/>
          <w:sz w:val="32"/>
          <w:szCs w:val="32"/>
        </w:rPr>
        <w:t>万元，占总预算的100%。整体预算中，人员经费预算606.44万元，日常公用经费预算73.87万元（包含“三公经费”预算</w:t>
      </w:r>
      <w:r>
        <w:rPr>
          <w:rFonts w:hint="eastAsia" w:ascii="仿宋_GB2312" w:hAnsi="仿宋" w:eastAsia="仿宋_GB2312" w:cs="仿宋"/>
          <w:sz w:val="32"/>
          <w:szCs w:val="32"/>
          <w:lang w:val="en-US" w:eastAsia="zh-CN"/>
        </w:rPr>
        <w:t>19.6</w:t>
      </w:r>
      <w:r>
        <w:rPr>
          <w:rFonts w:hint="eastAsia" w:ascii="仿宋_GB2312" w:hAnsi="仿宋" w:eastAsia="仿宋_GB2312" w:cs="仿宋"/>
          <w:sz w:val="32"/>
          <w:szCs w:val="32"/>
        </w:rPr>
        <w:t>万元），项目经费预算375.58万元。</w:t>
      </w:r>
    </w:p>
    <w:p w14:paraId="473679FC">
      <w:pPr>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我院202</w:t>
      </w:r>
      <w:r>
        <w:rPr>
          <w:rFonts w:hint="eastAsia" w:ascii="仿宋_GB2312" w:hAnsi="仿宋" w:eastAsia="仿宋_GB2312" w:cs="仿宋"/>
          <w:sz w:val="32"/>
          <w:szCs w:val="32"/>
          <w:lang w:val="en-US" w:eastAsia="zh-CN"/>
        </w:rPr>
        <w:t>5</w:t>
      </w:r>
      <w:r>
        <w:rPr>
          <w:rFonts w:hint="eastAsia" w:ascii="仿宋_GB2312" w:hAnsi="仿宋" w:eastAsia="仿宋_GB2312" w:cs="仿宋"/>
          <w:sz w:val="32"/>
          <w:szCs w:val="32"/>
        </w:rPr>
        <w:t>年度实际收入</w:t>
      </w:r>
      <w:r>
        <w:rPr>
          <w:rFonts w:hint="eastAsia" w:ascii="仿宋_GB2312" w:hAnsi="仿宋" w:eastAsia="仿宋_GB2312" w:cs="仿宋"/>
          <w:sz w:val="32"/>
          <w:szCs w:val="32"/>
          <w:lang w:val="en-US" w:eastAsia="zh-CN"/>
        </w:rPr>
        <w:t>1055.89</w:t>
      </w:r>
      <w:r>
        <w:rPr>
          <w:rFonts w:hint="eastAsia" w:ascii="仿宋_GB2312" w:hAnsi="仿宋" w:eastAsia="仿宋_GB2312" w:cs="仿宋"/>
          <w:sz w:val="32"/>
          <w:szCs w:val="32"/>
        </w:rPr>
        <w:t>万元，其中财政拨款收入</w:t>
      </w:r>
      <w:r>
        <w:rPr>
          <w:rFonts w:hint="eastAsia" w:ascii="仿宋_GB2312" w:hAnsi="仿宋" w:eastAsia="仿宋_GB2312" w:cs="仿宋"/>
          <w:sz w:val="32"/>
          <w:szCs w:val="32"/>
          <w:lang w:val="en-US" w:eastAsia="zh-CN"/>
        </w:rPr>
        <w:t>1055.89</w:t>
      </w:r>
      <w:r>
        <w:rPr>
          <w:rFonts w:hint="eastAsia" w:ascii="仿宋_GB2312" w:hAnsi="仿宋" w:eastAsia="仿宋_GB2312" w:cs="仿宋"/>
          <w:sz w:val="32"/>
          <w:szCs w:val="32"/>
        </w:rPr>
        <w:t>万元，占总预算的</w:t>
      </w:r>
      <w:r>
        <w:rPr>
          <w:rFonts w:hint="eastAsia" w:ascii="仿宋_GB2312" w:hAnsi="仿宋" w:eastAsia="仿宋_GB2312" w:cs="仿宋"/>
          <w:sz w:val="32"/>
          <w:szCs w:val="32"/>
          <w:lang w:val="en-US" w:eastAsia="zh-CN"/>
        </w:rPr>
        <w:t>100</w:t>
      </w:r>
      <w:r>
        <w:rPr>
          <w:rFonts w:hint="eastAsia" w:ascii="仿宋_GB2312" w:hAnsi="仿宋" w:eastAsia="仿宋_GB2312" w:cs="仿宋"/>
          <w:sz w:val="32"/>
          <w:szCs w:val="32"/>
        </w:rPr>
        <w:t>%。</w:t>
      </w:r>
    </w:p>
    <w:p w14:paraId="2567925F">
      <w:pPr>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我院202</w:t>
      </w:r>
      <w:r>
        <w:rPr>
          <w:rFonts w:hint="eastAsia" w:ascii="仿宋_GB2312" w:hAnsi="仿宋" w:eastAsia="仿宋_GB2312" w:cs="仿宋"/>
          <w:sz w:val="32"/>
          <w:szCs w:val="32"/>
          <w:lang w:val="en-US" w:eastAsia="zh-CN"/>
        </w:rPr>
        <w:t>5</w:t>
      </w:r>
      <w:r>
        <w:rPr>
          <w:rFonts w:hint="eastAsia" w:ascii="仿宋_GB2312" w:hAnsi="仿宋" w:eastAsia="仿宋_GB2312" w:cs="仿宋"/>
          <w:sz w:val="32"/>
          <w:szCs w:val="32"/>
        </w:rPr>
        <w:t>年整体支出为</w:t>
      </w:r>
      <w:r>
        <w:rPr>
          <w:rFonts w:hint="eastAsia" w:ascii="仿宋_GB2312" w:hAnsi="仿宋" w:eastAsia="仿宋_GB2312" w:cs="仿宋"/>
          <w:sz w:val="32"/>
          <w:szCs w:val="32"/>
          <w:lang w:val="en-US" w:eastAsia="zh-CN"/>
        </w:rPr>
        <w:t>1019.56</w:t>
      </w:r>
      <w:r>
        <w:rPr>
          <w:rFonts w:hint="eastAsia" w:ascii="仿宋_GB2312" w:hAnsi="仿宋" w:eastAsia="仿宋_GB2312" w:cs="仿宋"/>
          <w:sz w:val="32"/>
          <w:szCs w:val="32"/>
        </w:rPr>
        <w:t>万元。</w:t>
      </w:r>
    </w:p>
    <w:p w14:paraId="028D1B72">
      <w:pPr>
        <w:spacing w:line="560" w:lineRule="exact"/>
        <w:ind w:firstLine="640"/>
        <w:rPr>
          <w:rFonts w:ascii="仿宋" w:hAnsi="仿宋" w:eastAsia="仿宋"/>
          <w:sz w:val="32"/>
          <w:szCs w:val="32"/>
        </w:rPr>
      </w:pPr>
      <w:r>
        <w:rPr>
          <w:rFonts w:hint="eastAsia" w:ascii="仿宋_GB2312" w:hAnsi="仿宋" w:eastAsia="仿宋_GB2312" w:cs="仿宋"/>
          <w:sz w:val="32"/>
          <w:szCs w:val="32"/>
        </w:rPr>
        <w:t>1.基本支出情况</w:t>
      </w:r>
    </w:p>
    <w:p w14:paraId="5D696973">
      <w:pPr>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基本支出是保障机构正常运转、完成日常工作任务而发生的支出，包括人员经费支出和日常公用经费（含“三公经费”）支出。</w:t>
      </w:r>
    </w:p>
    <w:p w14:paraId="4A3B6275">
      <w:pPr>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202</w:t>
      </w:r>
      <w:r>
        <w:rPr>
          <w:rFonts w:hint="eastAsia" w:ascii="仿宋_GB2312" w:hAnsi="仿宋" w:eastAsia="仿宋_GB2312" w:cs="仿宋"/>
          <w:sz w:val="32"/>
          <w:szCs w:val="32"/>
          <w:lang w:val="en-US" w:eastAsia="zh-CN"/>
        </w:rPr>
        <w:t>5</w:t>
      </w:r>
      <w:r>
        <w:rPr>
          <w:rFonts w:hint="eastAsia" w:ascii="仿宋_GB2312" w:hAnsi="仿宋" w:eastAsia="仿宋_GB2312" w:cs="仿宋"/>
          <w:sz w:val="32"/>
          <w:szCs w:val="32"/>
        </w:rPr>
        <w:t>年度本院基本支出</w:t>
      </w:r>
      <w:r>
        <w:rPr>
          <w:rFonts w:hint="eastAsia" w:ascii="仿宋_GB2312" w:hAnsi="仿宋" w:eastAsia="仿宋_GB2312" w:cs="仿宋"/>
          <w:sz w:val="32"/>
          <w:szCs w:val="32"/>
          <w:lang w:val="en-US" w:eastAsia="zh-CN"/>
        </w:rPr>
        <w:t>634.54</w:t>
      </w:r>
      <w:r>
        <w:rPr>
          <w:rFonts w:hint="eastAsia" w:ascii="仿宋_GB2312" w:hAnsi="仿宋" w:eastAsia="仿宋_GB2312" w:cs="仿宋"/>
          <w:sz w:val="32"/>
          <w:szCs w:val="32"/>
        </w:rPr>
        <w:t>万元，人员经费支出</w:t>
      </w:r>
      <w:r>
        <w:rPr>
          <w:rFonts w:hint="eastAsia" w:ascii="仿宋_GB2312" w:hAnsi="仿宋" w:eastAsia="仿宋_GB2312" w:cs="仿宋"/>
          <w:sz w:val="32"/>
          <w:szCs w:val="32"/>
          <w:lang w:val="en-US" w:eastAsia="zh-CN"/>
        </w:rPr>
        <w:t>564.34</w:t>
      </w:r>
      <w:r>
        <w:rPr>
          <w:rFonts w:hint="eastAsia" w:ascii="仿宋_GB2312" w:hAnsi="仿宋" w:eastAsia="仿宋_GB2312" w:cs="仿宋"/>
          <w:sz w:val="32"/>
          <w:szCs w:val="32"/>
        </w:rPr>
        <w:t>万元,占基本支出比例</w:t>
      </w:r>
      <w:r>
        <w:rPr>
          <w:rFonts w:hint="eastAsia" w:ascii="仿宋_GB2312" w:hAnsi="仿宋" w:eastAsia="仿宋_GB2312" w:cs="仿宋"/>
          <w:sz w:val="32"/>
          <w:szCs w:val="32"/>
          <w:lang w:val="en-US" w:eastAsia="zh-CN"/>
        </w:rPr>
        <w:t>88.94</w:t>
      </w:r>
      <w:r>
        <w:rPr>
          <w:rFonts w:hint="eastAsia" w:ascii="仿宋_GB2312" w:hAnsi="仿宋" w:eastAsia="仿宋_GB2312" w:cs="仿宋"/>
          <w:sz w:val="32"/>
          <w:szCs w:val="32"/>
        </w:rPr>
        <w:t>%，日常公用经费支出</w:t>
      </w:r>
      <w:r>
        <w:rPr>
          <w:rFonts w:hint="eastAsia" w:ascii="仿宋_GB2312" w:hAnsi="仿宋" w:eastAsia="仿宋_GB2312" w:cs="仿宋"/>
          <w:sz w:val="32"/>
          <w:szCs w:val="32"/>
          <w:lang w:val="en-US" w:eastAsia="zh-CN"/>
        </w:rPr>
        <w:t>70.19</w:t>
      </w:r>
      <w:r>
        <w:rPr>
          <w:rFonts w:hint="eastAsia" w:ascii="仿宋_GB2312" w:hAnsi="仿宋" w:eastAsia="仿宋_GB2312" w:cs="仿宋"/>
          <w:sz w:val="32"/>
          <w:szCs w:val="32"/>
        </w:rPr>
        <w:t>万元，占基本支出比例</w:t>
      </w:r>
      <w:r>
        <w:rPr>
          <w:rFonts w:hint="eastAsia" w:ascii="仿宋_GB2312" w:hAnsi="仿宋" w:eastAsia="仿宋_GB2312" w:cs="仿宋"/>
          <w:sz w:val="32"/>
          <w:szCs w:val="32"/>
          <w:lang w:val="en-US" w:eastAsia="zh-CN"/>
        </w:rPr>
        <w:t>11.06</w:t>
      </w:r>
      <w:r>
        <w:rPr>
          <w:rFonts w:hint="eastAsia" w:ascii="仿宋_GB2312" w:hAnsi="仿宋" w:eastAsia="仿宋_GB2312" w:cs="仿宋"/>
          <w:sz w:val="32"/>
          <w:szCs w:val="32"/>
        </w:rPr>
        <w:t>%。其中，“三公”经费支出为</w:t>
      </w:r>
      <w:r>
        <w:rPr>
          <w:rFonts w:hint="eastAsia" w:ascii="仿宋_GB2312" w:hAnsi="仿宋" w:eastAsia="仿宋_GB2312" w:cs="仿宋"/>
          <w:sz w:val="32"/>
          <w:szCs w:val="32"/>
          <w:lang w:val="en-US" w:eastAsia="zh-CN"/>
        </w:rPr>
        <w:t>19.6</w:t>
      </w:r>
      <w:r>
        <w:rPr>
          <w:rFonts w:hint="eastAsia" w:ascii="仿宋_GB2312" w:hAnsi="仿宋" w:eastAsia="仿宋_GB2312" w:cs="仿宋"/>
          <w:sz w:val="32"/>
          <w:szCs w:val="32"/>
        </w:rPr>
        <w:t>万元，占日常公用经费支出比例为</w:t>
      </w:r>
      <w:r>
        <w:rPr>
          <w:rFonts w:hint="eastAsia" w:ascii="仿宋_GB2312" w:hAnsi="仿宋" w:eastAsia="仿宋_GB2312" w:cs="仿宋"/>
          <w:sz w:val="32"/>
          <w:szCs w:val="32"/>
          <w:lang w:val="en-US" w:eastAsia="zh-CN"/>
        </w:rPr>
        <w:t>27.92</w:t>
      </w:r>
      <w:r>
        <w:rPr>
          <w:rFonts w:hint="eastAsia" w:ascii="仿宋_GB2312" w:hAnsi="仿宋" w:eastAsia="仿宋_GB2312" w:cs="仿宋"/>
          <w:sz w:val="32"/>
          <w:szCs w:val="32"/>
        </w:rPr>
        <w:t>%。</w:t>
      </w:r>
    </w:p>
    <w:p w14:paraId="563883D0">
      <w:pPr>
        <w:spacing w:line="560" w:lineRule="exact"/>
        <w:ind w:firstLine="640" w:firstLineChars="200"/>
        <w:rPr>
          <w:rFonts w:hint="eastAsia" w:ascii="仿宋_GB2312" w:hAnsi="仿宋" w:eastAsia="仿宋_GB2312" w:cs="仿宋"/>
          <w:sz w:val="32"/>
          <w:szCs w:val="32"/>
        </w:rPr>
      </w:pPr>
    </w:p>
    <w:p w14:paraId="6D4D8D18">
      <w:pPr>
        <w:adjustRightInd w:val="0"/>
        <w:snapToGrid w:val="0"/>
        <w:spacing w:line="560" w:lineRule="exact"/>
        <w:rPr>
          <w:rFonts w:ascii="楷体" w:hAnsi="楷体" w:eastAsia="楷体" w:cs="楷体_GB2312"/>
          <w:bCs/>
          <w:sz w:val="32"/>
          <w:szCs w:val="32"/>
        </w:rPr>
      </w:pPr>
      <w:r>
        <w:rPr>
          <w:rFonts w:hint="eastAsia" w:ascii="楷体" w:hAnsi="楷体" w:eastAsia="楷体" w:cs="楷体_GB2312"/>
          <w:bCs/>
          <w:sz w:val="32"/>
          <w:szCs w:val="32"/>
        </w:rPr>
        <w:t>（三）部门整体支出绩效目标、指标</w:t>
      </w:r>
    </w:p>
    <w:p w14:paraId="4EB2BE11">
      <w:pPr>
        <w:spacing w:line="560" w:lineRule="exact"/>
        <w:ind w:firstLine="640" w:firstLineChars="200"/>
        <w:rPr>
          <w:rFonts w:hint="eastAsia" w:ascii="仿宋_GB2312" w:hAnsi="仿宋" w:eastAsia="仿宋_GB2312" w:cs="仿宋"/>
          <w:sz w:val="32"/>
          <w:szCs w:val="32"/>
        </w:rPr>
      </w:pPr>
      <w:bookmarkStart w:id="0" w:name="_Toc63775777"/>
      <w:bookmarkStart w:id="1" w:name="_Toc_2_2_0000000002"/>
      <w:r>
        <w:rPr>
          <w:rFonts w:hint="eastAsia" w:ascii="仿宋_GB2312" w:hAnsi="仿宋" w:eastAsia="仿宋_GB2312" w:cs="仿宋"/>
          <w:sz w:val="32"/>
          <w:szCs w:val="32"/>
        </w:rPr>
        <w:t>1、总体绩效目</w:t>
      </w:r>
      <w:bookmarkEnd w:id="0"/>
      <w:r>
        <w:rPr>
          <w:rFonts w:hint="eastAsia" w:ascii="仿宋_GB2312" w:hAnsi="仿宋" w:eastAsia="仿宋_GB2312" w:cs="仿宋"/>
          <w:sz w:val="32"/>
          <w:szCs w:val="32"/>
        </w:rPr>
        <w:t>标</w:t>
      </w:r>
    </w:p>
    <w:p w14:paraId="1E0067E8">
      <w:pPr>
        <w:spacing w:line="560" w:lineRule="exact"/>
        <w:ind w:firstLine="640" w:firstLineChars="20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始终坚持以习近平新时代中国特色社会主义思想为指导，深入贯彻党的二十大精神，全面贯彻习近平法治思想，坚决贯彻习近平总书记视察河北、视察石家庄重要讲话和重要指示精神，认真落实《中共中央关于加强新时代检察机关法律监督工作的意见》，坚持为大局服务、为人民司法、为法治担当，以全面加快建设滨河生态新城、现代美丽灵寿为中心，全面履行检察职责，各项检察工作实现质效新提升。</w:t>
      </w:r>
    </w:p>
    <w:p w14:paraId="1B479CBE">
      <w:pPr>
        <w:spacing w:line="560" w:lineRule="exact"/>
        <w:ind w:firstLine="640" w:firstLineChars="20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2、分项绩效目标</w:t>
      </w:r>
      <w:bookmarkEnd w:id="1"/>
    </w:p>
    <w:p w14:paraId="3CB2C289">
      <w:pPr>
        <w:snapToGrid w:val="0"/>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坚持为人民司法，在解决群众急难愁盼中坚守检察初心。</w:t>
      </w:r>
    </w:p>
    <w:p w14:paraId="4D7872F7">
      <w:pPr>
        <w:snapToGrid w:val="0"/>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绩效目标：始终牢记“江山就是人民，人民就是江山”，深入落实习近平总书记以人民为中心的发展思想，扎实办好检察为民实事，不断厚植党的执政根基。</w:t>
      </w:r>
    </w:p>
    <w:p w14:paraId="33331177">
      <w:pPr>
        <w:snapToGrid w:val="0"/>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绩效指标：努力提升办案质效和检察公信力，深化检务公开，通过办理案件，稳定社会环境，收到良好的社会效果，通过项目实施促讲社会稳定水平明显提高。</w:t>
      </w:r>
    </w:p>
    <w:p w14:paraId="588B0ADB">
      <w:pPr>
        <w:snapToGrid w:val="0"/>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坚持为法治担当，在维护公平正义中践行检察使命。</w:t>
      </w:r>
    </w:p>
    <w:p w14:paraId="6E1ACFCF">
      <w:pPr>
        <w:snapToGrid w:val="0"/>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绩效目标：始终坚持宪法定位，在制约监督中依法能动履职，一体推进严格执法、公正司法，不断保障和满足新时代、新征程人民群众对公平、正义等方面的更高需求。</w:t>
      </w:r>
    </w:p>
    <w:p w14:paraId="596AFCD8">
      <w:pPr>
        <w:snapToGrid w:val="0"/>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绩效指标：加强与人大代表、政协委员和社会各界的常态化联系，主动通报检察工作情况，接受监督。积极参与县域社会治理现代化，针对案件反映出的倾向性问题和管理漏洞，及时提出检察建议。</w:t>
      </w:r>
    </w:p>
    <w:p w14:paraId="64E78196">
      <w:pPr>
        <w:snapToGrid w:val="0"/>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适应信息化发展新趋势，保证办公办案安全。</w:t>
      </w:r>
    </w:p>
    <w:p w14:paraId="069132ED">
      <w:pPr>
        <w:snapToGrid w:val="0"/>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绩效目标：始终注重强基导向，以学习贯彻习近平新时代中国特色社会主义思想主题教育为主线，融合推进检察机关政治建设、业务建设和职业道德建设。</w:t>
      </w:r>
    </w:p>
    <w:p w14:paraId="11B23E0E">
      <w:pPr>
        <w:snapToGrid w:val="0"/>
        <w:spacing w:line="560" w:lineRule="exact"/>
        <w:ind w:firstLine="640" w:firstLineChars="200"/>
        <w:rPr>
          <w:rFonts w:hint="eastAsia" w:ascii="仿宋" w:hAnsi="仿宋" w:eastAsia="仿宋" w:cs="仿宋"/>
          <w:sz w:val="32"/>
          <w:szCs w:val="32"/>
        </w:rPr>
      </w:pPr>
      <w:r>
        <w:rPr>
          <w:rFonts w:hint="eastAsia" w:ascii="仿宋_GB2312" w:hAnsi="仿宋" w:eastAsia="仿宋_GB2312" w:cs="仿宋"/>
          <w:sz w:val="32"/>
          <w:szCs w:val="32"/>
        </w:rPr>
        <w:t>绩效指标：加强干警的党性修养和政治理论素养，提高干警综合素质，严守党的政治纪律和政治规矩，把学习教育贯穿始终，保障各类学习教育活动顺利开展，不断提高我院检察干警的政治素质、业务素质、职业道德素质。</w:t>
      </w:r>
    </w:p>
    <w:p w14:paraId="3D1C9FFC">
      <w:pPr>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（二）自评的方法和过程</w:t>
      </w:r>
    </w:p>
    <w:p w14:paraId="383196F2">
      <w:pPr>
        <w:snapToGrid w:val="0"/>
        <w:spacing w:line="560" w:lineRule="exact"/>
        <w:ind w:firstLine="640" w:firstLineChars="200"/>
        <w:rPr>
          <w:rFonts w:hint="eastAsia" w:ascii="仿宋" w:hAnsi="仿宋" w:eastAsia="仿宋" w:cs="仿宋"/>
          <w:sz w:val="32"/>
          <w:szCs w:val="32"/>
        </w:rPr>
      </w:pPr>
      <w:r>
        <w:rPr>
          <w:rFonts w:hint="eastAsia" w:ascii="仿宋_GB2312" w:hAnsi="仿宋" w:eastAsia="仿宋_GB2312" w:cs="仿宋"/>
          <w:sz w:val="32"/>
          <w:szCs w:val="32"/>
        </w:rPr>
        <w:t>1.评价方法</w:t>
      </w:r>
    </w:p>
    <w:p w14:paraId="5596175C">
      <w:pPr>
        <w:snapToGrid w:val="0"/>
        <w:spacing w:line="560" w:lineRule="exact"/>
        <w:ind w:firstLine="640" w:firstLineChars="200"/>
        <w:rPr>
          <w:rFonts w:ascii="仿宋" w:hAnsi="仿宋" w:eastAsia="仿宋" w:cs="仿宋"/>
          <w:sz w:val="32"/>
          <w:szCs w:val="32"/>
        </w:rPr>
      </w:pPr>
      <w:r>
        <w:rPr>
          <w:rFonts w:hint="eastAsia" w:ascii="仿宋_GB2312" w:hAnsi="仿宋" w:eastAsia="仿宋_GB2312" w:cs="仿宋"/>
          <w:sz w:val="32"/>
          <w:szCs w:val="32"/>
        </w:rPr>
        <w:t>根据相关资料及项目特点，采取定量分析与定性分析相结合，运用因素分析法、比较分析法、现场核查法、访谈等方法开展评价工作。从预算编制、预算执行、绩效目标完成情况、绩效目标设置质量等方面进行了综合评价。</w:t>
      </w:r>
    </w:p>
    <w:p w14:paraId="0255DCE3">
      <w:pPr>
        <w:snapToGrid w:val="0"/>
        <w:spacing w:line="560" w:lineRule="exact"/>
        <w:ind w:firstLine="640" w:firstLineChars="200"/>
        <w:rPr>
          <w:rFonts w:hint="eastAsia" w:ascii="仿宋" w:hAnsi="仿宋" w:eastAsia="仿宋" w:cs="仿宋"/>
          <w:sz w:val="32"/>
          <w:szCs w:val="32"/>
        </w:rPr>
      </w:pPr>
      <w:r>
        <w:rPr>
          <w:rFonts w:hint="eastAsia" w:ascii="仿宋_GB2312" w:hAnsi="仿宋" w:eastAsia="仿宋_GB2312" w:cs="仿宋"/>
          <w:sz w:val="32"/>
          <w:szCs w:val="32"/>
        </w:rPr>
        <w:t>2.实施过程</w:t>
      </w:r>
    </w:p>
    <w:p w14:paraId="18AABE9A">
      <w:pPr>
        <w:snapToGrid w:val="0"/>
        <w:spacing w:line="560" w:lineRule="exact"/>
        <w:ind w:firstLine="640" w:firstLineChars="200"/>
        <w:rPr>
          <w:rFonts w:ascii="仿宋" w:hAnsi="仿宋" w:eastAsia="仿宋" w:cs="仿宋"/>
          <w:sz w:val="32"/>
          <w:szCs w:val="32"/>
        </w:rPr>
      </w:pPr>
      <w:r>
        <w:rPr>
          <w:rFonts w:hint="eastAsia" w:ascii="仿宋_GB2312" w:hAnsi="仿宋" w:eastAsia="仿宋_GB2312" w:cs="仿宋"/>
          <w:sz w:val="32"/>
          <w:szCs w:val="32"/>
        </w:rPr>
        <w:t>本次绩效评价工作过程包括前期准备、组织实施、撰写评价报告三个阶段。</w:t>
      </w:r>
    </w:p>
    <w:p w14:paraId="0EEC1757">
      <w:pPr>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(1)前期准备</w:t>
      </w:r>
    </w:p>
    <w:p w14:paraId="6BD569BE">
      <w:pPr>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一是按照绩效评价工作要求，明确绩效评价的内容和范围，初步制定绩效评价工作方案。二是召开座谈会，对工作方案进行反复讨论并广泛征求相关部门和有关人员意见。三是对我院各预算项目单独进行打分自评，在资料搜集、信息核实、现场调研、访谈沟通等工作的基础上，得出绩效数据，准确计量和评判各项目实施后产生的经济效益、生态效益、社会效益和可持续影响，为最终形成评价结论奠定基础。</w:t>
      </w:r>
    </w:p>
    <w:p w14:paraId="4DBC708A">
      <w:pPr>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(2)组织实施</w:t>
      </w:r>
    </w:p>
    <w:p w14:paraId="1A7C7539">
      <w:pPr>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评价工作小组对项目绩效目标的相关佐证材料进行收集、梳理。第一，对相关资料进行查阅、核实、分析，确保所提供数据和资料真实、可靠。第二，将项目资料按照评价体系指标分类，形成资料清单。第三，逐一梳理各文件内容，对存在的问题予以说明。第四，与相关人员进行沟通，对照核实资料清单，确保项目资料完整性，保证项目资料、实施流程、存在的问题及重点信息同时展现。</w:t>
      </w:r>
    </w:p>
    <w:p w14:paraId="795F8C52">
      <w:pPr>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小组成员根据项目实际情况，建立绩效评价指标体系，并通过分析收集的数据、资料，对项目的实施进行评分，形成项目绩效评分表。</w:t>
      </w:r>
    </w:p>
    <w:p w14:paraId="40750B6E">
      <w:pPr>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(3)撰写绩效评价报告</w:t>
      </w:r>
    </w:p>
    <w:p w14:paraId="30EEF0A9">
      <w:pPr>
        <w:spacing w:line="560" w:lineRule="exact"/>
        <w:ind w:firstLine="640" w:firstLineChars="200"/>
        <w:rPr>
          <w:rFonts w:hint="eastAsia" w:ascii="仿宋_GB2312" w:hAnsi="仿宋" w:eastAsia="仿宋_GB2312" w:cs="仿宋"/>
          <w:sz w:val="32"/>
          <w:szCs w:val="32"/>
          <w:lang w:val="en-US" w:eastAsia="zh-CN"/>
        </w:rPr>
        <w:sectPr>
          <w:pgSz w:w="11900" w:h="16840"/>
          <w:pgMar w:top="1361" w:right="1020" w:bottom="1361" w:left="1020" w:header="720" w:footer="720" w:gutter="0"/>
          <w:pgNumType w:start="1"/>
          <w:cols w:space="720" w:num="1"/>
        </w:sectPr>
      </w:pPr>
      <w:r>
        <w:rPr>
          <w:rFonts w:hint="eastAsia" w:ascii="仿宋_GB2312" w:hAnsi="仿宋" w:eastAsia="仿宋_GB2312" w:cs="仿宋"/>
          <w:sz w:val="32"/>
          <w:szCs w:val="32"/>
        </w:rPr>
        <w:t xml:space="preserve">根据项目绩效评价结果，撰写绩效评价报告，并形成绩效评价档案。   </w:t>
      </w:r>
    </w:p>
    <w:p w14:paraId="1EC8E2F1">
      <w:pPr>
        <w:spacing w:line="560" w:lineRule="exact"/>
        <w:rPr>
          <w:rFonts w:ascii="黑体" w:hAnsi="黑体" w:eastAsia="黑体"/>
          <w:b/>
          <w:bCs/>
          <w:sz w:val="32"/>
          <w:szCs w:val="32"/>
        </w:rPr>
      </w:pPr>
      <w:r>
        <w:rPr>
          <w:rFonts w:hint="eastAsia" w:ascii="黑体" w:hAnsi="黑体" w:eastAsia="黑体"/>
          <w:sz w:val="32"/>
          <w:szCs w:val="32"/>
        </w:rPr>
        <w:t xml:space="preserve">    三、部门整体支出绩效目标实现情况及指标分析</w:t>
      </w:r>
    </w:p>
    <w:p w14:paraId="5EF4E33F">
      <w:pPr>
        <w:numPr>
          <w:ilvl w:val="0"/>
          <w:numId w:val="1"/>
        </w:numPr>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总体绩效目标实现情况</w:t>
      </w:r>
    </w:p>
    <w:p w14:paraId="1A4E3474">
      <w:pPr>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lang w:val="en-US" w:eastAsia="zh-CN"/>
        </w:rPr>
        <w:t>2025年，</w:t>
      </w:r>
      <w:r>
        <w:rPr>
          <w:rFonts w:hint="eastAsia" w:ascii="仿宋_GB2312" w:hAnsi="仿宋" w:eastAsia="仿宋_GB2312" w:cs="仿宋"/>
          <w:sz w:val="32"/>
          <w:szCs w:val="32"/>
        </w:rPr>
        <w:t>县检察院在县委和</w:t>
      </w:r>
      <w:r>
        <w:rPr>
          <w:rFonts w:hint="eastAsia" w:ascii="仿宋_GB2312" w:hAnsi="仿宋" w:eastAsia="仿宋_GB2312" w:cs="仿宋"/>
          <w:sz w:val="32"/>
          <w:szCs w:val="32"/>
          <w:lang w:val="en-US" w:eastAsia="zh-CN"/>
        </w:rPr>
        <w:t>市检察院的坚强</w:t>
      </w:r>
      <w:r>
        <w:rPr>
          <w:rFonts w:hint="eastAsia" w:ascii="仿宋_GB2312" w:hAnsi="仿宋" w:eastAsia="仿宋_GB2312" w:cs="仿宋"/>
          <w:sz w:val="32"/>
          <w:szCs w:val="32"/>
        </w:rPr>
        <w:t>领导下，</w:t>
      </w:r>
      <w:r>
        <w:rPr>
          <w:rFonts w:hint="eastAsia" w:ascii="仿宋_GB2312" w:hAnsi="仿宋" w:eastAsia="仿宋_GB2312" w:cs="仿宋"/>
          <w:sz w:val="32"/>
          <w:szCs w:val="32"/>
          <w:lang w:val="en-US" w:eastAsia="zh-CN"/>
        </w:rPr>
        <w:t>在县人大及其常委会的有力监督下，</w:t>
      </w:r>
      <w:r>
        <w:rPr>
          <w:rFonts w:hint="eastAsia" w:ascii="仿宋_GB2312" w:hAnsi="仿宋" w:eastAsia="仿宋_GB2312" w:cs="仿宋"/>
          <w:sz w:val="32"/>
          <w:szCs w:val="32"/>
        </w:rPr>
        <w:t>在县政府的鼎力支持、县政协的民主监督以及各位代表</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社会各界的关心关怀下，</w:t>
      </w:r>
      <w:r>
        <w:rPr>
          <w:rFonts w:hint="eastAsia" w:ascii="仿宋_GB2312" w:hAnsi="仿宋" w:eastAsia="仿宋_GB2312" w:cs="仿宋"/>
          <w:sz w:val="32"/>
          <w:szCs w:val="32"/>
          <w:lang w:val="en-US" w:eastAsia="zh-CN"/>
        </w:rPr>
        <w:t>始终坚持以习近平新时代中国特色社会主义思想为指导，深入学习贯彻党的二十大和二十届历次全会精神，</w:t>
      </w:r>
      <w:r>
        <w:rPr>
          <w:rFonts w:hint="default" w:ascii="仿宋_GB2312" w:hAnsi="仿宋" w:eastAsia="仿宋_GB2312" w:cs="仿宋"/>
          <w:sz w:val="32"/>
          <w:szCs w:val="32"/>
          <w:lang w:val="en-US" w:eastAsia="zh-CN"/>
        </w:rPr>
        <w:t>以“高质效办好每一个案件”为价值追求，依法全面履行法律监督职能，各项工作取得新进展。全年办理各类案件</w:t>
      </w:r>
      <w:r>
        <w:rPr>
          <w:rFonts w:hint="eastAsia" w:ascii="仿宋_GB2312" w:hAnsi="仿宋" w:eastAsia="仿宋_GB2312" w:cs="仿宋"/>
          <w:sz w:val="32"/>
          <w:szCs w:val="32"/>
          <w:lang w:val="en-US" w:eastAsia="zh-CN"/>
        </w:rPr>
        <w:t>633</w:t>
      </w:r>
      <w:r>
        <w:rPr>
          <w:rFonts w:hint="default" w:ascii="仿宋_GB2312" w:hAnsi="仿宋" w:eastAsia="仿宋_GB2312" w:cs="仿宋"/>
          <w:sz w:val="32"/>
          <w:szCs w:val="32"/>
          <w:lang w:val="en-US" w:eastAsia="zh-CN"/>
        </w:rPr>
        <w:t>件</w:t>
      </w:r>
      <w:r>
        <w:rPr>
          <w:rFonts w:hint="eastAsia" w:ascii="仿宋_GB2312" w:hAnsi="仿宋" w:eastAsia="仿宋_GB2312" w:cs="仿宋"/>
          <w:sz w:val="32"/>
          <w:szCs w:val="32"/>
          <w:lang w:val="en-US" w:eastAsia="zh-CN"/>
        </w:rPr>
        <w:t>，其中刑事案件462件、行政案件81件、民事案件36件、公益诉讼54件，获得省级荣誉5个，市级荣誉1个，县级荣誉4个。</w:t>
      </w:r>
    </w:p>
    <w:p w14:paraId="4602A870">
      <w:pPr>
        <w:spacing w:line="560" w:lineRule="exact"/>
        <w:rPr>
          <w:rFonts w:ascii="楷体" w:hAnsi="楷体" w:eastAsia="楷体"/>
          <w:bCs/>
          <w:sz w:val="32"/>
          <w:szCs w:val="32"/>
        </w:rPr>
      </w:pPr>
      <w:r>
        <w:rPr>
          <w:rFonts w:hint="eastAsia" w:ascii="仿宋" w:hAnsi="仿宋" w:eastAsia="仿宋" w:cs="楷体_GB2312"/>
          <w:b/>
          <w:bCs/>
          <w:sz w:val="32"/>
          <w:szCs w:val="32"/>
        </w:rPr>
        <w:t xml:space="preserve">    </w:t>
      </w:r>
      <w:r>
        <w:rPr>
          <w:rFonts w:hint="eastAsia" w:ascii="楷体" w:hAnsi="楷体" w:eastAsia="楷体" w:cs="楷体_GB2312"/>
          <w:bCs/>
          <w:sz w:val="32"/>
          <w:szCs w:val="32"/>
        </w:rPr>
        <w:t>（二）分项绩效目标实现情况及指标分析</w:t>
      </w:r>
    </w:p>
    <w:p w14:paraId="0B8D5570">
      <w:pPr>
        <w:numPr>
          <w:ilvl w:val="0"/>
          <w:numId w:val="0"/>
        </w:numPr>
        <w:spacing w:line="560" w:lineRule="exact"/>
        <w:rPr>
          <w:rFonts w:hint="eastAsia" w:ascii="仿宋_GB2312" w:hAnsi="仿宋" w:eastAsia="仿宋_GB2312" w:cs="仿宋"/>
          <w:sz w:val="32"/>
          <w:szCs w:val="32"/>
        </w:rPr>
      </w:pPr>
      <w:r>
        <w:rPr>
          <w:rFonts w:hint="eastAsia" w:ascii="仿宋_GB2312" w:hAnsi="仿宋_GB2312" w:eastAsia="仿宋_GB2312" w:cs="仿宋_GB2312"/>
          <w:color w:val="000000"/>
          <w:kern w:val="0"/>
          <w:sz w:val="31"/>
          <w:szCs w:val="31"/>
          <w:lang w:val="en-US" w:eastAsia="zh-CN" w:bidi="ar"/>
        </w:rPr>
        <w:t>1.单位运转保障经费</w:t>
      </w:r>
      <w:r>
        <w:rPr>
          <w:rFonts w:ascii="仿宋_GB2312" w:hAnsi="仿宋_GB2312" w:eastAsia="仿宋_GB2312" w:cs="仿宋_GB2312"/>
          <w:color w:val="000000"/>
          <w:kern w:val="0"/>
          <w:sz w:val="31"/>
          <w:szCs w:val="31"/>
          <w:lang w:val="en-US" w:eastAsia="zh-CN" w:bidi="ar"/>
        </w:rPr>
        <w:t>，</w:t>
      </w:r>
      <w:r>
        <w:rPr>
          <w:rFonts w:hint="eastAsia" w:ascii="仿宋_GB2312" w:hAnsi="仿宋" w:eastAsia="仿宋_GB2312" w:cs="仿宋"/>
          <w:sz w:val="32"/>
          <w:szCs w:val="32"/>
        </w:rPr>
        <w:t>支出自评综述：</w:t>
      </w:r>
      <w:r>
        <w:rPr>
          <w:rFonts w:hint="eastAsia" w:ascii="仿宋_GB2312" w:hAnsi="仿宋" w:eastAsia="仿宋_GB2312" w:cs="仿宋"/>
          <w:sz w:val="32"/>
          <w:szCs w:val="32"/>
          <w:lang w:val="en-US" w:eastAsia="zh-CN"/>
        </w:rPr>
        <w:t>为保障办公大楼正常运行，保障检察工作顺利开展</w:t>
      </w:r>
      <w:r>
        <w:rPr>
          <w:rFonts w:hint="eastAsia" w:ascii="仿宋_GB2312" w:hAnsi="仿宋" w:eastAsia="仿宋_GB2312" w:cs="仿宋"/>
          <w:sz w:val="32"/>
          <w:szCs w:val="32"/>
        </w:rPr>
        <w:t>，项目支出自评得分为</w:t>
      </w:r>
      <w:r>
        <w:rPr>
          <w:rFonts w:hint="eastAsia" w:ascii="仿宋_GB2312" w:hAnsi="仿宋" w:eastAsia="仿宋_GB2312" w:cs="仿宋"/>
          <w:sz w:val="32"/>
          <w:szCs w:val="32"/>
          <w:lang w:val="en-US" w:eastAsia="zh-CN"/>
        </w:rPr>
        <w:t>91</w:t>
      </w:r>
      <w:r>
        <w:rPr>
          <w:rFonts w:hint="eastAsia" w:ascii="仿宋_GB2312" w:hAnsi="仿宋" w:eastAsia="仿宋_GB2312" w:cs="仿宋"/>
          <w:sz w:val="32"/>
          <w:szCs w:val="32"/>
        </w:rPr>
        <w:t>分。全年预算数为</w:t>
      </w:r>
      <w:r>
        <w:rPr>
          <w:rFonts w:hint="eastAsia" w:ascii="仿宋_GB2312" w:hAnsi="仿宋" w:eastAsia="仿宋_GB2312" w:cs="仿宋"/>
          <w:sz w:val="32"/>
          <w:szCs w:val="32"/>
          <w:lang w:val="en-US" w:eastAsia="zh-CN"/>
        </w:rPr>
        <w:t>11.19</w:t>
      </w:r>
      <w:r>
        <w:rPr>
          <w:rFonts w:hint="eastAsia" w:ascii="仿宋_GB2312" w:hAnsi="仿宋" w:eastAsia="仿宋_GB2312" w:cs="仿宋"/>
          <w:sz w:val="32"/>
          <w:szCs w:val="32"/>
        </w:rPr>
        <w:t>万元，执行数为</w:t>
      </w:r>
      <w:r>
        <w:rPr>
          <w:rFonts w:hint="eastAsia" w:ascii="仿宋_GB2312" w:hAnsi="仿宋" w:eastAsia="仿宋_GB2312" w:cs="仿宋"/>
          <w:sz w:val="32"/>
          <w:szCs w:val="32"/>
          <w:lang w:val="en-US" w:eastAsia="zh-CN"/>
        </w:rPr>
        <w:t>11.19</w:t>
      </w:r>
      <w:r>
        <w:rPr>
          <w:rFonts w:hint="eastAsia" w:ascii="仿宋_GB2312" w:hAnsi="仿宋" w:eastAsia="仿宋_GB2312" w:cs="仿宋"/>
          <w:sz w:val="32"/>
          <w:szCs w:val="32"/>
        </w:rPr>
        <w:t>万元，项目绩效完成情况：优秀。发现的主要问题：无。下一步改进措施：优化项目支付进度。</w:t>
      </w:r>
    </w:p>
    <w:p w14:paraId="03ABE094">
      <w:pPr>
        <w:numPr>
          <w:ilvl w:val="0"/>
          <w:numId w:val="0"/>
        </w:numPr>
        <w:spacing w:line="560" w:lineRule="exact"/>
        <w:rPr>
          <w:rFonts w:hint="eastAsia" w:ascii="仿宋_GB2312" w:hAnsi="仿宋" w:eastAsia="仿宋_GB2312" w:cs="仿宋"/>
          <w:sz w:val="32"/>
          <w:szCs w:val="32"/>
        </w:rPr>
      </w:pPr>
      <w:r>
        <w:rPr>
          <w:rFonts w:hint="eastAsia" w:ascii="仿宋_GB2312" w:hAnsi="仿宋_GB2312" w:eastAsia="仿宋_GB2312" w:cs="仿宋_GB2312"/>
          <w:color w:val="000000"/>
          <w:kern w:val="0"/>
          <w:sz w:val="31"/>
          <w:szCs w:val="31"/>
          <w:lang w:val="en-US" w:eastAsia="zh-CN" w:bidi="ar"/>
        </w:rPr>
        <w:t>2.2025年扫黑除恶斗争专项经费</w:t>
      </w:r>
      <w:r>
        <w:rPr>
          <w:rFonts w:ascii="仿宋_GB2312" w:hAnsi="仿宋_GB2312" w:eastAsia="仿宋_GB2312" w:cs="仿宋_GB2312"/>
          <w:color w:val="000000"/>
          <w:kern w:val="0"/>
          <w:sz w:val="31"/>
          <w:szCs w:val="31"/>
          <w:lang w:val="en-US" w:eastAsia="zh-CN" w:bidi="ar"/>
        </w:rPr>
        <w:t>，主要用于</w:t>
      </w:r>
      <w:r>
        <w:rPr>
          <w:rFonts w:hint="eastAsia" w:ascii="仿宋_GB2312" w:hAnsi="仿宋_GB2312" w:eastAsia="仿宋_GB2312" w:cs="仿宋_GB2312"/>
          <w:color w:val="000000"/>
          <w:kern w:val="0"/>
          <w:sz w:val="31"/>
          <w:szCs w:val="31"/>
          <w:lang w:val="en-US" w:eastAsia="zh-CN" w:bidi="ar"/>
        </w:rPr>
        <w:t>扫黑除恶工作专项督导；对重大、复杂的涉黑涉恶案件线索进行研讨会商以及评查等；举报奖励；常态化扫黑除恶斗争的宣传、培训、群众满意度调查等</w:t>
      </w:r>
      <w:r>
        <w:rPr>
          <w:rFonts w:ascii="仿宋_GB2312" w:hAnsi="仿宋_GB2312" w:eastAsia="仿宋_GB2312" w:cs="仿宋_GB2312"/>
          <w:color w:val="000000"/>
          <w:kern w:val="0"/>
          <w:sz w:val="31"/>
          <w:szCs w:val="31"/>
          <w:lang w:val="en-US" w:eastAsia="zh-CN" w:bidi="ar"/>
        </w:rPr>
        <w:t xml:space="preserve">。项目绩效目标全部完成，项目自评 </w:t>
      </w:r>
      <w:r>
        <w:rPr>
          <w:rFonts w:hint="eastAsia" w:ascii="仿宋_GB2312" w:hAnsi="仿宋_GB2312" w:eastAsia="仿宋_GB2312" w:cs="仿宋_GB2312"/>
          <w:color w:val="000000"/>
          <w:kern w:val="0"/>
          <w:sz w:val="31"/>
          <w:szCs w:val="31"/>
          <w:lang w:val="en-US" w:eastAsia="zh-CN" w:bidi="ar"/>
        </w:rPr>
        <w:t>92</w:t>
      </w:r>
      <w:r>
        <w:rPr>
          <w:rFonts w:ascii="仿宋_GB2312" w:hAnsi="仿宋_GB2312" w:eastAsia="仿宋_GB2312" w:cs="仿宋_GB2312"/>
          <w:color w:val="000000"/>
          <w:kern w:val="0"/>
          <w:sz w:val="31"/>
          <w:szCs w:val="31"/>
          <w:lang w:val="en-US" w:eastAsia="zh-CN" w:bidi="ar"/>
        </w:rPr>
        <w:t xml:space="preserve"> 分。 </w:t>
      </w:r>
      <w:r>
        <w:rPr>
          <w:rFonts w:hint="eastAsia" w:ascii="仿宋_GB2312" w:hAnsi="仿宋" w:eastAsia="仿宋_GB2312" w:cs="仿宋"/>
          <w:sz w:val="32"/>
          <w:szCs w:val="32"/>
        </w:rPr>
        <w:t>全年预算数为</w:t>
      </w:r>
      <w:r>
        <w:rPr>
          <w:rFonts w:hint="eastAsia" w:ascii="仿宋_GB2312" w:hAnsi="仿宋" w:eastAsia="仿宋_GB2312" w:cs="仿宋"/>
          <w:sz w:val="32"/>
          <w:szCs w:val="32"/>
          <w:lang w:val="en-US" w:eastAsia="zh-CN"/>
        </w:rPr>
        <w:t>2.7</w:t>
      </w:r>
      <w:r>
        <w:rPr>
          <w:rFonts w:hint="eastAsia" w:ascii="仿宋_GB2312" w:hAnsi="仿宋" w:eastAsia="仿宋_GB2312" w:cs="仿宋"/>
          <w:sz w:val="32"/>
          <w:szCs w:val="32"/>
        </w:rPr>
        <w:t>万元，执行数为</w:t>
      </w:r>
      <w:r>
        <w:rPr>
          <w:rFonts w:hint="eastAsia" w:ascii="仿宋_GB2312" w:hAnsi="仿宋" w:eastAsia="仿宋_GB2312" w:cs="仿宋"/>
          <w:sz w:val="32"/>
          <w:szCs w:val="32"/>
          <w:lang w:val="en-US" w:eastAsia="zh-CN"/>
        </w:rPr>
        <w:t>2.7</w:t>
      </w:r>
      <w:r>
        <w:rPr>
          <w:rFonts w:hint="eastAsia" w:ascii="仿宋_GB2312" w:hAnsi="仿宋" w:eastAsia="仿宋_GB2312" w:cs="仿宋"/>
          <w:sz w:val="32"/>
          <w:szCs w:val="32"/>
        </w:rPr>
        <w:t>万元，项目绩效完成情况：优秀。发现的主要问题：无。下一步改进措施：优化项目支付进度。</w:t>
      </w:r>
    </w:p>
    <w:p w14:paraId="36010BE3">
      <w:pPr>
        <w:keepNext w:val="0"/>
        <w:keepLines w:val="0"/>
        <w:widowControl/>
        <w:suppressLineNumbers w:val="0"/>
        <w:jc w:val="left"/>
      </w:pPr>
    </w:p>
    <w:p w14:paraId="4179EAC7">
      <w:pPr>
        <w:numPr>
          <w:ilvl w:val="0"/>
          <w:numId w:val="0"/>
        </w:numPr>
        <w:spacing w:line="560" w:lineRule="exact"/>
        <w:rPr>
          <w:rFonts w:hint="eastAsia" w:ascii="仿宋_GB2312" w:hAnsi="仿宋" w:eastAsia="仿宋_GB2312" w:cs="仿宋"/>
          <w:sz w:val="32"/>
          <w:szCs w:val="32"/>
        </w:rPr>
      </w:pPr>
      <w:r>
        <w:rPr>
          <w:rFonts w:hint="eastAsia" w:ascii="仿宋_GB2312" w:hAnsi="仿宋_GB2312" w:eastAsia="仿宋_GB2312" w:cs="仿宋_GB2312"/>
          <w:color w:val="000000"/>
          <w:kern w:val="0"/>
          <w:sz w:val="31"/>
          <w:szCs w:val="31"/>
          <w:lang w:val="en-US" w:eastAsia="zh-CN" w:bidi="ar"/>
        </w:rPr>
        <w:t>3.  2025年第二批中央政法纪检监察转移支付资金（办案费）</w:t>
      </w:r>
      <w:r>
        <w:rPr>
          <w:rFonts w:ascii="仿宋_GB2312" w:hAnsi="仿宋_GB2312" w:eastAsia="仿宋_GB2312" w:cs="仿宋_GB2312"/>
          <w:color w:val="000000"/>
          <w:kern w:val="0"/>
          <w:sz w:val="31"/>
          <w:szCs w:val="31"/>
          <w:lang w:val="en-US" w:eastAsia="zh-CN" w:bidi="ar"/>
        </w:rPr>
        <w:t>，</w:t>
      </w:r>
      <w:r>
        <w:rPr>
          <w:rFonts w:hint="eastAsia" w:ascii="仿宋_GB2312" w:hAnsi="仿宋" w:eastAsia="仿宋_GB2312" w:cs="仿宋"/>
          <w:sz w:val="32"/>
          <w:szCs w:val="32"/>
        </w:rPr>
        <w:t>支出自评综述：用于办案和办案设备购置，保证检察院业务工作顺利进行。项目支出自评得分为</w:t>
      </w:r>
      <w:r>
        <w:rPr>
          <w:rFonts w:hint="eastAsia" w:ascii="仿宋_GB2312" w:hAnsi="仿宋" w:eastAsia="仿宋_GB2312" w:cs="仿宋"/>
          <w:sz w:val="32"/>
          <w:szCs w:val="32"/>
          <w:lang w:val="en-US" w:eastAsia="zh-CN"/>
        </w:rPr>
        <w:t>91</w:t>
      </w:r>
      <w:r>
        <w:rPr>
          <w:rFonts w:hint="eastAsia" w:ascii="仿宋_GB2312" w:hAnsi="仿宋" w:eastAsia="仿宋_GB2312" w:cs="仿宋"/>
          <w:sz w:val="32"/>
          <w:szCs w:val="32"/>
        </w:rPr>
        <w:t>分。全年预算数为</w:t>
      </w:r>
      <w:r>
        <w:rPr>
          <w:rFonts w:hint="eastAsia" w:ascii="仿宋_GB2312" w:hAnsi="仿宋" w:eastAsia="仿宋_GB2312" w:cs="仿宋"/>
          <w:sz w:val="32"/>
          <w:szCs w:val="32"/>
          <w:lang w:val="en-US" w:eastAsia="zh-CN"/>
        </w:rPr>
        <w:t>10</w:t>
      </w:r>
      <w:r>
        <w:rPr>
          <w:rFonts w:hint="eastAsia" w:ascii="仿宋_GB2312" w:hAnsi="仿宋" w:eastAsia="仿宋_GB2312" w:cs="仿宋"/>
          <w:sz w:val="32"/>
          <w:szCs w:val="32"/>
        </w:rPr>
        <w:t>万元，执行数为</w:t>
      </w:r>
      <w:r>
        <w:rPr>
          <w:rFonts w:hint="eastAsia" w:ascii="仿宋_GB2312" w:hAnsi="仿宋" w:eastAsia="仿宋_GB2312" w:cs="仿宋"/>
          <w:sz w:val="32"/>
          <w:szCs w:val="32"/>
          <w:lang w:val="en-US" w:eastAsia="zh-CN"/>
        </w:rPr>
        <w:t>10</w:t>
      </w:r>
      <w:r>
        <w:rPr>
          <w:rFonts w:hint="eastAsia" w:ascii="仿宋_GB2312" w:hAnsi="仿宋" w:eastAsia="仿宋_GB2312" w:cs="仿宋"/>
          <w:sz w:val="32"/>
          <w:szCs w:val="32"/>
        </w:rPr>
        <w:t>万元，项目绩效完成情况：优秀。发现的主要问题：无。下一步改进措施：优化项目支付进度。</w:t>
      </w:r>
    </w:p>
    <w:p w14:paraId="7BDE876F">
      <w:pPr>
        <w:numPr>
          <w:ilvl w:val="0"/>
          <w:numId w:val="2"/>
        </w:numPr>
        <w:spacing w:line="560" w:lineRule="exact"/>
        <w:rPr>
          <w:rFonts w:hint="eastAsia" w:ascii="仿宋_GB2312" w:hAnsi="仿宋" w:eastAsia="仿宋_GB2312" w:cs="仿宋"/>
          <w:sz w:val="32"/>
          <w:szCs w:val="32"/>
        </w:rPr>
      </w:pPr>
      <w:r>
        <w:rPr>
          <w:rFonts w:hint="eastAsia" w:ascii="仿宋_GB2312" w:hAnsi="仿宋" w:eastAsia="仿宋_GB2312" w:cs="仿宋"/>
          <w:sz w:val="32"/>
          <w:szCs w:val="32"/>
        </w:rPr>
        <w:t>单位运行电费</w:t>
      </w:r>
    </w:p>
    <w:p w14:paraId="336A9937">
      <w:pPr>
        <w:numPr>
          <w:ilvl w:val="0"/>
          <w:numId w:val="0"/>
        </w:numPr>
        <w:spacing w:line="560" w:lineRule="exact"/>
        <w:rPr>
          <w:rFonts w:hint="eastAsia" w:ascii="仿宋_GB2312" w:hAnsi="仿宋" w:eastAsia="仿宋_GB2312" w:cs="仿宋"/>
          <w:sz w:val="32"/>
          <w:szCs w:val="32"/>
        </w:rPr>
      </w:pPr>
      <w:r>
        <w:rPr>
          <w:rFonts w:hint="eastAsia" w:ascii="仿宋_GB2312" w:hAnsi="仿宋" w:eastAsia="仿宋_GB2312" w:cs="仿宋"/>
          <w:sz w:val="32"/>
          <w:szCs w:val="32"/>
        </w:rPr>
        <w:t>支出自评综述：根据年初设定的绩效目标，项目支出自评得分为</w:t>
      </w:r>
      <w:r>
        <w:rPr>
          <w:rFonts w:hint="eastAsia" w:ascii="仿宋_GB2312" w:hAnsi="仿宋" w:eastAsia="仿宋_GB2312" w:cs="仿宋"/>
          <w:sz w:val="32"/>
          <w:szCs w:val="32"/>
          <w:lang w:val="en-US" w:eastAsia="zh-CN"/>
        </w:rPr>
        <w:t>92</w:t>
      </w:r>
      <w:r>
        <w:rPr>
          <w:rFonts w:hint="eastAsia" w:ascii="仿宋_GB2312" w:hAnsi="仿宋" w:eastAsia="仿宋_GB2312" w:cs="仿宋"/>
          <w:sz w:val="32"/>
          <w:szCs w:val="32"/>
        </w:rPr>
        <w:t>分。全年预算数为</w:t>
      </w:r>
      <w:r>
        <w:rPr>
          <w:rFonts w:hint="eastAsia" w:ascii="仿宋_GB2312" w:hAnsi="仿宋" w:eastAsia="仿宋_GB2312" w:cs="仿宋"/>
          <w:sz w:val="32"/>
          <w:szCs w:val="32"/>
          <w:lang w:val="en-US" w:eastAsia="zh-CN"/>
        </w:rPr>
        <w:t>9.2</w:t>
      </w:r>
      <w:r>
        <w:rPr>
          <w:rFonts w:hint="eastAsia" w:ascii="仿宋_GB2312" w:hAnsi="仿宋" w:eastAsia="仿宋_GB2312" w:cs="仿宋"/>
          <w:sz w:val="32"/>
          <w:szCs w:val="32"/>
        </w:rPr>
        <w:t>万元，执行数为</w:t>
      </w:r>
      <w:r>
        <w:rPr>
          <w:rFonts w:hint="eastAsia" w:ascii="仿宋_GB2312" w:hAnsi="仿宋" w:eastAsia="仿宋_GB2312" w:cs="仿宋"/>
          <w:sz w:val="32"/>
          <w:szCs w:val="32"/>
          <w:lang w:val="en-US" w:eastAsia="zh-CN"/>
        </w:rPr>
        <w:t>9.2</w:t>
      </w:r>
      <w:r>
        <w:rPr>
          <w:rFonts w:hint="eastAsia" w:ascii="仿宋_GB2312" w:hAnsi="仿宋" w:eastAsia="仿宋_GB2312" w:cs="仿宋"/>
          <w:sz w:val="32"/>
          <w:szCs w:val="32"/>
        </w:rPr>
        <w:t>万元，项目绩效完成情况：优秀。发现的主要问题：无。下一步改进措施：优化项目支付进度。</w:t>
      </w:r>
    </w:p>
    <w:p w14:paraId="6F34163A">
      <w:pPr>
        <w:numPr>
          <w:ilvl w:val="0"/>
          <w:numId w:val="0"/>
        </w:numPr>
        <w:spacing w:line="560" w:lineRule="exact"/>
        <w:rPr>
          <w:rFonts w:hint="eastAsia" w:ascii="仿宋_GB2312" w:hAnsi="仿宋" w:eastAsia="仿宋_GB2312" w:cs="仿宋"/>
          <w:sz w:val="32"/>
          <w:szCs w:val="32"/>
        </w:rPr>
      </w:pPr>
      <w:r>
        <w:rPr>
          <w:rFonts w:hint="eastAsia" w:ascii="仿宋_GB2312" w:hAnsi="仿宋" w:eastAsia="仿宋_GB2312" w:cs="仿宋"/>
          <w:sz w:val="32"/>
          <w:szCs w:val="32"/>
          <w:lang w:val="en-US" w:eastAsia="zh-CN"/>
        </w:rPr>
        <w:t>5</w:t>
      </w:r>
      <w:r>
        <w:rPr>
          <w:rFonts w:hint="eastAsia" w:ascii="仿宋_GB2312" w:hAnsi="仿宋" w:eastAsia="仿宋_GB2312" w:cs="仿宋"/>
          <w:sz w:val="32"/>
          <w:szCs w:val="32"/>
        </w:rPr>
        <w:t>.党组织活动经费</w:t>
      </w:r>
    </w:p>
    <w:p w14:paraId="761ED134">
      <w:pPr>
        <w:numPr>
          <w:ilvl w:val="0"/>
          <w:numId w:val="0"/>
        </w:numPr>
        <w:spacing w:line="560" w:lineRule="exact"/>
        <w:rPr>
          <w:rFonts w:hint="eastAsia" w:ascii="仿宋_GB2312" w:hAnsi="仿宋" w:eastAsia="仿宋_GB2312" w:cs="仿宋"/>
          <w:sz w:val="32"/>
          <w:szCs w:val="32"/>
        </w:rPr>
      </w:pPr>
      <w:r>
        <w:rPr>
          <w:rFonts w:hint="eastAsia" w:ascii="仿宋_GB2312" w:hAnsi="仿宋" w:eastAsia="仿宋_GB2312" w:cs="仿宋"/>
          <w:sz w:val="32"/>
          <w:szCs w:val="32"/>
        </w:rPr>
        <w:t>支出自评综述：根据年初设定的绩效目标，项目支出自评得分为</w:t>
      </w:r>
      <w:r>
        <w:rPr>
          <w:rFonts w:hint="eastAsia" w:ascii="仿宋_GB2312" w:hAnsi="仿宋" w:eastAsia="仿宋_GB2312" w:cs="仿宋"/>
          <w:sz w:val="32"/>
          <w:szCs w:val="32"/>
          <w:lang w:val="en-US" w:eastAsia="zh-CN"/>
        </w:rPr>
        <w:t>95</w:t>
      </w:r>
      <w:r>
        <w:rPr>
          <w:rFonts w:hint="eastAsia" w:ascii="仿宋_GB2312" w:hAnsi="仿宋" w:eastAsia="仿宋_GB2312" w:cs="仿宋"/>
          <w:sz w:val="32"/>
          <w:szCs w:val="32"/>
        </w:rPr>
        <w:t>分。全年预算数为</w:t>
      </w:r>
      <w:r>
        <w:rPr>
          <w:rFonts w:hint="eastAsia" w:ascii="仿宋_GB2312" w:hAnsi="仿宋" w:eastAsia="仿宋_GB2312" w:cs="仿宋"/>
          <w:sz w:val="32"/>
          <w:szCs w:val="32"/>
          <w:lang w:val="en-US" w:eastAsia="zh-CN"/>
        </w:rPr>
        <w:t>2.59</w:t>
      </w:r>
      <w:r>
        <w:rPr>
          <w:rFonts w:hint="eastAsia" w:ascii="仿宋_GB2312" w:hAnsi="仿宋" w:eastAsia="仿宋_GB2312" w:cs="仿宋"/>
          <w:sz w:val="32"/>
          <w:szCs w:val="32"/>
        </w:rPr>
        <w:t>万元，执行数为</w:t>
      </w:r>
      <w:r>
        <w:rPr>
          <w:rFonts w:hint="eastAsia" w:ascii="仿宋_GB2312" w:hAnsi="仿宋" w:eastAsia="仿宋_GB2312" w:cs="仿宋"/>
          <w:sz w:val="32"/>
          <w:szCs w:val="32"/>
          <w:lang w:val="en-US" w:eastAsia="zh-CN"/>
        </w:rPr>
        <w:t>2.59</w:t>
      </w:r>
      <w:r>
        <w:rPr>
          <w:rFonts w:hint="eastAsia" w:ascii="仿宋_GB2312" w:hAnsi="仿宋" w:eastAsia="仿宋_GB2312" w:cs="仿宋"/>
          <w:sz w:val="32"/>
          <w:szCs w:val="32"/>
        </w:rPr>
        <w:t>万元，项目绩效完成情况：优秀。发现的主要问题：无。下一步改进措施：优化项目支付进度。</w:t>
      </w:r>
    </w:p>
    <w:p w14:paraId="519EEC18">
      <w:pPr>
        <w:numPr>
          <w:ilvl w:val="0"/>
          <w:numId w:val="0"/>
        </w:numPr>
        <w:spacing w:line="560" w:lineRule="exact"/>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6</w:t>
      </w:r>
      <w:r>
        <w:rPr>
          <w:rFonts w:hint="eastAsia" w:ascii="仿宋_GB2312" w:hAnsi="仿宋" w:eastAsia="仿宋_GB2312" w:cs="仿宋"/>
          <w:sz w:val="32"/>
          <w:szCs w:val="32"/>
        </w:rPr>
        <w:t>.提前下达2025年中央政法纪检监察转移支付资金（办案费）支出自评综述：根据年初设定的绩效目标，项目支出自评得分为</w:t>
      </w:r>
      <w:r>
        <w:rPr>
          <w:rFonts w:hint="eastAsia" w:ascii="仿宋_GB2312" w:hAnsi="仿宋" w:eastAsia="仿宋_GB2312" w:cs="仿宋"/>
          <w:sz w:val="32"/>
          <w:szCs w:val="32"/>
          <w:lang w:val="en-US" w:eastAsia="zh-CN"/>
        </w:rPr>
        <w:t>94</w:t>
      </w:r>
      <w:r>
        <w:rPr>
          <w:rFonts w:hint="eastAsia" w:ascii="仿宋_GB2312" w:hAnsi="仿宋" w:eastAsia="仿宋_GB2312" w:cs="仿宋"/>
          <w:sz w:val="32"/>
          <w:szCs w:val="32"/>
        </w:rPr>
        <w:t>分。全年预算数为</w:t>
      </w:r>
      <w:r>
        <w:rPr>
          <w:rFonts w:hint="eastAsia" w:ascii="仿宋_GB2312" w:hAnsi="仿宋" w:eastAsia="仿宋_GB2312" w:cs="仿宋"/>
          <w:sz w:val="32"/>
          <w:szCs w:val="32"/>
          <w:lang w:val="en-US" w:eastAsia="zh-CN"/>
        </w:rPr>
        <w:t>65</w:t>
      </w:r>
      <w:r>
        <w:rPr>
          <w:rFonts w:hint="eastAsia" w:ascii="仿宋_GB2312" w:hAnsi="仿宋" w:eastAsia="仿宋_GB2312" w:cs="仿宋"/>
          <w:sz w:val="32"/>
          <w:szCs w:val="32"/>
        </w:rPr>
        <w:t>万元，执行数为</w:t>
      </w:r>
      <w:r>
        <w:rPr>
          <w:rFonts w:hint="eastAsia" w:ascii="仿宋_GB2312" w:hAnsi="仿宋" w:eastAsia="仿宋_GB2312" w:cs="仿宋"/>
          <w:sz w:val="32"/>
          <w:szCs w:val="32"/>
          <w:lang w:val="en-US" w:eastAsia="zh-CN"/>
        </w:rPr>
        <w:t>65</w:t>
      </w:r>
      <w:r>
        <w:rPr>
          <w:rFonts w:hint="eastAsia" w:ascii="仿宋_GB2312" w:hAnsi="仿宋" w:eastAsia="仿宋_GB2312" w:cs="仿宋"/>
          <w:sz w:val="32"/>
          <w:szCs w:val="32"/>
        </w:rPr>
        <w:t>万元，项目绩效完成情况：优秀。发现的主要问题：无。下一步改进措施：</w:t>
      </w:r>
      <w:r>
        <w:rPr>
          <w:rFonts w:hint="eastAsia" w:ascii="仿宋_GB2312" w:hAnsi="仿宋" w:eastAsia="仿宋_GB2312" w:cs="仿宋"/>
          <w:sz w:val="32"/>
          <w:szCs w:val="32"/>
          <w:lang w:val="en-US" w:eastAsia="zh-CN"/>
        </w:rPr>
        <w:t>无。</w:t>
      </w:r>
    </w:p>
    <w:p w14:paraId="77EA6D58">
      <w:pPr>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7</w:t>
      </w:r>
      <w:r>
        <w:rPr>
          <w:rFonts w:hint="eastAsia" w:ascii="仿宋_GB2312" w:hAnsi="仿宋" w:eastAsia="仿宋_GB2312" w:cs="仿宋"/>
          <w:sz w:val="32"/>
          <w:szCs w:val="32"/>
        </w:rPr>
        <w:t>.提前下达2025年中央政法纪检监察转移支付资金（装备费）支出自评综述：根据年初设定的绩效目标，项目支出自评得分为</w:t>
      </w:r>
      <w:r>
        <w:rPr>
          <w:rFonts w:hint="eastAsia" w:ascii="仿宋_GB2312" w:hAnsi="仿宋" w:eastAsia="仿宋_GB2312" w:cs="仿宋"/>
          <w:sz w:val="32"/>
          <w:szCs w:val="32"/>
          <w:lang w:val="en-US" w:eastAsia="zh-CN"/>
        </w:rPr>
        <w:t>91</w:t>
      </w:r>
      <w:r>
        <w:rPr>
          <w:rFonts w:hint="eastAsia" w:ascii="仿宋_GB2312" w:hAnsi="仿宋" w:eastAsia="仿宋_GB2312" w:cs="仿宋"/>
          <w:sz w:val="32"/>
          <w:szCs w:val="32"/>
        </w:rPr>
        <w:t>分。全年预算数为</w:t>
      </w:r>
      <w:r>
        <w:rPr>
          <w:rFonts w:hint="eastAsia" w:ascii="仿宋_GB2312" w:hAnsi="仿宋" w:eastAsia="仿宋_GB2312" w:cs="仿宋"/>
          <w:sz w:val="32"/>
          <w:szCs w:val="32"/>
          <w:lang w:val="en-US" w:eastAsia="zh-CN"/>
        </w:rPr>
        <w:t>47</w:t>
      </w:r>
      <w:r>
        <w:rPr>
          <w:rFonts w:hint="eastAsia" w:ascii="仿宋_GB2312" w:hAnsi="仿宋" w:eastAsia="仿宋_GB2312" w:cs="仿宋"/>
          <w:sz w:val="32"/>
          <w:szCs w:val="32"/>
        </w:rPr>
        <w:t>万元，执行数为</w:t>
      </w:r>
      <w:r>
        <w:rPr>
          <w:rFonts w:hint="eastAsia" w:ascii="仿宋_GB2312" w:hAnsi="仿宋" w:eastAsia="仿宋_GB2312" w:cs="仿宋"/>
          <w:sz w:val="32"/>
          <w:szCs w:val="32"/>
          <w:lang w:val="en-US" w:eastAsia="zh-CN"/>
        </w:rPr>
        <w:t>47</w:t>
      </w:r>
      <w:r>
        <w:rPr>
          <w:rFonts w:hint="eastAsia" w:ascii="仿宋_GB2312" w:hAnsi="仿宋" w:eastAsia="仿宋_GB2312" w:cs="仿宋"/>
          <w:sz w:val="32"/>
          <w:szCs w:val="32"/>
        </w:rPr>
        <w:t>万元，项目绩效完成情况：优秀。发现的主要问题：无。下一步改进措施：</w:t>
      </w:r>
      <w:r>
        <w:rPr>
          <w:rFonts w:hint="eastAsia" w:ascii="仿宋_GB2312" w:hAnsi="仿宋" w:eastAsia="仿宋_GB2312" w:cs="仿宋"/>
          <w:sz w:val="32"/>
          <w:szCs w:val="32"/>
          <w:lang w:val="en-US" w:eastAsia="zh-CN"/>
        </w:rPr>
        <w:t>无。</w:t>
      </w:r>
    </w:p>
    <w:p w14:paraId="54388EFD">
      <w:pPr>
        <w:rPr>
          <w:rFonts w:hint="eastAsia" w:ascii="仿宋" w:hAnsi="仿宋" w:eastAsia="仿宋"/>
          <w:sz w:val="32"/>
          <w:szCs w:val="32"/>
        </w:rPr>
      </w:pPr>
      <w:r>
        <w:rPr>
          <w:rFonts w:hint="eastAsia" w:ascii="仿宋" w:hAnsi="仿宋" w:eastAsia="仿宋"/>
          <w:sz w:val="32"/>
          <w:szCs w:val="32"/>
          <w:lang w:val="en-US" w:eastAsia="zh-CN"/>
        </w:rPr>
        <w:t>8.</w:t>
      </w:r>
      <w:r>
        <w:rPr>
          <w:rFonts w:hint="eastAsia" w:ascii="仿宋" w:hAnsi="仿宋" w:eastAsia="仿宋"/>
          <w:sz w:val="32"/>
          <w:szCs w:val="32"/>
        </w:rPr>
        <w:t>提前下达2025年省级基层公检法司转移支付资金（办案费）</w:t>
      </w:r>
      <w:r>
        <w:rPr>
          <w:rFonts w:hint="eastAsia" w:ascii="仿宋_GB2312" w:hAnsi="仿宋" w:eastAsia="仿宋_GB2312" w:cs="仿宋"/>
          <w:sz w:val="32"/>
          <w:szCs w:val="32"/>
        </w:rPr>
        <w:t>支出自评综述：根据年初设定的绩效目标，项目支出自评得分为</w:t>
      </w:r>
      <w:r>
        <w:rPr>
          <w:rFonts w:hint="eastAsia" w:ascii="仿宋_GB2312" w:hAnsi="仿宋" w:eastAsia="仿宋_GB2312" w:cs="仿宋"/>
          <w:sz w:val="32"/>
          <w:szCs w:val="32"/>
          <w:lang w:val="en-US" w:eastAsia="zh-CN"/>
        </w:rPr>
        <w:t>91</w:t>
      </w:r>
      <w:r>
        <w:rPr>
          <w:rFonts w:hint="eastAsia" w:ascii="仿宋_GB2312" w:hAnsi="仿宋" w:eastAsia="仿宋_GB2312" w:cs="仿宋"/>
          <w:sz w:val="32"/>
          <w:szCs w:val="32"/>
        </w:rPr>
        <w:t>分。全年预算数为</w:t>
      </w:r>
      <w:r>
        <w:rPr>
          <w:rFonts w:hint="eastAsia" w:ascii="仿宋_GB2312" w:hAnsi="仿宋" w:eastAsia="仿宋_GB2312" w:cs="仿宋"/>
          <w:sz w:val="32"/>
          <w:szCs w:val="32"/>
          <w:lang w:val="en-US" w:eastAsia="zh-CN"/>
        </w:rPr>
        <w:t>58</w:t>
      </w:r>
      <w:r>
        <w:rPr>
          <w:rFonts w:hint="eastAsia" w:ascii="仿宋_GB2312" w:hAnsi="仿宋" w:eastAsia="仿宋_GB2312" w:cs="仿宋"/>
          <w:sz w:val="32"/>
          <w:szCs w:val="32"/>
        </w:rPr>
        <w:t>万元，执行数为</w:t>
      </w:r>
      <w:r>
        <w:rPr>
          <w:rFonts w:hint="eastAsia" w:ascii="仿宋_GB2312" w:hAnsi="仿宋" w:eastAsia="仿宋_GB2312" w:cs="仿宋"/>
          <w:sz w:val="32"/>
          <w:szCs w:val="32"/>
          <w:lang w:val="en-US" w:eastAsia="zh-CN"/>
        </w:rPr>
        <w:t>58</w:t>
      </w:r>
      <w:r>
        <w:rPr>
          <w:rFonts w:hint="eastAsia" w:ascii="仿宋_GB2312" w:hAnsi="仿宋" w:eastAsia="仿宋_GB2312" w:cs="仿宋"/>
          <w:sz w:val="32"/>
          <w:szCs w:val="32"/>
        </w:rPr>
        <w:t>万元，项目绩效完成情况：优秀。发现的主要问题：无。下一步改进措施：</w:t>
      </w:r>
      <w:r>
        <w:rPr>
          <w:rFonts w:hint="eastAsia" w:ascii="仿宋_GB2312" w:hAnsi="仿宋" w:eastAsia="仿宋_GB2312" w:cs="仿宋"/>
          <w:sz w:val="32"/>
          <w:szCs w:val="32"/>
          <w:lang w:val="en-US" w:eastAsia="zh-CN"/>
        </w:rPr>
        <w:t>无。</w:t>
      </w:r>
      <w:r>
        <w:rPr>
          <w:rFonts w:hint="eastAsia" w:ascii="仿宋" w:hAnsi="仿宋" w:eastAsia="仿宋"/>
          <w:sz w:val="32"/>
          <w:szCs w:val="32"/>
        </w:rPr>
        <w:t>。</w:t>
      </w:r>
    </w:p>
    <w:p w14:paraId="6608B0B8">
      <w:pPr>
        <w:rPr>
          <w:rFonts w:hint="eastAsia" w:ascii="仿宋_GB2312" w:hAnsi="仿宋" w:eastAsia="仿宋_GB2312" w:cs="仿宋"/>
          <w:sz w:val="32"/>
          <w:szCs w:val="32"/>
          <w:lang w:val="en-US" w:eastAsia="zh-CN"/>
        </w:rPr>
      </w:pPr>
      <w:r>
        <w:rPr>
          <w:rFonts w:hint="eastAsia" w:ascii="仿宋" w:hAnsi="仿宋" w:eastAsia="仿宋"/>
          <w:sz w:val="32"/>
          <w:szCs w:val="32"/>
          <w:lang w:val="en-US" w:eastAsia="zh-CN"/>
        </w:rPr>
        <w:t>9. 提前下达2025年省级基层公检法司转移支付资金（装备费）</w:t>
      </w:r>
      <w:r>
        <w:rPr>
          <w:rFonts w:hint="eastAsia" w:ascii="仿宋_GB2312" w:hAnsi="仿宋" w:eastAsia="仿宋_GB2312" w:cs="仿宋"/>
          <w:sz w:val="32"/>
          <w:szCs w:val="32"/>
        </w:rPr>
        <w:t>支出自评综述：根据年初设定的绩效目标，项目支出自评得分为</w:t>
      </w:r>
      <w:r>
        <w:rPr>
          <w:rFonts w:hint="eastAsia" w:ascii="仿宋_GB2312" w:hAnsi="仿宋" w:eastAsia="仿宋_GB2312" w:cs="仿宋"/>
          <w:sz w:val="32"/>
          <w:szCs w:val="32"/>
          <w:lang w:val="en-US" w:eastAsia="zh-CN"/>
        </w:rPr>
        <w:t>90</w:t>
      </w:r>
      <w:r>
        <w:rPr>
          <w:rFonts w:hint="eastAsia" w:ascii="仿宋_GB2312" w:hAnsi="仿宋" w:eastAsia="仿宋_GB2312" w:cs="仿宋"/>
          <w:sz w:val="32"/>
          <w:szCs w:val="32"/>
        </w:rPr>
        <w:t>分。全年预算数为</w:t>
      </w:r>
      <w:r>
        <w:rPr>
          <w:rFonts w:hint="eastAsia" w:ascii="仿宋_GB2312" w:hAnsi="仿宋" w:eastAsia="仿宋_GB2312" w:cs="仿宋"/>
          <w:sz w:val="32"/>
          <w:szCs w:val="32"/>
          <w:lang w:val="en-US" w:eastAsia="zh-CN"/>
        </w:rPr>
        <w:t>24</w:t>
      </w:r>
      <w:r>
        <w:rPr>
          <w:rFonts w:hint="eastAsia" w:ascii="仿宋_GB2312" w:hAnsi="仿宋" w:eastAsia="仿宋_GB2312" w:cs="仿宋"/>
          <w:sz w:val="32"/>
          <w:szCs w:val="32"/>
        </w:rPr>
        <w:t>万元，执行数为</w:t>
      </w:r>
      <w:r>
        <w:rPr>
          <w:rFonts w:hint="eastAsia" w:ascii="仿宋_GB2312" w:hAnsi="仿宋" w:eastAsia="仿宋_GB2312" w:cs="仿宋"/>
          <w:sz w:val="32"/>
          <w:szCs w:val="32"/>
          <w:lang w:val="en-US" w:eastAsia="zh-CN"/>
        </w:rPr>
        <w:t>24</w:t>
      </w:r>
      <w:r>
        <w:rPr>
          <w:rFonts w:hint="eastAsia" w:ascii="仿宋_GB2312" w:hAnsi="仿宋" w:eastAsia="仿宋_GB2312" w:cs="仿宋"/>
          <w:sz w:val="32"/>
          <w:szCs w:val="32"/>
        </w:rPr>
        <w:t>万元，项目绩效完成情况：优秀。发现的主要问题：无。下一步改进措施：</w:t>
      </w:r>
      <w:r>
        <w:rPr>
          <w:rFonts w:hint="eastAsia" w:ascii="仿宋_GB2312" w:hAnsi="仿宋" w:eastAsia="仿宋_GB2312" w:cs="仿宋"/>
          <w:sz w:val="32"/>
          <w:szCs w:val="32"/>
          <w:lang w:val="en-US" w:eastAsia="zh-CN"/>
        </w:rPr>
        <w:t>无。</w:t>
      </w:r>
    </w:p>
    <w:p w14:paraId="081B486E">
      <w:pPr>
        <w:numPr>
          <w:ilvl w:val="0"/>
          <w:numId w:val="0"/>
        </w:numPr>
        <w:spacing w:line="560" w:lineRule="exact"/>
        <w:rPr>
          <w:rFonts w:hint="eastAsia" w:ascii="仿宋_GB2312" w:hAnsi="仿宋" w:eastAsia="仿宋_GB2312" w:cs="仿宋"/>
          <w:sz w:val="32"/>
          <w:szCs w:val="32"/>
        </w:rPr>
      </w:pPr>
      <w:r>
        <w:rPr>
          <w:rFonts w:hint="eastAsia" w:ascii="仿宋_GB2312" w:hAnsi="仿宋" w:eastAsia="仿宋_GB2312" w:cs="仿宋"/>
          <w:sz w:val="32"/>
          <w:szCs w:val="32"/>
          <w:lang w:val="en-US" w:eastAsia="zh-CN"/>
        </w:rPr>
        <w:t>10.</w:t>
      </w:r>
      <w:r>
        <w:rPr>
          <w:rFonts w:hint="eastAsia" w:ascii="仿宋_GB2312" w:hAnsi="仿宋" w:eastAsia="仿宋_GB2312" w:cs="仿宋"/>
          <w:sz w:val="32"/>
          <w:szCs w:val="32"/>
        </w:rPr>
        <w:t>书记员经费支出自评综述：根据年初设定的绩效目标，项目支出自评得分为</w:t>
      </w:r>
      <w:r>
        <w:rPr>
          <w:rFonts w:hint="eastAsia" w:ascii="仿宋_GB2312" w:hAnsi="仿宋" w:eastAsia="仿宋_GB2312" w:cs="仿宋"/>
          <w:sz w:val="32"/>
          <w:szCs w:val="32"/>
          <w:lang w:val="en-US" w:eastAsia="zh-CN"/>
        </w:rPr>
        <w:t>90</w:t>
      </w:r>
      <w:r>
        <w:rPr>
          <w:rFonts w:hint="eastAsia" w:ascii="仿宋_GB2312" w:hAnsi="仿宋" w:eastAsia="仿宋_GB2312" w:cs="仿宋"/>
          <w:sz w:val="32"/>
          <w:szCs w:val="32"/>
        </w:rPr>
        <w:t>分。全年预算数为</w:t>
      </w:r>
      <w:r>
        <w:rPr>
          <w:rFonts w:hint="eastAsia" w:ascii="仿宋_GB2312" w:hAnsi="仿宋" w:eastAsia="仿宋_GB2312" w:cs="仿宋"/>
          <w:sz w:val="32"/>
          <w:szCs w:val="32"/>
          <w:lang w:val="en-US" w:eastAsia="zh-CN"/>
        </w:rPr>
        <w:t>131.46</w:t>
      </w:r>
      <w:r>
        <w:rPr>
          <w:rFonts w:hint="eastAsia" w:ascii="仿宋_GB2312" w:hAnsi="仿宋" w:eastAsia="仿宋_GB2312" w:cs="仿宋"/>
          <w:sz w:val="32"/>
          <w:szCs w:val="32"/>
        </w:rPr>
        <w:t>万元，执行数为</w:t>
      </w:r>
      <w:r>
        <w:rPr>
          <w:rFonts w:hint="eastAsia" w:ascii="仿宋_GB2312" w:hAnsi="仿宋" w:eastAsia="仿宋_GB2312" w:cs="仿宋"/>
          <w:sz w:val="32"/>
          <w:szCs w:val="32"/>
          <w:lang w:val="en-US" w:eastAsia="zh-CN"/>
        </w:rPr>
        <w:t>131.46</w:t>
      </w:r>
      <w:r>
        <w:rPr>
          <w:rFonts w:hint="eastAsia" w:ascii="仿宋_GB2312" w:hAnsi="仿宋" w:eastAsia="仿宋_GB2312" w:cs="仿宋"/>
          <w:sz w:val="32"/>
          <w:szCs w:val="32"/>
        </w:rPr>
        <w:t>万元，项目绩效完成情况：优秀。发现的主要问题：无。下一步改进措施：优化项目支付进度。</w:t>
      </w:r>
    </w:p>
    <w:p w14:paraId="28378434">
      <w:pPr>
        <w:numPr>
          <w:ilvl w:val="0"/>
          <w:numId w:val="0"/>
        </w:numPr>
        <w:spacing w:line="560" w:lineRule="exact"/>
        <w:rPr>
          <w:rFonts w:hint="eastAsia" w:ascii="仿宋_GB2312" w:hAnsi="仿宋" w:eastAsia="仿宋_GB2312" w:cs="仿宋"/>
          <w:sz w:val="32"/>
          <w:szCs w:val="32"/>
        </w:rPr>
      </w:pPr>
      <w:r>
        <w:rPr>
          <w:rFonts w:hint="eastAsia" w:ascii="仿宋_GB2312" w:hAnsi="仿宋" w:eastAsia="仿宋_GB2312" w:cs="仿宋"/>
          <w:sz w:val="32"/>
          <w:szCs w:val="32"/>
          <w:lang w:val="en-US" w:eastAsia="zh-CN"/>
        </w:rPr>
        <w:t>11.</w:t>
      </w:r>
      <w:r>
        <w:rPr>
          <w:rFonts w:hint="eastAsia" w:ascii="仿宋_GB2312" w:hAnsi="仿宋" w:eastAsia="仿宋_GB2312" w:cs="仿宋"/>
          <w:sz w:val="32"/>
          <w:szCs w:val="32"/>
        </w:rPr>
        <w:t>劳务派遣经费支出自评综述：根据年初设定的绩效目标，项目支出自评得分为</w:t>
      </w:r>
      <w:r>
        <w:rPr>
          <w:rFonts w:hint="eastAsia" w:ascii="仿宋_GB2312" w:hAnsi="仿宋" w:eastAsia="仿宋_GB2312" w:cs="仿宋"/>
          <w:sz w:val="32"/>
          <w:szCs w:val="32"/>
          <w:lang w:val="en-US" w:eastAsia="zh-CN"/>
        </w:rPr>
        <w:t>94</w:t>
      </w:r>
      <w:r>
        <w:rPr>
          <w:rFonts w:hint="eastAsia" w:ascii="仿宋_GB2312" w:hAnsi="仿宋" w:eastAsia="仿宋_GB2312" w:cs="仿宋"/>
          <w:sz w:val="32"/>
          <w:szCs w:val="32"/>
        </w:rPr>
        <w:t>分。全年预算数为</w:t>
      </w:r>
      <w:r>
        <w:rPr>
          <w:rFonts w:hint="eastAsia" w:ascii="仿宋_GB2312" w:hAnsi="仿宋" w:eastAsia="仿宋_GB2312" w:cs="仿宋"/>
          <w:sz w:val="32"/>
          <w:szCs w:val="32"/>
          <w:lang w:val="en-US" w:eastAsia="zh-CN"/>
        </w:rPr>
        <w:t>23.48</w:t>
      </w:r>
      <w:r>
        <w:rPr>
          <w:rFonts w:hint="eastAsia" w:ascii="仿宋_GB2312" w:hAnsi="仿宋" w:eastAsia="仿宋_GB2312" w:cs="仿宋"/>
          <w:sz w:val="32"/>
          <w:szCs w:val="32"/>
        </w:rPr>
        <w:t>万元，执行数为</w:t>
      </w:r>
      <w:r>
        <w:rPr>
          <w:rFonts w:hint="eastAsia" w:ascii="仿宋_GB2312" w:hAnsi="仿宋" w:eastAsia="仿宋_GB2312" w:cs="仿宋"/>
          <w:sz w:val="32"/>
          <w:szCs w:val="32"/>
          <w:lang w:val="en-US" w:eastAsia="zh-CN"/>
        </w:rPr>
        <w:t>23.48</w:t>
      </w:r>
      <w:r>
        <w:rPr>
          <w:rFonts w:hint="eastAsia" w:ascii="仿宋_GB2312" w:hAnsi="仿宋" w:eastAsia="仿宋_GB2312" w:cs="仿宋"/>
          <w:sz w:val="32"/>
          <w:szCs w:val="32"/>
        </w:rPr>
        <w:t>万元，项目绩效完成情况：优秀。发现的主要问题：无。下一步改进措施：优化项目支付进度。</w:t>
      </w:r>
    </w:p>
    <w:p w14:paraId="24D880E6">
      <w:pPr>
        <w:numPr>
          <w:ilvl w:val="0"/>
          <w:numId w:val="0"/>
        </w:numPr>
        <w:spacing w:line="560" w:lineRule="exact"/>
        <w:rPr>
          <w:rFonts w:hint="eastAsia" w:ascii="仿宋_GB2312" w:hAnsi="仿宋" w:eastAsia="仿宋_GB2312" w:cs="仿宋"/>
          <w:sz w:val="32"/>
          <w:szCs w:val="32"/>
        </w:rPr>
      </w:pPr>
      <w:r>
        <w:rPr>
          <w:rFonts w:hint="eastAsia" w:ascii="仿宋_GB2312" w:hAnsi="仿宋" w:eastAsia="仿宋_GB2312" w:cs="仿宋"/>
          <w:sz w:val="32"/>
          <w:szCs w:val="32"/>
          <w:lang w:val="en-US" w:eastAsia="zh-CN"/>
        </w:rPr>
        <w:t>12.司法救助经费</w:t>
      </w:r>
      <w:r>
        <w:rPr>
          <w:rFonts w:hint="eastAsia" w:ascii="仿宋_GB2312" w:hAnsi="仿宋" w:eastAsia="仿宋_GB2312" w:cs="仿宋"/>
          <w:sz w:val="32"/>
          <w:szCs w:val="32"/>
        </w:rPr>
        <w:t>支出自评综述：用于检察机关开展的救助司法救助人群费用的绩效目标，项目支出自评得分为</w:t>
      </w:r>
      <w:r>
        <w:rPr>
          <w:rFonts w:hint="eastAsia" w:ascii="仿宋_GB2312" w:hAnsi="仿宋" w:eastAsia="仿宋_GB2312" w:cs="仿宋"/>
          <w:sz w:val="32"/>
          <w:szCs w:val="32"/>
          <w:lang w:val="en-US" w:eastAsia="zh-CN"/>
        </w:rPr>
        <w:t>93</w:t>
      </w:r>
      <w:r>
        <w:rPr>
          <w:rFonts w:hint="eastAsia" w:ascii="仿宋_GB2312" w:hAnsi="仿宋" w:eastAsia="仿宋_GB2312" w:cs="仿宋"/>
          <w:sz w:val="32"/>
          <w:szCs w:val="32"/>
        </w:rPr>
        <w:t>分。全年预算数为</w:t>
      </w:r>
      <w:r>
        <w:rPr>
          <w:rFonts w:hint="eastAsia" w:ascii="仿宋_GB2312" w:hAnsi="仿宋" w:eastAsia="仿宋_GB2312" w:cs="仿宋"/>
          <w:sz w:val="32"/>
          <w:szCs w:val="32"/>
          <w:lang w:val="en-US" w:eastAsia="zh-CN"/>
        </w:rPr>
        <w:t>0.4</w:t>
      </w:r>
      <w:r>
        <w:rPr>
          <w:rFonts w:hint="eastAsia" w:ascii="仿宋_GB2312" w:hAnsi="仿宋" w:eastAsia="仿宋_GB2312" w:cs="仿宋"/>
          <w:sz w:val="32"/>
          <w:szCs w:val="32"/>
        </w:rPr>
        <w:t>万元，执行数为</w:t>
      </w:r>
      <w:r>
        <w:rPr>
          <w:rFonts w:hint="eastAsia" w:ascii="仿宋_GB2312" w:hAnsi="仿宋" w:eastAsia="仿宋_GB2312" w:cs="仿宋"/>
          <w:sz w:val="32"/>
          <w:szCs w:val="32"/>
          <w:lang w:val="en-US" w:eastAsia="zh-CN"/>
        </w:rPr>
        <w:t>0.4</w:t>
      </w:r>
      <w:r>
        <w:rPr>
          <w:rFonts w:hint="eastAsia" w:ascii="仿宋_GB2312" w:hAnsi="仿宋" w:eastAsia="仿宋_GB2312" w:cs="仿宋"/>
          <w:sz w:val="32"/>
          <w:szCs w:val="32"/>
        </w:rPr>
        <w:t>万元，项目绩效完成情况：优秀。发现的主要问题：无。下一步改进措施：优化项目支付进度。</w:t>
      </w:r>
    </w:p>
    <w:p w14:paraId="7E8D9138">
      <w:pPr>
        <w:numPr>
          <w:ilvl w:val="0"/>
          <w:numId w:val="0"/>
        </w:numPr>
        <w:spacing w:line="560" w:lineRule="exact"/>
        <w:rPr>
          <w:rFonts w:hint="default" w:ascii="仿宋_GB2312" w:hAnsi="仿宋" w:eastAsia="仿宋_GB2312" w:cs="仿宋"/>
          <w:sz w:val="32"/>
          <w:szCs w:val="32"/>
          <w:lang w:val="en-US" w:eastAsia="zh-CN"/>
        </w:rPr>
      </w:pPr>
    </w:p>
    <w:p w14:paraId="142B4921">
      <w:pPr>
        <w:spacing w:line="560" w:lineRule="exact"/>
        <w:ind w:firstLine="640" w:firstLineChars="200"/>
        <w:rPr>
          <w:rFonts w:ascii="黑体" w:hAnsi="黑体" w:eastAsia="黑体"/>
          <w:sz w:val="32"/>
          <w:szCs w:val="32"/>
        </w:rPr>
      </w:pPr>
      <w:r>
        <w:rPr>
          <w:rFonts w:hint="eastAsia" w:ascii="黑体" w:hAnsi="黑体" w:eastAsia="黑体"/>
          <w:sz w:val="32"/>
          <w:szCs w:val="32"/>
        </w:rPr>
        <w:t>四、评价结论和评价等级</w:t>
      </w:r>
    </w:p>
    <w:p w14:paraId="36C17410">
      <w:pPr>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202</w:t>
      </w:r>
      <w:r>
        <w:rPr>
          <w:rFonts w:hint="eastAsia" w:ascii="仿宋_GB2312" w:hAnsi="仿宋" w:eastAsia="仿宋_GB2312" w:cs="仿宋"/>
          <w:sz w:val="32"/>
          <w:szCs w:val="32"/>
          <w:lang w:val="en-US" w:eastAsia="zh-CN"/>
        </w:rPr>
        <w:t>5</w:t>
      </w:r>
      <w:r>
        <w:rPr>
          <w:rFonts w:hint="eastAsia" w:ascii="仿宋_GB2312" w:hAnsi="仿宋" w:eastAsia="仿宋_GB2312" w:cs="仿宋"/>
          <w:sz w:val="32"/>
          <w:szCs w:val="32"/>
        </w:rPr>
        <w:t>年我院积极履职，通过加强预算收支管理，不断梳理内部管理流程，建立健全内部管理制度，部门整体支出管理水平得到提升。经自评，</w:t>
      </w:r>
      <w:r>
        <w:rPr>
          <w:rFonts w:hint="eastAsia" w:ascii="仿宋_GB2312" w:hAnsi="仿宋" w:eastAsia="仿宋_GB2312" w:cs="仿宋"/>
          <w:sz w:val="32"/>
          <w:szCs w:val="32"/>
          <w:lang w:val="en-US" w:eastAsia="zh-CN"/>
        </w:rPr>
        <w:t>12</w:t>
      </w:r>
      <w:bookmarkStart w:id="2" w:name="_GoBack"/>
      <w:bookmarkEnd w:id="2"/>
      <w:r>
        <w:rPr>
          <w:rFonts w:hint="eastAsia" w:ascii="仿宋_GB2312" w:hAnsi="仿宋" w:eastAsia="仿宋_GB2312" w:cs="仿宋"/>
          <w:sz w:val="32"/>
          <w:szCs w:val="32"/>
        </w:rPr>
        <w:t>个项目自评得分均在90分以上，202</w:t>
      </w:r>
      <w:r>
        <w:rPr>
          <w:rFonts w:hint="eastAsia" w:ascii="仿宋_GB2312" w:hAnsi="仿宋" w:eastAsia="仿宋_GB2312" w:cs="仿宋"/>
          <w:sz w:val="32"/>
          <w:szCs w:val="32"/>
          <w:lang w:val="en-US" w:eastAsia="zh-CN"/>
        </w:rPr>
        <w:t>5</w:t>
      </w:r>
      <w:r>
        <w:rPr>
          <w:rFonts w:hint="eastAsia" w:ascii="仿宋_GB2312" w:hAnsi="仿宋" w:eastAsia="仿宋_GB2312" w:cs="仿宋"/>
          <w:sz w:val="32"/>
          <w:szCs w:val="32"/>
        </w:rPr>
        <w:t>年我院较好的完成了年度工作目标，综合评价等级为“优秀”。</w:t>
      </w:r>
    </w:p>
    <w:p w14:paraId="2BF9799A">
      <w:pPr>
        <w:spacing w:line="560" w:lineRule="exact"/>
        <w:ind w:firstLine="640" w:firstLineChars="200"/>
        <w:rPr>
          <w:rFonts w:ascii="黑体" w:hAnsi="黑体" w:eastAsia="黑体"/>
          <w:sz w:val="32"/>
          <w:szCs w:val="32"/>
        </w:rPr>
      </w:pPr>
      <w:r>
        <w:rPr>
          <w:rFonts w:hint="eastAsia" w:ascii="黑体" w:hAnsi="黑体" w:eastAsia="黑体"/>
          <w:sz w:val="32"/>
          <w:szCs w:val="32"/>
        </w:rPr>
        <w:t>五、存在的问题及改进措施</w:t>
      </w:r>
    </w:p>
    <w:p w14:paraId="24BB0B21">
      <w:pPr>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从自评情况看，有关项目总体立项规范，绩效目标明确，预算编制较为合理，预算执行及时，有效，资金及时到位，各项管理制度健全并且能有效执行，绩效目标得到较好实现，部门履职水平不断提高，但也存在部分项目产出指标低于预期、项目实施进展慢等问题。</w:t>
      </w:r>
    </w:p>
    <w:p w14:paraId="2558D67F">
      <w:pPr>
        <w:spacing w:line="560" w:lineRule="exact"/>
        <w:ind w:left="630"/>
        <w:rPr>
          <w:rFonts w:ascii="楷体" w:hAnsi="楷体" w:eastAsia="楷体" w:cs="楷体"/>
          <w:sz w:val="32"/>
          <w:szCs w:val="32"/>
        </w:rPr>
      </w:pPr>
      <w:r>
        <w:rPr>
          <w:rFonts w:hint="eastAsia" w:ascii="楷体_GB2312" w:hAnsi="楷体_GB2312" w:eastAsia="楷体_GB2312" w:cs="楷体_GB2312"/>
          <w:sz w:val="32"/>
          <w:szCs w:val="32"/>
        </w:rPr>
        <w:t>（二）针对问题提出具体的改进措施或建议</w:t>
      </w:r>
    </w:p>
    <w:p w14:paraId="4F65ED56">
      <w:pPr>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1.强化绩效目标管理工作。充分挖掘项目实施的价值和意义，根据项目实际情况设置完善的绩效目标，做到绩效目标针对项目特点清晰明确且细化，有量化的绩效指标且能清晰反映绩效可实现程度，绩效目标依据充分。做好绩效监控管理工作，建立监控制度，确保绩效目标如期实现。</w:t>
      </w:r>
    </w:p>
    <w:p w14:paraId="03A05018">
      <w:pPr>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2.多措并举提升预算执行率。建议检察院相关部门年初应制定较为详细的资金使用明细和计划，有效保障下一年度的资金使用和项目实施，采取项目事前评估或其他方式对项目执行过程中可能发生的问题进行预测，有的放矢的采取相关措施保障计划顺利实施。</w:t>
      </w:r>
    </w:p>
    <w:p w14:paraId="0012DA38">
      <w:pPr>
        <w:adjustRightInd w:val="0"/>
        <w:snapToGrid w:val="0"/>
        <w:spacing w:line="560" w:lineRule="exact"/>
        <w:ind w:firstLine="640" w:firstLineChars="200"/>
        <w:rPr>
          <w:rFonts w:hint="eastAsia" w:ascii="仿宋_GB2312" w:hAnsi="黑体" w:eastAsia="仿宋_GB2312"/>
          <w:sz w:val="32"/>
          <w:szCs w:val="32"/>
        </w:rPr>
      </w:pPr>
    </w:p>
    <w:p w14:paraId="218C9116">
      <w:pPr>
        <w:adjustRightInd w:val="0"/>
        <w:snapToGrid w:val="0"/>
        <w:spacing w:line="560" w:lineRule="exact"/>
        <w:ind w:firstLine="640" w:firstLineChars="200"/>
        <w:rPr>
          <w:rFonts w:hint="default" w:ascii="仿宋_GB2312" w:hAnsi="黑体" w:eastAsia="仿宋_GB2312"/>
          <w:sz w:val="32"/>
          <w:szCs w:val="32"/>
          <w:lang w:val="en-US" w:eastAsia="zh-CN"/>
        </w:rPr>
      </w:pPr>
    </w:p>
    <w:sectPr>
      <w:footerReference r:id="rId3" w:type="default"/>
      <w:pgSz w:w="11906" w:h="16838"/>
      <w:pgMar w:top="1440" w:right="1474" w:bottom="1440"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D23EA">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Quad Arrow 30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27C6E7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- 1 -</w:t>
                          </w:r>
                          <w:r>
                            <w:rPr>
                              <w:rFonts w:hint="eastAsia"/>
                              <w:sz w:val="18"/>
                            </w:rPr>
                            <w:fldChar w:fldCharType="end"/>
                          </w:r>
                        </w:p>
                      </w:txbxContent>
                    </wps:txbx>
                    <wps:bodyPr wrap="none" lIns="0" tIns="0" rIns="0" bIns="0" upright="1">
                      <a:spAutoFit/>
                    </wps:bodyPr>
                  </wps:wsp>
                </a:graphicData>
              </a:graphic>
            </wp:anchor>
          </w:drawing>
        </mc:Choice>
        <mc:Fallback>
          <w:pict>
            <v:shape id="Quad Arrow 307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DLZp0PwAEAAJ0DAAAOAAAAAAAAAAEAIAAAAB4BAABkcnMvZTJvRG9jLnhtbFBLBQYA&#10;AAAABgAGAFkBAABQBQAAAAA=&#10;">
              <v:fill on="f" focussize="0,0"/>
              <v:stroke on="f"/>
              <v:imagedata o:title=""/>
              <o:lock v:ext="edit" aspectratio="f"/>
              <v:textbox inset="0mm,0mm,0mm,0mm" style="mso-fit-shape-to-text:t;">
                <w:txbxContent>
                  <w:p w14:paraId="127C6E7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- 1 -</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350E6E"/>
    <w:multiLevelType w:val="singleLevel"/>
    <w:tmpl w:val="1D350E6E"/>
    <w:lvl w:ilvl="0" w:tentative="0">
      <w:start w:val="4"/>
      <w:numFmt w:val="decimal"/>
      <w:lvlText w:val="%1."/>
      <w:lvlJc w:val="left"/>
      <w:pPr>
        <w:tabs>
          <w:tab w:val="left" w:pos="312"/>
        </w:tabs>
      </w:pPr>
    </w:lvl>
  </w:abstractNum>
  <w:abstractNum w:abstractNumId="1">
    <w:nsid w:val="5E68489B"/>
    <w:multiLevelType w:val="singleLevel"/>
    <w:tmpl w:val="5E68489B"/>
    <w:lvl w:ilvl="0" w:tentative="0">
      <w:start w:val="1"/>
      <w:numFmt w:val="chineseCounting"/>
      <w:suff w:val="nothing"/>
      <w:lvlText w:val="（%1）"/>
      <w:lvlJc w:val="left"/>
      <w:rPr>
        <w:rFonts w:ascii="楷体" w:hAnsi="楷体" w:eastAsia="楷体"/>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RjMzdiZWJhMDJiMDlhNjE5ZGI0NzYwYzU0NTY0MDgifQ=="/>
  </w:docVars>
  <w:rsids>
    <w:rsidRoot w:val="0EBD2122"/>
    <w:rsid w:val="000B0260"/>
    <w:rsid w:val="007E6C1F"/>
    <w:rsid w:val="00956A93"/>
    <w:rsid w:val="009E575C"/>
    <w:rsid w:val="00AF167E"/>
    <w:rsid w:val="00AF566A"/>
    <w:rsid w:val="00B478EA"/>
    <w:rsid w:val="00B6553A"/>
    <w:rsid w:val="00BC6576"/>
    <w:rsid w:val="00CE06BA"/>
    <w:rsid w:val="00F441CC"/>
    <w:rsid w:val="01B104CA"/>
    <w:rsid w:val="02106AB0"/>
    <w:rsid w:val="02B43A28"/>
    <w:rsid w:val="046F331E"/>
    <w:rsid w:val="07956271"/>
    <w:rsid w:val="09721397"/>
    <w:rsid w:val="0BB63BED"/>
    <w:rsid w:val="0EB97A43"/>
    <w:rsid w:val="0EBD2122"/>
    <w:rsid w:val="0F214EAE"/>
    <w:rsid w:val="0F8C655E"/>
    <w:rsid w:val="11B71E6A"/>
    <w:rsid w:val="14F14FC4"/>
    <w:rsid w:val="1AAF0063"/>
    <w:rsid w:val="1BE140DE"/>
    <w:rsid w:val="235D3CEC"/>
    <w:rsid w:val="23A13D59"/>
    <w:rsid w:val="248C197D"/>
    <w:rsid w:val="252959AF"/>
    <w:rsid w:val="277A6671"/>
    <w:rsid w:val="292D35B7"/>
    <w:rsid w:val="33511393"/>
    <w:rsid w:val="33EB6CFF"/>
    <w:rsid w:val="35A12947"/>
    <w:rsid w:val="37387040"/>
    <w:rsid w:val="3B625C0A"/>
    <w:rsid w:val="3B7767BA"/>
    <w:rsid w:val="3CEC468F"/>
    <w:rsid w:val="3CEE1963"/>
    <w:rsid w:val="436B78D3"/>
    <w:rsid w:val="4C9C27FE"/>
    <w:rsid w:val="512260B4"/>
    <w:rsid w:val="52B960FF"/>
    <w:rsid w:val="52BD6ACB"/>
    <w:rsid w:val="55537534"/>
    <w:rsid w:val="561A74F1"/>
    <w:rsid w:val="597244E8"/>
    <w:rsid w:val="5E7165E8"/>
    <w:rsid w:val="5EB71C30"/>
    <w:rsid w:val="65975942"/>
    <w:rsid w:val="66AF0CE5"/>
    <w:rsid w:val="6AC537CF"/>
    <w:rsid w:val="6E5B14A6"/>
    <w:rsid w:val="6E5B5858"/>
    <w:rsid w:val="711B255E"/>
    <w:rsid w:val="7720096A"/>
    <w:rsid w:val="7BB51E06"/>
    <w:rsid w:val="7C387F7C"/>
    <w:rsid w:val="7FE83423"/>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customStyle="1" w:styleId="6">
    <w:name w:val="插入文本样式-插入部门职责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7">
    <w:name w:val="插入文本样式-插入职责分类绩效目标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8">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4368</Words>
  <Characters>4573</Characters>
  <Lines>4</Lines>
  <Paragraphs>1</Paragraphs>
  <TotalTime>7</TotalTime>
  <ScaleCrop>false</ScaleCrop>
  <LinksUpToDate>false</LinksUpToDate>
  <CharactersWithSpaces>4593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2020-02-04T03:46:00Z</dcterms:created>
  <dc:creator>欣欣大人</dc:creator>
  <cp:lastModifiedBy>彩虹变了色</cp:lastModifiedBy>
  <cp:lastPrinted>2024-04-19T06:44:00Z</cp:lastPrinted>
  <dcterms:modified xsi:type="dcterms:W3CDTF">2026-04-09T06:48:19Z</dcterms:modified>
  <dc:title>附件3：</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381192525CB645408057806F31C49DFB_13</vt:lpwstr>
  </property>
  <property fmtid="{D5CDD505-2E9C-101B-9397-08002B2CF9AE}" pid="4" name="KSOTemplateDocerSaveRecord">
    <vt:lpwstr>eyJoZGlkIjoiZjRjMzdiZWJhMDJiMDlhNjE5ZGI0NzYwYzU0NTY0MDgiLCJ1c2VySWQiOiIyODgzODc3NzMifQ==</vt:lpwstr>
  </property>
</Properties>
</file>