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86C82">
      <w:pPr>
        <w:spacing w:beforeLines="0" w:afterLines="0" w:line="780" w:lineRule="exact"/>
        <w:jc w:val="left"/>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4</w:t>
      </w:r>
    </w:p>
    <w:p w14:paraId="752BF8E3">
      <w:pPr>
        <w:spacing w:beforeLines="0" w:afterLines="0" w:line="780" w:lineRule="exact"/>
        <w:jc w:val="center"/>
        <w:rPr>
          <w:rFonts w:hint="default" w:ascii="宋体" w:hAnsi="宋体" w:cs="宋体"/>
          <w:b/>
          <w:sz w:val="44"/>
          <w:szCs w:val="44"/>
        </w:rPr>
      </w:pPr>
    </w:p>
    <w:p w14:paraId="439E83FF">
      <w:pPr>
        <w:spacing w:beforeLines="0" w:afterLines="0" w:line="780" w:lineRule="exact"/>
        <w:jc w:val="center"/>
        <w:rPr>
          <w:rFonts w:hint="default" w:ascii="宋体" w:hAnsi="宋体" w:cs="宋体"/>
          <w:b/>
          <w:sz w:val="44"/>
          <w:szCs w:val="44"/>
        </w:rPr>
      </w:pPr>
    </w:p>
    <w:p w14:paraId="4EF36BF9">
      <w:pPr>
        <w:spacing w:beforeLines="0" w:afterLines="0" w:line="780" w:lineRule="exact"/>
        <w:jc w:val="center"/>
        <w:rPr>
          <w:rFonts w:hint="default" w:ascii="宋体" w:hAnsi="宋体" w:cs="宋体"/>
          <w:b/>
          <w:sz w:val="44"/>
          <w:szCs w:val="44"/>
        </w:rPr>
      </w:pPr>
      <w:r>
        <w:rPr>
          <w:rFonts w:hint="default" w:ascii="宋体" w:hAnsi="宋体" w:cs="宋体"/>
          <w:b/>
          <w:sz w:val="44"/>
          <w:szCs w:val="44"/>
        </w:rPr>
        <w:t>石家庄市住房和城乡建设局</w:t>
      </w:r>
    </w:p>
    <w:p w14:paraId="024461CA">
      <w:pPr>
        <w:spacing w:beforeLines="0" w:afterLines="0" w:line="780" w:lineRule="exact"/>
        <w:jc w:val="center"/>
        <w:rPr>
          <w:rFonts w:hint="default" w:ascii="宋体" w:hAnsi="宋体" w:cs="宋体"/>
          <w:b/>
          <w:sz w:val="44"/>
          <w:szCs w:val="44"/>
        </w:rPr>
      </w:pPr>
      <w:r>
        <w:rPr>
          <w:rFonts w:hint="default" w:ascii="宋体" w:hAnsi="宋体" w:cs="宋体"/>
          <w:b/>
          <w:sz w:val="44"/>
          <w:szCs w:val="44"/>
        </w:rPr>
        <w:t>202</w:t>
      </w:r>
      <w:r>
        <w:rPr>
          <w:rFonts w:hint="default" w:ascii="宋体" w:hAnsi="宋体" w:cs="宋体"/>
          <w:b/>
          <w:sz w:val="44"/>
          <w:szCs w:val="44"/>
          <w:lang w:val="en-US" w:eastAsia="zh-CN"/>
        </w:rPr>
        <w:t>5</w:t>
      </w:r>
      <w:r>
        <w:rPr>
          <w:rFonts w:hint="default" w:ascii="宋体" w:hAnsi="宋体" w:cs="宋体"/>
          <w:b/>
          <w:sz w:val="44"/>
          <w:szCs w:val="44"/>
        </w:rPr>
        <w:t>年度整体支出绩效自评报告</w:t>
      </w:r>
    </w:p>
    <w:p w14:paraId="7DD82F1A">
      <w:pPr>
        <w:spacing w:beforeLines="0" w:afterLines="0" w:line="780" w:lineRule="exact"/>
        <w:jc w:val="center"/>
        <w:rPr>
          <w:rFonts w:hint="default" w:ascii="宋体" w:hAnsi="宋体" w:cs="宋体"/>
          <w:b/>
          <w:sz w:val="44"/>
          <w:szCs w:val="44"/>
        </w:rPr>
      </w:pPr>
    </w:p>
    <w:p w14:paraId="1865DC11">
      <w:pPr>
        <w:spacing w:beforeLines="0" w:afterLines="0" w:line="780" w:lineRule="exact"/>
        <w:jc w:val="center"/>
        <w:rPr>
          <w:rFonts w:hint="eastAsia" w:ascii="方正小标宋简体" w:eastAsia="方正小标宋简体"/>
          <w:b/>
          <w:sz w:val="44"/>
          <w:szCs w:val="44"/>
        </w:rPr>
      </w:pPr>
    </w:p>
    <w:p w14:paraId="6DE5ECC3">
      <w:pPr>
        <w:spacing w:beforeLines="0" w:afterLines="0" w:line="780" w:lineRule="exact"/>
        <w:jc w:val="center"/>
        <w:rPr>
          <w:rFonts w:hint="eastAsia" w:ascii="方正小标宋简体" w:eastAsia="方正小标宋简体"/>
          <w:b/>
          <w:sz w:val="44"/>
          <w:szCs w:val="44"/>
        </w:rPr>
      </w:pPr>
    </w:p>
    <w:p w14:paraId="1AAD33B5">
      <w:pPr>
        <w:spacing w:beforeLines="0" w:afterLines="0" w:line="780" w:lineRule="exact"/>
        <w:jc w:val="center"/>
        <w:rPr>
          <w:rFonts w:hint="eastAsia" w:ascii="方正小标宋简体" w:eastAsia="方正小标宋简体"/>
          <w:b/>
          <w:sz w:val="44"/>
          <w:szCs w:val="44"/>
        </w:rPr>
      </w:pPr>
    </w:p>
    <w:p w14:paraId="58A68513">
      <w:pPr>
        <w:spacing w:beforeLines="0" w:afterLines="0" w:line="780" w:lineRule="exact"/>
        <w:jc w:val="center"/>
        <w:rPr>
          <w:rFonts w:hint="eastAsia" w:ascii="方正小标宋简体" w:eastAsia="方正小标宋简体"/>
          <w:b/>
          <w:sz w:val="44"/>
          <w:szCs w:val="44"/>
        </w:rPr>
      </w:pPr>
    </w:p>
    <w:p w14:paraId="4A373139">
      <w:pPr>
        <w:spacing w:beforeLines="0" w:afterLines="0" w:line="780" w:lineRule="exact"/>
        <w:jc w:val="center"/>
        <w:rPr>
          <w:rFonts w:hint="eastAsia" w:ascii="方正小标宋简体" w:eastAsia="方正小标宋简体"/>
          <w:b/>
          <w:sz w:val="44"/>
          <w:szCs w:val="44"/>
        </w:rPr>
      </w:pPr>
    </w:p>
    <w:p w14:paraId="05C1CDFA">
      <w:pPr>
        <w:spacing w:beforeLines="0" w:afterLines="0" w:line="780" w:lineRule="exact"/>
        <w:jc w:val="center"/>
        <w:rPr>
          <w:rFonts w:hint="eastAsia" w:ascii="方正小标宋简体" w:eastAsia="方正小标宋简体"/>
          <w:b/>
          <w:sz w:val="44"/>
          <w:szCs w:val="44"/>
        </w:rPr>
      </w:pPr>
    </w:p>
    <w:p w14:paraId="4266C70D">
      <w:pPr>
        <w:spacing w:beforeLines="0" w:afterLines="0" w:line="780" w:lineRule="exact"/>
        <w:jc w:val="center"/>
        <w:rPr>
          <w:rFonts w:hint="eastAsia" w:ascii="方正小标宋简体" w:eastAsia="方正小标宋简体"/>
          <w:b/>
          <w:sz w:val="44"/>
          <w:szCs w:val="44"/>
        </w:rPr>
      </w:pPr>
    </w:p>
    <w:p w14:paraId="38BD07E1">
      <w:pPr>
        <w:tabs>
          <w:tab w:val="left" w:pos="1073"/>
        </w:tabs>
        <w:spacing w:before="240" w:beforeLines="0" w:after="60" w:afterLines="0" w:line="780" w:lineRule="exact"/>
        <w:rPr>
          <w:rFonts w:hint="eastAsia" w:ascii="仿宋_GB2312" w:eastAsia="仿宋_GB2312"/>
          <w:sz w:val="32"/>
          <w:szCs w:val="20"/>
        </w:rPr>
      </w:pPr>
    </w:p>
    <w:p w14:paraId="0D212D14">
      <w:pPr>
        <w:tabs>
          <w:tab w:val="left" w:pos="1073"/>
        </w:tabs>
        <w:spacing w:before="240" w:beforeLines="0" w:after="60" w:afterLines="0" w:line="780" w:lineRule="exact"/>
        <w:jc w:val="center"/>
        <w:rPr>
          <w:rFonts w:hint="eastAsia" w:ascii="方正小标宋简体" w:eastAsia="方正小标宋简体"/>
          <w:sz w:val="44"/>
          <w:szCs w:val="44"/>
        </w:rPr>
      </w:pPr>
      <w:r>
        <w:rPr>
          <w:rFonts w:hint="eastAsia" w:ascii="仿宋_GB2312" w:eastAsia="仿宋_GB2312"/>
          <w:sz w:val="32"/>
          <w:szCs w:val="20"/>
        </w:rPr>
        <w:t>项目主管单位：</w:t>
      </w:r>
      <w:r>
        <w:rPr>
          <w:rFonts w:hint="eastAsia" w:ascii="仿宋_GB2312" w:eastAsia="仿宋_GB2312"/>
          <w:kern w:val="28"/>
          <w:sz w:val="32"/>
          <w:szCs w:val="20"/>
        </w:rPr>
        <w:t>石家庄市住房和城乡建设局</w:t>
      </w:r>
    </w:p>
    <w:p w14:paraId="42420959">
      <w:pPr>
        <w:spacing w:beforeLines="0" w:afterLines="0" w:line="780" w:lineRule="exact"/>
        <w:jc w:val="center"/>
        <w:rPr>
          <w:rFonts w:hint="default" w:ascii="宋体" w:hAnsi="宋体" w:cs="宋体"/>
          <w:b/>
          <w:bCs/>
          <w:sz w:val="44"/>
          <w:szCs w:val="44"/>
          <w:lang w:val="en-US"/>
        </w:rPr>
        <w:sectPr>
          <w:pgSz w:w="11906" w:h="16838"/>
          <w:pgMar w:top="1440" w:right="1474" w:bottom="1440" w:left="1587" w:header="851" w:footer="992" w:gutter="0"/>
          <w:pgNumType w:fmt="numberInDash"/>
          <w:cols w:space="0" w:num="1"/>
          <w:docGrid w:type="lines" w:linePitch="312" w:charSpace="0"/>
        </w:sectPr>
      </w:pPr>
      <w:bookmarkStart w:id="0" w:name="_Toc3470"/>
      <w:r>
        <w:rPr>
          <w:rFonts w:hint="eastAsia" w:ascii="仿宋_GB2312" w:eastAsia="仿宋_GB2312"/>
          <w:sz w:val="32"/>
          <w:szCs w:val="20"/>
          <w:lang w:val="zh-CN"/>
        </w:rPr>
        <w:t>202</w:t>
      </w:r>
      <w:r>
        <w:rPr>
          <w:rFonts w:hint="eastAsia" w:ascii="仿宋_GB2312" w:eastAsia="仿宋_GB2312"/>
          <w:sz w:val="32"/>
          <w:szCs w:val="20"/>
          <w:lang w:val="en-US" w:eastAsia="zh-CN"/>
        </w:rPr>
        <w:t>6</w:t>
      </w:r>
      <w:r>
        <w:rPr>
          <w:rFonts w:hint="eastAsia" w:ascii="仿宋_GB2312" w:eastAsia="仿宋_GB2312"/>
          <w:sz w:val="32"/>
          <w:szCs w:val="20"/>
          <w:lang w:val="zh-CN"/>
        </w:rPr>
        <w:t>年</w:t>
      </w:r>
      <w:r>
        <w:rPr>
          <w:rFonts w:hint="eastAsia" w:ascii="仿宋_GB2312" w:eastAsia="仿宋_GB2312"/>
          <w:kern w:val="28"/>
          <w:sz w:val="32"/>
          <w:szCs w:val="20"/>
          <w:lang w:val="en-US" w:eastAsia="zh-CN"/>
        </w:rPr>
        <w:t>4</w:t>
      </w:r>
      <w:bookmarkEnd w:id="0"/>
      <w:r>
        <w:rPr>
          <w:rFonts w:hint="eastAsia" w:ascii="仿宋_GB2312" w:eastAsia="仿宋_GB2312"/>
          <w:kern w:val="28"/>
          <w:sz w:val="32"/>
          <w:szCs w:val="20"/>
          <w:lang w:val="en-US" w:eastAsia="zh-CN"/>
        </w:rPr>
        <w:t>月</w:t>
      </w:r>
    </w:p>
    <w:p w14:paraId="53DE9580">
      <w:pPr>
        <w:spacing w:before="0" w:beforeLines="0" w:after="0" w:afterLines="0" w:line="240" w:lineRule="auto"/>
        <w:ind w:left="0" w:leftChars="0" w:right="0" w:rightChars="0" w:firstLine="0" w:firstLineChars="0"/>
        <w:jc w:val="both"/>
      </w:pPr>
    </w:p>
    <w:p w14:paraId="6E0CA3FA">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14:paraId="28345B14">
      <w:pPr>
        <w:pStyle w:val="5"/>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ascii="宋体" w:hAnsi="宋体" w:cs="宋体"/>
          <w:bCs/>
          <w:szCs w:val="44"/>
        </w:rPr>
        <w:fldChar w:fldCharType="begin"/>
      </w:r>
      <w:r>
        <w:rPr>
          <w:rFonts w:ascii="宋体" w:hAnsi="宋体" w:cs="宋体"/>
          <w:bCs/>
          <w:szCs w:val="44"/>
        </w:rPr>
        <w:instrText xml:space="preserve">TOC \o "1-2" \h \u </w:instrText>
      </w:r>
      <w:r>
        <w:rPr>
          <w:rFonts w:ascii="宋体" w:hAnsi="宋体" w:cs="宋体"/>
          <w:bCs/>
          <w:szCs w:val="44"/>
        </w:rPr>
        <w:fldChar w:fldCharType="separate"/>
      </w: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_Toc25140 </w:instrText>
      </w:r>
      <w:r>
        <w:rPr>
          <w:rFonts w:hint="eastAsia" w:ascii="黑体" w:hAnsi="黑体" w:eastAsia="黑体" w:cs="黑体"/>
          <w:bCs/>
          <w:sz w:val="32"/>
          <w:szCs w:val="32"/>
        </w:rPr>
        <w:fldChar w:fldCharType="separate"/>
      </w:r>
      <w:r>
        <w:rPr>
          <w:rFonts w:hint="eastAsia" w:ascii="黑体" w:hAnsi="黑体" w:eastAsia="黑体" w:cs="黑体"/>
          <w:sz w:val="32"/>
          <w:szCs w:val="32"/>
        </w:rPr>
        <w:t>一、部门基本情况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_Toc25140 \h </w:instrText>
      </w:r>
      <w:r>
        <w:rPr>
          <w:rFonts w:hint="eastAsia" w:ascii="黑体" w:hAnsi="黑体" w:eastAsia="黑体" w:cs="黑体"/>
          <w:sz w:val="32"/>
          <w:szCs w:val="32"/>
        </w:rPr>
        <w:fldChar w:fldCharType="separate"/>
      </w:r>
      <w:r>
        <w:rPr>
          <w:rFonts w:hint="eastAsia" w:ascii="黑体" w:hAnsi="黑体" w:eastAsia="黑体" w:cs="黑体"/>
          <w:sz w:val="32"/>
          <w:szCs w:val="32"/>
        </w:rPr>
        <w:t>- 1 -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2E9A4313">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_Toc23307 </w:instrText>
      </w:r>
      <w:r>
        <w:rPr>
          <w:rFonts w:hint="eastAsia" w:ascii="黑体" w:hAnsi="黑体" w:eastAsia="黑体" w:cs="黑体"/>
          <w:bCs/>
          <w:sz w:val="32"/>
          <w:szCs w:val="32"/>
        </w:rPr>
        <w:fldChar w:fldCharType="separate"/>
      </w:r>
      <w:r>
        <w:rPr>
          <w:rFonts w:hint="eastAsia" w:ascii="黑体" w:hAnsi="黑体" w:eastAsia="黑体" w:cs="黑体"/>
          <w:bCs/>
          <w:sz w:val="32"/>
          <w:szCs w:val="32"/>
        </w:rPr>
        <w:t>（一）部门概况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_Toc23307 \h </w:instrText>
      </w:r>
      <w:r>
        <w:rPr>
          <w:rFonts w:hint="eastAsia" w:ascii="黑体" w:hAnsi="黑体" w:eastAsia="黑体" w:cs="黑体"/>
          <w:sz w:val="32"/>
          <w:szCs w:val="32"/>
        </w:rPr>
        <w:fldChar w:fldCharType="separate"/>
      </w:r>
      <w:r>
        <w:rPr>
          <w:rFonts w:hint="eastAsia" w:ascii="黑体" w:hAnsi="黑体" w:eastAsia="黑体" w:cs="黑体"/>
          <w:sz w:val="32"/>
          <w:szCs w:val="32"/>
        </w:rPr>
        <w:t>- 1 -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1278EB40">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_Toc23718 </w:instrText>
      </w:r>
      <w:r>
        <w:rPr>
          <w:rFonts w:hint="eastAsia" w:ascii="黑体" w:hAnsi="黑体" w:eastAsia="黑体" w:cs="黑体"/>
          <w:bCs/>
          <w:sz w:val="32"/>
          <w:szCs w:val="32"/>
        </w:rPr>
        <w:fldChar w:fldCharType="separate"/>
      </w:r>
      <w:r>
        <w:rPr>
          <w:rFonts w:hint="eastAsia" w:ascii="黑体" w:hAnsi="黑体" w:eastAsia="黑体" w:cs="黑体"/>
          <w:bCs/>
          <w:sz w:val="32"/>
          <w:szCs w:val="32"/>
        </w:rPr>
        <w:t>（二）部门收支预决算情况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_Toc23718 \h </w:instrText>
      </w:r>
      <w:r>
        <w:rPr>
          <w:rFonts w:hint="eastAsia" w:ascii="黑体" w:hAnsi="黑体" w:eastAsia="黑体" w:cs="黑体"/>
          <w:sz w:val="32"/>
          <w:szCs w:val="32"/>
        </w:rPr>
        <w:fldChar w:fldCharType="separate"/>
      </w:r>
      <w:r>
        <w:rPr>
          <w:rFonts w:hint="eastAsia" w:ascii="黑体" w:hAnsi="黑体" w:eastAsia="黑体" w:cs="黑体"/>
          <w:sz w:val="32"/>
          <w:szCs w:val="32"/>
        </w:rPr>
        <w:t>- 3 -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56C48B0F">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_Toc28388 </w:instrText>
      </w:r>
      <w:r>
        <w:rPr>
          <w:rFonts w:hint="eastAsia" w:ascii="黑体" w:hAnsi="黑体" w:eastAsia="黑体" w:cs="黑体"/>
          <w:bCs/>
          <w:sz w:val="32"/>
          <w:szCs w:val="32"/>
        </w:rPr>
        <w:fldChar w:fldCharType="separate"/>
      </w:r>
      <w:r>
        <w:rPr>
          <w:rFonts w:hint="eastAsia" w:ascii="黑体" w:hAnsi="黑体" w:eastAsia="黑体" w:cs="黑体"/>
          <w:bCs/>
          <w:sz w:val="32"/>
          <w:szCs w:val="32"/>
        </w:rPr>
        <w:t>（三）部门整体支出绩效目标、指标</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_Toc28388 \h </w:instrText>
      </w:r>
      <w:r>
        <w:rPr>
          <w:rFonts w:hint="eastAsia" w:ascii="黑体" w:hAnsi="黑体" w:eastAsia="黑体" w:cs="黑体"/>
          <w:sz w:val="32"/>
          <w:szCs w:val="32"/>
        </w:rPr>
        <w:fldChar w:fldCharType="separate"/>
      </w:r>
      <w:r>
        <w:rPr>
          <w:rFonts w:hint="eastAsia" w:ascii="黑体" w:hAnsi="黑体" w:eastAsia="黑体" w:cs="黑体"/>
          <w:sz w:val="32"/>
          <w:szCs w:val="32"/>
        </w:rPr>
        <w:t>- 3 -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3FF279C3">
      <w:pPr>
        <w:pStyle w:val="5"/>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_Toc8363 </w:instrText>
      </w:r>
      <w:r>
        <w:rPr>
          <w:rFonts w:hint="eastAsia" w:ascii="黑体" w:hAnsi="黑体" w:eastAsia="黑体" w:cs="黑体"/>
          <w:bCs/>
          <w:sz w:val="32"/>
          <w:szCs w:val="32"/>
        </w:rPr>
        <w:fldChar w:fldCharType="separate"/>
      </w:r>
      <w:r>
        <w:rPr>
          <w:rFonts w:hint="eastAsia" w:ascii="黑体" w:hAnsi="黑体" w:eastAsia="黑体" w:cs="黑体"/>
          <w:sz w:val="32"/>
          <w:szCs w:val="32"/>
        </w:rPr>
        <w:t>二、自评工作开展情况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_Toc8363 \h </w:instrText>
      </w:r>
      <w:r>
        <w:rPr>
          <w:rFonts w:hint="eastAsia" w:ascii="黑体" w:hAnsi="黑体" w:eastAsia="黑体" w:cs="黑体"/>
          <w:sz w:val="32"/>
          <w:szCs w:val="32"/>
        </w:rPr>
        <w:fldChar w:fldCharType="separate"/>
      </w:r>
      <w:r>
        <w:rPr>
          <w:rFonts w:hint="eastAsia" w:ascii="黑体" w:hAnsi="黑体" w:eastAsia="黑体" w:cs="黑体"/>
          <w:sz w:val="32"/>
          <w:szCs w:val="32"/>
        </w:rPr>
        <w:t>- 8 -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4CE13758">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_Toc2242 </w:instrText>
      </w:r>
      <w:r>
        <w:rPr>
          <w:rFonts w:hint="eastAsia" w:ascii="黑体" w:hAnsi="黑体" w:eastAsia="黑体" w:cs="黑体"/>
          <w:bCs/>
          <w:sz w:val="32"/>
          <w:szCs w:val="32"/>
        </w:rPr>
        <w:fldChar w:fldCharType="separate"/>
      </w:r>
      <w:r>
        <w:rPr>
          <w:rFonts w:hint="eastAsia" w:ascii="黑体" w:hAnsi="黑体" w:eastAsia="黑体" w:cs="黑体"/>
          <w:bCs/>
          <w:sz w:val="32"/>
          <w:szCs w:val="32"/>
          <w:lang w:val="en-US" w:eastAsia="zh-CN"/>
        </w:rPr>
        <w:t>（一）自评的组织工作</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_Toc2242 \h </w:instrText>
      </w:r>
      <w:r>
        <w:rPr>
          <w:rFonts w:hint="eastAsia" w:ascii="黑体" w:hAnsi="黑体" w:eastAsia="黑体" w:cs="黑体"/>
          <w:sz w:val="32"/>
          <w:szCs w:val="32"/>
        </w:rPr>
        <w:fldChar w:fldCharType="separate"/>
      </w:r>
      <w:r>
        <w:rPr>
          <w:rFonts w:hint="eastAsia" w:ascii="黑体" w:hAnsi="黑体" w:eastAsia="黑体" w:cs="黑体"/>
          <w:sz w:val="32"/>
          <w:szCs w:val="32"/>
        </w:rPr>
        <w:t>- 8 -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6A87CA9E">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_Toc29543 </w:instrText>
      </w:r>
      <w:r>
        <w:rPr>
          <w:rFonts w:hint="eastAsia" w:ascii="黑体" w:hAnsi="黑体" w:eastAsia="黑体" w:cs="黑体"/>
          <w:bCs/>
          <w:sz w:val="32"/>
          <w:szCs w:val="32"/>
        </w:rPr>
        <w:fldChar w:fldCharType="separate"/>
      </w:r>
      <w:r>
        <w:rPr>
          <w:rFonts w:hint="eastAsia" w:ascii="黑体" w:hAnsi="黑体" w:eastAsia="黑体" w:cs="黑体"/>
          <w:bCs/>
          <w:sz w:val="32"/>
          <w:szCs w:val="32"/>
          <w:lang w:val="en-US" w:eastAsia="zh-CN"/>
        </w:rPr>
        <w:t>（二）自评的方法和过程</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_Toc29543 \h </w:instrText>
      </w:r>
      <w:r>
        <w:rPr>
          <w:rFonts w:hint="eastAsia" w:ascii="黑体" w:hAnsi="黑体" w:eastAsia="黑体" w:cs="黑体"/>
          <w:sz w:val="32"/>
          <w:szCs w:val="32"/>
        </w:rPr>
        <w:fldChar w:fldCharType="separate"/>
      </w:r>
      <w:r>
        <w:rPr>
          <w:rFonts w:hint="eastAsia" w:ascii="黑体" w:hAnsi="黑体" w:eastAsia="黑体" w:cs="黑体"/>
          <w:sz w:val="32"/>
          <w:szCs w:val="32"/>
        </w:rPr>
        <w:t>- 8 -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51159AA1">
      <w:pPr>
        <w:pStyle w:val="5"/>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_Toc14637 </w:instrText>
      </w:r>
      <w:r>
        <w:rPr>
          <w:rFonts w:hint="eastAsia" w:ascii="黑体" w:hAnsi="黑体" w:eastAsia="黑体" w:cs="黑体"/>
          <w:bCs/>
          <w:sz w:val="32"/>
          <w:szCs w:val="32"/>
        </w:rPr>
        <w:fldChar w:fldCharType="separate"/>
      </w:r>
      <w:r>
        <w:rPr>
          <w:rFonts w:hint="eastAsia" w:ascii="黑体" w:hAnsi="黑体" w:eastAsia="黑体" w:cs="黑体"/>
          <w:sz w:val="32"/>
          <w:szCs w:val="32"/>
        </w:rPr>
        <w:t>三、部门整体支出绩效目标实现情况及指标分析</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_Toc14637 \h </w:instrText>
      </w:r>
      <w:r>
        <w:rPr>
          <w:rFonts w:hint="eastAsia" w:ascii="黑体" w:hAnsi="黑体" w:eastAsia="黑体" w:cs="黑体"/>
          <w:sz w:val="32"/>
          <w:szCs w:val="32"/>
        </w:rPr>
        <w:fldChar w:fldCharType="separate"/>
      </w:r>
      <w:r>
        <w:rPr>
          <w:rFonts w:hint="eastAsia" w:ascii="黑体" w:hAnsi="黑体" w:eastAsia="黑体" w:cs="黑体"/>
          <w:sz w:val="32"/>
          <w:szCs w:val="32"/>
        </w:rPr>
        <w:t>- 9 -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4680DB09">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_Toc19307 </w:instrText>
      </w:r>
      <w:r>
        <w:rPr>
          <w:rFonts w:hint="eastAsia" w:ascii="黑体" w:hAnsi="黑体" w:eastAsia="黑体" w:cs="黑体"/>
          <w:bCs/>
          <w:sz w:val="32"/>
          <w:szCs w:val="32"/>
        </w:rPr>
        <w:fldChar w:fldCharType="separate"/>
      </w:r>
      <w:r>
        <w:rPr>
          <w:rFonts w:hint="eastAsia" w:ascii="黑体" w:hAnsi="黑体" w:eastAsia="黑体" w:cs="黑体"/>
          <w:bCs/>
          <w:sz w:val="32"/>
          <w:szCs w:val="32"/>
          <w:lang w:eastAsia="zh-CN"/>
        </w:rPr>
        <w:t>（</w:t>
      </w:r>
      <w:r>
        <w:rPr>
          <w:rFonts w:hint="eastAsia" w:ascii="黑体" w:hAnsi="黑体" w:eastAsia="黑体" w:cs="黑体"/>
          <w:bCs/>
          <w:sz w:val="32"/>
          <w:szCs w:val="32"/>
          <w:lang w:val="en-US" w:eastAsia="zh-CN"/>
        </w:rPr>
        <w:t>一</w:t>
      </w:r>
      <w:r>
        <w:rPr>
          <w:rFonts w:hint="eastAsia" w:ascii="黑体" w:hAnsi="黑体" w:eastAsia="黑体" w:cs="黑体"/>
          <w:bCs/>
          <w:sz w:val="32"/>
          <w:szCs w:val="32"/>
          <w:lang w:eastAsia="zh-CN"/>
        </w:rPr>
        <w:t>）</w:t>
      </w:r>
      <w:r>
        <w:rPr>
          <w:rFonts w:hint="eastAsia" w:ascii="黑体" w:hAnsi="黑体" w:eastAsia="黑体" w:cs="黑体"/>
          <w:bCs/>
          <w:sz w:val="32"/>
          <w:szCs w:val="32"/>
        </w:rPr>
        <w:t>总体绩效目标实现情况</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_Toc19307 \h </w:instrText>
      </w:r>
      <w:r>
        <w:rPr>
          <w:rFonts w:hint="eastAsia" w:ascii="黑体" w:hAnsi="黑体" w:eastAsia="黑体" w:cs="黑体"/>
          <w:sz w:val="32"/>
          <w:szCs w:val="32"/>
        </w:rPr>
        <w:fldChar w:fldCharType="separate"/>
      </w:r>
      <w:r>
        <w:rPr>
          <w:rFonts w:hint="eastAsia" w:ascii="黑体" w:hAnsi="黑体" w:eastAsia="黑体" w:cs="黑体"/>
          <w:sz w:val="32"/>
          <w:szCs w:val="32"/>
        </w:rPr>
        <w:t>- 9 -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7BD76D22">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_Toc19441 </w:instrText>
      </w:r>
      <w:r>
        <w:rPr>
          <w:rFonts w:hint="eastAsia" w:ascii="黑体" w:hAnsi="黑体" w:eastAsia="黑体" w:cs="黑体"/>
          <w:bCs/>
          <w:sz w:val="32"/>
          <w:szCs w:val="32"/>
        </w:rPr>
        <w:fldChar w:fldCharType="separate"/>
      </w:r>
      <w:r>
        <w:rPr>
          <w:rFonts w:hint="eastAsia" w:ascii="黑体" w:hAnsi="黑体" w:eastAsia="黑体" w:cs="黑体"/>
          <w:bCs/>
          <w:sz w:val="32"/>
          <w:szCs w:val="32"/>
          <w:lang w:eastAsia="zh-CN"/>
        </w:rPr>
        <w:t>（二）分项绩效目标实现情况及指标分析</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_Toc19441 \h </w:instrText>
      </w:r>
      <w:r>
        <w:rPr>
          <w:rFonts w:hint="eastAsia" w:ascii="黑体" w:hAnsi="黑体" w:eastAsia="黑体" w:cs="黑体"/>
          <w:sz w:val="32"/>
          <w:szCs w:val="32"/>
        </w:rPr>
        <w:fldChar w:fldCharType="separate"/>
      </w:r>
      <w:r>
        <w:rPr>
          <w:rFonts w:hint="eastAsia" w:ascii="黑体" w:hAnsi="黑体" w:eastAsia="黑体" w:cs="黑体"/>
          <w:sz w:val="32"/>
          <w:szCs w:val="32"/>
        </w:rPr>
        <w:t>- 10 -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707D341B">
      <w:pPr>
        <w:pStyle w:val="5"/>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_Toc16077 </w:instrText>
      </w:r>
      <w:r>
        <w:rPr>
          <w:rFonts w:hint="eastAsia" w:ascii="黑体" w:hAnsi="黑体" w:eastAsia="黑体" w:cs="黑体"/>
          <w:bCs/>
          <w:sz w:val="32"/>
          <w:szCs w:val="32"/>
        </w:rPr>
        <w:fldChar w:fldCharType="separate"/>
      </w:r>
      <w:r>
        <w:rPr>
          <w:rFonts w:hint="eastAsia" w:ascii="黑体" w:hAnsi="黑体" w:eastAsia="黑体" w:cs="黑体"/>
          <w:sz w:val="32"/>
          <w:szCs w:val="32"/>
        </w:rPr>
        <w:t>四、评价结论和评价等级</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_Toc16077 \h </w:instrText>
      </w:r>
      <w:r>
        <w:rPr>
          <w:rFonts w:hint="eastAsia" w:ascii="黑体" w:hAnsi="黑体" w:eastAsia="黑体" w:cs="黑体"/>
          <w:sz w:val="32"/>
          <w:szCs w:val="32"/>
        </w:rPr>
        <w:fldChar w:fldCharType="separate"/>
      </w:r>
      <w:r>
        <w:rPr>
          <w:rFonts w:hint="eastAsia" w:ascii="黑体" w:hAnsi="黑体" w:eastAsia="黑体" w:cs="黑体"/>
          <w:sz w:val="32"/>
          <w:szCs w:val="32"/>
        </w:rPr>
        <w:t>- 13 -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3AF73ABB">
      <w:pPr>
        <w:pStyle w:val="5"/>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_Toc31327 </w:instrText>
      </w:r>
      <w:r>
        <w:rPr>
          <w:rFonts w:hint="eastAsia" w:ascii="黑体" w:hAnsi="黑体" w:eastAsia="黑体" w:cs="黑体"/>
          <w:bCs/>
          <w:sz w:val="32"/>
          <w:szCs w:val="32"/>
        </w:rPr>
        <w:fldChar w:fldCharType="separate"/>
      </w:r>
      <w:r>
        <w:rPr>
          <w:rFonts w:hint="eastAsia" w:ascii="黑体" w:hAnsi="黑体" w:eastAsia="黑体" w:cs="黑体"/>
          <w:sz w:val="32"/>
          <w:szCs w:val="32"/>
        </w:rPr>
        <w:t>五、存在的问题及改进措施</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_Toc31327 \h </w:instrText>
      </w:r>
      <w:r>
        <w:rPr>
          <w:rFonts w:hint="eastAsia" w:ascii="黑体" w:hAnsi="黑体" w:eastAsia="黑体" w:cs="黑体"/>
          <w:sz w:val="32"/>
          <w:szCs w:val="32"/>
        </w:rPr>
        <w:fldChar w:fldCharType="separate"/>
      </w:r>
      <w:r>
        <w:rPr>
          <w:rFonts w:hint="eastAsia" w:ascii="黑体" w:hAnsi="黑体" w:eastAsia="黑体" w:cs="黑体"/>
          <w:sz w:val="32"/>
          <w:szCs w:val="32"/>
        </w:rPr>
        <w:t>- 13 -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4A162313">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rPr>
          <w:rFonts w:hint="eastAsia" w:ascii="黑体" w:hAnsi="黑体" w:eastAsia="黑体" w:cs="黑体"/>
          <w:sz w:val="32"/>
          <w:szCs w:val="32"/>
        </w:rPr>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_Toc30438 </w:instrText>
      </w:r>
      <w:r>
        <w:rPr>
          <w:rFonts w:hint="eastAsia" w:ascii="黑体" w:hAnsi="黑体" w:eastAsia="黑体" w:cs="黑体"/>
          <w:bCs/>
          <w:sz w:val="32"/>
          <w:szCs w:val="32"/>
        </w:rPr>
        <w:fldChar w:fldCharType="separate"/>
      </w:r>
      <w:r>
        <w:rPr>
          <w:rFonts w:hint="eastAsia" w:ascii="黑体" w:hAnsi="黑体" w:eastAsia="黑体" w:cs="黑体"/>
          <w:bCs/>
          <w:sz w:val="32"/>
          <w:szCs w:val="32"/>
          <w:lang w:eastAsia="zh-CN"/>
        </w:rPr>
        <w:t>（一）存在的主要问题</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_Toc30438 \h </w:instrText>
      </w:r>
      <w:r>
        <w:rPr>
          <w:rFonts w:hint="eastAsia" w:ascii="黑体" w:hAnsi="黑体" w:eastAsia="黑体" w:cs="黑体"/>
          <w:sz w:val="32"/>
          <w:szCs w:val="32"/>
        </w:rPr>
        <w:fldChar w:fldCharType="separate"/>
      </w:r>
      <w:r>
        <w:rPr>
          <w:rFonts w:hint="eastAsia" w:ascii="黑体" w:hAnsi="黑体" w:eastAsia="黑体" w:cs="黑体"/>
          <w:sz w:val="32"/>
          <w:szCs w:val="32"/>
        </w:rPr>
        <w:t>- 13 -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77D8AA8C">
      <w:pPr>
        <w:pStyle w:val="6"/>
        <w:keepNext w:val="0"/>
        <w:keepLines w:val="0"/>
        <w:pageBreakBefore w:val="0"/>
        <w:widowControl w:val="0"/>
        <w:tabs>
          <w:tab w:val="right" w:leader="dot" w:pos="8845"/>
        </w:tabs>
        <w:kinsoku/>
        <w:wordWrap/>
        <w:overflowPunct/>
        <w:topLinePunct w:val="0"/>
        <w:autoSpaceDE/>
        <w:autoSpaceDN/>
        <w:bidi w:val="0"/>
        <w:adjustRightInd/>
        <w:snapToGrid/>
        <w:spacing w:line="760" w:lineRule="exact"/>
        <w:textAlignment w:val="auto"/>
      </w:pPr>
      <w:r>
        <w:rPr>
          <w:rFonts w:hint="eastAsia" w:ascii="黑体" w:hAnsi="黑体" w:eastAsia="黑体" w:cs="黑体"/>
          <w:bCs/>
          <w:sz w:val="32"/>
          <w:szCs w:val="32"/>
        </w:rPr>
        <w:fldChar w:fldCharType="begin"/>
      </w:r>
      <w:r>
        <w:rPr>
          <w:rFonts w:hint="eastAsia" w:ascii="黑体" w:hAnsi="黑体" w:eastAsia="黑体" w:cs="黑体"/>
          <w:bCs/>
          <w:sz w:val="32"/>
          <w:szCs w:val="32"/>
        </w:rPr>
        <w:instrText xml:space="preserve"> HYPERLINK \l _Toc28818 </w:instrText>
      </w:r>
      <w:r>
        <w:rPr>
          <w:rFonts w:hint="eastAsia" w:ascii="黑体" w:hAnsi="黑体" w:eastAsia="黑体" w:cs="黑体"/>
          <w:bCs/>
          <w:sz w:val="32"/>
          <w:szCs w:val="32"/>
        </w:rPr>
        <w:fldChar w:fldCharType="separate"/>
      </w:r>
      <w:r>
        <w:rPr>
          <w:rFonts w:hint="eastAsia" w:ascii="黑体" w:hAnsi="黑体" w:eastAsia="黑体" w:cs="黑体"/>
          <w:bCs/>
          <w:sz w:val="32"/>
          <w:szCs w:val="32"/>
          <w:lang w:eastAsia="zh-CN"/>
        </w:rPr>
        <w:t>（二）针对问题提出具体的改进措施或建议</w:t>
      </w:r>
      <w:r>
        <w:rPr>
          <w:rFonts w:hint="eastAsia" w:ascii="黑体" w:hAnsi="黑体" w:eastAsia="黑体" w:cs="黑体"/>
          <w:sz w:val="32"/>
          <w:szCs w:val="32"/>
        </w:rPr>
        <w:tab/>
      </w:r>
      <w:r>
        <w:rPr>
          <w:rFonts w:hint="eastAsia" w:ascii="黑体" w:hAnsi="黑体" w:eastAsia="黑体" w:cs="黑体"/>
          <w:sz w:val="32"/>
          <w:szCs w:val="32"/>
        </w:rPr>
        <w:fldChar w:fldCharType="begin"/>
      </w:r>
      <w:r>
        <w:rPr>
          <w:rFonts w:hint="eastAsia" w:ascii="黑体" w:hAnsi="黑体" w:eastAsia="黑体" w:cs="黑体"/>
          <w:sz w:val="32"/>
          <w:szCs w:val="32"/>
        </w:rPr>
        <w:instrText xml:space="preserve"> PAGEREF _Toc28818 \h </w:instrText>
      </w:r>
      <w:r>
        <w:rPr>
          <w:rFonts w:hint="eastAsia" w:ascii="黑体" w:hAnsi="黑体" w:eastAsia="黑体" w:cs="黑体"/>
          <w:sz w:val="32"/>
          <w:szCs w:val="32"/>
        </w:rPr>
        <w:fldChar w:fldCharType="separate"/>
      </w:r>
      <w:r>
        <w:rPr>
          <w:rFonts w:hint="eastAsia" w:ascii="黑体" w:hAnsi="黑体" w:eastAsia="黑体" w:cs="黑体"/>
          <w:sz w:val="32"/>
          <w:szCs w:val="32"/>
        </w:rPr>
        <w:t>- 14 -</w:t>
      </w:r>
      <w:r>
        <w:rPr>
          <w:rFonts w:hint="eastAsia" w:ascii="黑体" w:hAnsi="黑体" w:eastAsia="黑体" w:cs="黑体"/>
          <w:sz w:val="32"/>
          <w:szCs w:val="32"/>
        </w:rPr>
        <w:fldChar w:fldCharType="end"/>
      </w:r>
      <w:r>
        <w:rPr>
          <w:rFonts w:hint="eastAsia" w:ascii="黑体" w:hAnsi="黑体" w:eastAsia="黑体" w:cs="黑体"/>
          <w:bCs/>
          <w:sz w:val="32"/>
          <w:szCs w:val="32"/>
        </w:rPr>
        <w:fldChar w:fldCharType="end"/>
      </w:r>
    </w:p>
    <w:p w14:paraId="25F9781F">
      <w:pPr>
        <w:keepNext w:val="0"/>
        <w:keepLines w:val="0"/>
        <w:pageBreakBefore w:val="0"/>
        <w:widowControl w:val="0"/>
        <w:kinsoku/>
        <w:wordWrap/>
        <w:overflowPunct/>
        <w:topLinePunct w:val="0"/>
        <w:autoSpaceDE/>
        <w:autoSpaceDN/>
        <w:bidi w:val="0"/>
        <w:adjustRightInd/>
        <w:snapToGrid/>
        <w:spacing w:before="0" w:beforeLines="0" w:after="0" w:afterLines="0" w:line="760" w:lineRule="exact"/>
        <w:ind w:left="0" w:leftChars="0" w:right="0" w:rightChars="0" w:firstLine="0" w:firstLineChars="0"/>
        <w:jc w:val="both"/>
        <w:textAlignment w:val="auto"/>
        <w:rPr>
          <w:rFonts w:ascii="宋体" w:hAnsi="宋体" w:cs="宋体"/>
          <w:bCs/>
          <w:szCs w:val="44"/>
        </w:rPr>
        <w:sectPr>
          <w:pgSz w:w="11906" w:h="16838"/>
          <w:pgMar w:top="1440" w:right="1474" w:bottom="1440" w:left="1587" w:header="851" w:footer="992" w:gutter="0"/>
          <w:pgNumType w:fmt="numberInDash"/>
          <w:cols w:space="0" w:num="1"/>
          <w:docGrid w:type="lines" w:linePitch="312" w:charSpace="0"/>
        </w:sectPr>
      </w:pPr>
      <w:r>
        <w:rPr>
          <w:rFonts w:ascii="宋体" w:hAnsi="宋体" w:cs="宋体"/>
          <w:bCs/>
          <w:szCs w:val="44"/>
        </w:rPr>
        <w:fldChar w:fldCharType="end"/>
      </w:r>
      <w:bookmarkStart w:id="39" w:name="_GoBack"/>
      <w:bookmarkEnd w:id="39"/>
    </w:p>
    <w:p w14:paraId="3CD75178">
      <w:pPr>
        <w:spacing w:line="560" w:lineRule="exact"/>
        <w:jc w:val="both"/>
        <w:rPr>
          <w:rFonts w:hint="eastAsia" w:ascii="宋体" w:hAnsi="宋体" w:cs="宋体"/>
          <w:b/>
          <w:bCs/>
          <w:sz w:val="44"/>
          <w:szCs w:val="44"/>
        </w:rPr>
      </w:pPr>
    </w:p>
    <w:p w14:paraId="47D4E091">
      <w:pPr>
        <w:spacing w:line="560" w:lineRule="exact"/>
        <w:jc w:val="center"/>
        <w:rPr>
          <w:rFonts w:hint="eastAsia" w:ascii="宋体" w:hAnsi="宋体" w:cs="宋体"/>
          <w:b/>
          <w:bCs/>
          <w:sz w:val="44"/>
          <w:szCs w:val="44"/>
        </w:rPr>
      </w:pPr>
      <w:bookmarkStart w:id="1" w:name="_Toc22334"/>
      <w:r>
        <w:rPr>
          <w:rFonts w:hint="eastAsia" w:ascii="宋体" w:hAnsi="宋体" w:cs="宋体"/>
          <w:b/>
          <w:bCs/>
          <w:sz w:val="44"/>
          <w:szCs w:val="44"/>
        </w:rPr>
        <w:t>石家庄市住房和城乡建设局</w:t>
      </w:r>
      <w:bookmarkEnd w:id="1"/>
    </w:p>
    <w:p w14:paraId="24A9D888">
      <w:pPr>
        <w:spacing w:line="560" w:lineRule="exact"/>
        <w:jc w:val="center"/>
        <w:rPr>
          <w:rFonts w:ascii="宋体" w:hAnsi="宋体" w:cs="宋体"/>
          <w:sz w:val="44"/>
          <w:szCs w:val="44"/>
        </w:rPr>
      </w:pPr>
      <w:r>
        <w:rPr>
          <w:rFonts w:hint="eastAsia" w:ascii="宋体" w:hAnsi="宋体" w:cs="宋体"/>
          <w:b/>
          <w:bCs/>
          <w:sz w:val="44"/>
          <w:szCs w:val="44"/>
        </w:rPr>
        <w:t>202</w:t>
      </w:r>
      <w:r>
        <w:rPr>
          <w:rFonts w:hint="eastAsia" w:ascii="宋体" w:hAnsi="宋体" w:cs="宋体"/>
          <w:b/>
          <w:bCs/>
          <w:sz w:val="44"/>
          <w:szCs w:val="44"/>
          <w:lang w:val="en-US" w:eastAsia="zh-CN"/>
        </w:rPr>
        <w:t>5</w:t>
      </w:r>
      <w:r>
        <w:rPr>
          <w:rFonts w:hint="eastAsia" w:ascii="宋体" w:hAnsi="宋体" w:cs="宋体"/>
          <w:b/>
          <w:bCs/>
          <w:sz w:val="44"/>
          <w:szCs w:val="44"/>
        </w:rPr>
        <w:t>年度整体支出绩效自评报告</w:t>
      </w:r>
    </w:p>
    <w:p w14:paraId="7DB97C26">
      <w:pPr>
        <w:spacing w:line="560" w:lineRule="exact"/>
        <w:jc w:val="center"/>
        <w:rPr>
          <w:rFonts w:ascii="华文楷体" w:eastAsia="华文楷体"/>
          <w:sz w:val="32"/>
          <w:szCs w:val="32"/>
        </w:rPr>
      </w:pPr>
    </w:p>
    <w:p w14:paraId="49821B4E">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贯彻落实市委市政府《关于全面落实预算绩效管理的实施意见》（石发﹝2019﹞8号）文件精神，遵循“科学性、规范性、客观性和公正性”的原则，对石家庄市住房和城乡建设局202</w:t>
      </w:r>
      <w:r>
        <w:rPr>
          <w:rFonts w:hint="eastAsia" w:ascii="仿宋" w:hAnsi="仿宋" w:eastAsia="仿宋"/>
          <w:sz w:val="32"/>
          <w:szCs w:val="32"/>
          <w:lang w:val="en-US" w:eastAsia="zh-CN"/>
        </w:rPr>
        <w:t>5</w:t>
      </w:r>
      <w:r>
        <w:rPr>
          <w:rFonts w:hint="eastAsia" w:ascii="仿宋" w:hAnsi="仿宋" w:eastAsia="仿宋"/>
          <w:sz w:val="32"/>
          <w:szCs w:val="32"/>
        </w:rPr>
        <w:t>年整体支出情况实施了财政支出绩效自评价，形成本评价报告。</w:t>
      </w:r>
    </w:p>
    <w:p w14:paraId="104816E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sz w:val="32"/>
          <w:szCs w:val="32"/>
        </w:rPr>
      </w:pPr>
      <w:bookmarkStart w:id="2" w:name="_Toc1267"/>
      <w:bookmarkStart w:id="3" w:name="_Toc25140"/>
      <w:bookmarkStart w:id="4" w:name="_Toc5960"/>
      <w:bookmarkStart w:id="5" w:name="_Toc17671"/>
      <w:bookmarkStart w:id="6" w:name="_Toc15187"/>
      <w:r>
        <w:rPr>
          <w:rFonts w:hint="eastAsia" w:ascii="黑体" w:hAnsi="黑体" w:eastAsia="黑体"/>
          <w:sz w:val="32"/>
          <w:szCs w:val="32"/>
        </w:rPr>
        <w:t>一、部门基本情况</w:t>
      </w:r>
      <w:bookmarkEnd w:id="2"/>
      <w:bookmarkEnd w:id="3"/>
      <w:bookmarkEnd w:id="4"/>
      <w:bookmarkEnd w:id="5"/>
      <w:bookmarkEnd w:id="6"/>
    </w:p>
    <w:p w14:paraId="0D5716A6">
      <w:pPr>
        <w:adjustRightInd w:val="0"/>
        <w:snapToGrid w:val="0"/>
        <w:spacing w:line="560" w:lineRule="exact"/>
        <w:ind w:firstLine="640" w:firstLineChars="200"/>
        <w:outlineLvl w:val="1"/>
        <w:rPr>
          <w:rFonts w:hint="eastAsia" w:ascii="楷体" w:hAnsi="楷体" w:eastAsia="楷体" w:cs="楷体_GB2312"/>
          <w:bCs/>
          <w:sz w:val="32"/>
          <w:szCs w:val="32"/>
        </w:rPr>
      </w:pPr>
      <w:bookmarkStart w:id="7" w:name="_Toc1821"/>
      <w:bookmarkStart w:id="8" w:name="_Toc23307"/>
      <w:r>
        <w:rPr>
          <w:rFonts w:hint="eastAsia" w:ascii="楷体" w:hAnsi="楷体" w:eastAsia="楷体" w:cs="楷体_GB2312"/>
          <w:bCs/>
          <w:sz w:val="32"/>
          <w:szCs w:val="32"/>
        </w:rPr>
        <w:t>（一）部门概况</w:t>
      </w:r>
      <w:bookmarkEnd w:id="7"/>
      <w:bookmarkEnd w:id="8"/>
    </w:p>
    <w:p w14:paraId="055AA9C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1.部门职能</w:t>
      </w:r>
    </w:p>
    <w:p w14:paraId="0C17BB95">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市住房和城乡建设局职能配置、内设机构和人员编制规定》，我局的主要职责是：（1）贯彻执行国家和省住房城乡建设工作的方针、政策和法律、法规；（2）拟订城镇住房保障相关政策并组织实施；（3）负责推进住房制度改革；（4）负责全市房地产市场的监督管理；（5）负责建筑市场的监督管理；（6）统筹编制市区市政基础设施建设中长期发展规划，会同有关部门拟订市本级城建计划并组织实施；（7）指导推进县城建设工作；（8）指导村镇建设工作；（9）负责建筑工程质量安全监督；（10）负责推进建筑节能工作；（11）拟订物业行业发展规划并组织实施;（12）负责拟订国有土地上房屋征收、城市危房管理政策并组织实施；（13）拟订地下综合管廊中长期建设计划，制定地下综合管廊运营、维护管理办法和配套政策；（14）负责住房城乡建设行业的对外经济技术合作和引进、利用外资工作；（15）负责住房和城乡建设行业人才队伍建设；（16）负责各类房屋建筑及其附属设施和城市市政设施建设工程的抗震设防监督管理；（17）负责城市建设档案监督管理工作；（18）会同有关部门做好支油、支铁建设协调工作；（19）负责直管公有住房的资产、售房款和售后维修资金的管理工作；（20）会同有关部门，做好城市建设行业涉及本部门的相关专业规划的编制和实施工作；（21）负责住房城乡建设行业信息采集、整理、统计、分析、发布等工作；（22）负责拟订全市房屋租赁市场发展规划，租赁住房建设年度计划并组织实施；（23）完成市政府交办的其他任务。</w:t>
      </w:r>
    </w:p>
    <w:p w14:paraId="40B9A858">
      <w:pPr>
        <w:adjustRightInd w:val="0"/>
        <w:snapToGrid w:val="0"/>
        <w:spacing w:line="560" w:lineRule="exact"/>
        <w:ind w:firstLine="640" w:firstLineChars="200"/>
        <w:rPr>
          <w:rFonts w:hint="eastAsia" w:ascii="楷体" w:hAnsi="楷体" w:eastAsia="楷体" w:cs="楷体_GB2312"/>
          <w:bCs/>
          <w:sz w:val="32"/>
          <w:szCs w:val="32"/>
          <w:lang w:val="en-US" w:eastAsia="zh-CN"/>
        </w:rPr>
      </w:pPr>
      <w:r>
        <w:rPr>
          <w:rFonts w:hint="eastAsia" w:ascii="楷体" w:hAnsi="楷体" w:eastAsia="楷体" w:cs="楷体_GB2312"/>
          <w:bCs/>
          <w:sz w:val="32"/>
          <w:szCs w:val="32"/>
          <w:lang w:val="en-US" w:eastAsia="zh-CN"/>
        </w:rPr>
        <w:t>2.机构设置</w:t>
      </w:r>
    </w:p>
    <w:p w14:paraId="4FAD1B9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系财政全额拨款单位，单位性质为行政单位，有石家庄市城市建设档案馆、石家庄市建设工程招投标中心、石家庄市建设工程施工安全服务中心、石家庄市工程建设造价管理站、石家庄市建设工程质量监督管理站、石家庄市建筑市场服务中心、石家庄市房产交易中心、石家庄市房屋安全鉴定中心、石家庄市保障性住房管理中心、石家庄市住房维修资金管理中心、石家庄市建筑施工扬尘治理中心等11个下属单位。石家庄市住房和城乡建设局本级内设科室21个，包括办公室、城市建设科、物业管理科等，部门在职人员425人，退休人员380人，其中：局本级在职人员98人，退休人员141人。</w:t>
      </w:r>
    </w:p>
    <w:p w14:paraId="49F034CD">
      <w:pPr>
        <w:adjustRightInd w:val="0"/>
        <w:snapToGrid w:val="0"/>
        <w:spacing w:line="560" w:lineRule="exact"/>
        <w:ind w:firstLine="640" w:firstLineChars="200"/>
        <w:rPr>
          <w:rFonts w:hint="eastAsia" w:ascii="楷体" w:hAnsi="楷体" w:eastAsia="楷体" w:cs="楷体_GB2312"/>
          <w:bCs/>
          <w:sz w:val="32"/>
          <w:szCs w:val="32"/>
          <w:lang w:val="en-US" w:eastAsia="zh-CN"/>
        </w:rPr>
      </w:pPr>
      <w:r>
        <w:rPr>
          <w:rFonts w:hint="eastAsia" w:ascii="楷体" w:hAnsi="楷体" w:eastAsia="楷体" w:cs="楷体_GB2312"/>
          <w:bCs/>
          <w:sz w:val="32"/>
          <w:szCs w:val="32"/>
          <w:lang w:val="en-US" w:eastAsia="zh-CN"/>
        </w:rPr>
        <w:t>3.资产情况</w:t>
      </w:r>
    </w:p>
    <w:p w14:paraId="36023879">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截止2025年底，我局共有资产7936.94万元，其中：货币资金3610.37万元,固定资产（房屋、车辆等）4326.57万元。资产管理依照政府采购目录进行政府采购，加强固定资产登记、使用和报废处置管理，做到支出合理，物尽其用。</w:t>
      </w:r>
    </w:p>
    <w:p w14:paraId="5F622185">
      <w:pPr>
        <w:adjustRightInd w:val="0"/>
        <w:snapToGrid w:val="0"/>
        <w:spacing w:line="560" w:lineRule="exact"/>
        <w:ind w:firstLine="640" w:firstLineChars="200"/>
        <w:outlineLvl w:val="1"/>
        <w:rPr>
          <w:rFonts w:hint="eastAsia" w:ascii="楷体" w:hAnsi="楷体" w:eastAsia="楷体" w:cs="楷体_GB2312"/>
          <w:bCs/>
          <w:sz w:val="32"/>
          <w:szCs w:val="32"/>
        </w:rPr>
      </w:pPr>
      <w:bookmarkStart w:id="9" w:name="_Toc23718"/>
      <w:bookmarkStart w:id="10" w:name="_Toc7522"/>
      <w:r>
        <w:rPr>
          <w:rFonts w:hint="eastAsia" w:ascii="楷体" w:hAnsi="楷体" w:eastAsia="楷体" w:cs="楷体_GB2312"/>
          <w:bCs/>
          <w:sz w:val="32"/>
          <w:szCs w:val="32"/>
        </w:rPr>
        <w:t>（二）部门收支预决算情况</w:t>
      </w:r>
      <w:bookmarkEnd w:id="9"/>
      <w:bookmarkEnd w:id="10"/>
    </w:p>
    <w:p w14:paraId="528BCB8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1.预算安排情况</w:t>
      </w:r>
    </w:p>
    <w:p w14:paraId="23B2DF6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我局2025年一般公共预算47881.22万元,政府性基金预算298054.25万元;基本支出11598.16万元，项目支出334337.31万元。</w:t>
      </w:r>
    </w:p>
    <w:p w14:paraId="6DC87444">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2.预算调整情况</w:t>
      </w:r>
    </w:p>
    <w:p w14:paraId="65ED027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2025年预算调整具体为：一般公共预算77778.75万元,政府性基金预算450937.08万元，年初结转和结余8.74万元;基本支出11659.15万元，项目支出517065.42万元。</w:t>
      </w:r>
    </w:p>
    <w:p w14:paraId="6AC7399A">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3.决算情况</w:t>
      </w:r>
    </w:p>
    <w:p w14:paraId="2BD32410">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2025年决算收入475090.93万元,其中：一般公共预算63694.82万元，政府性基金预算411387.37万元,年初结转和结余8.74万元;基本支出11551.26万元，项目支出463519.2万元,年末结转和结余20.47万元。</w:t>
      </w:r>
    </w:p>
    <w:p w14:paraId="1D1EDCF4">
      <w:pPr>
        <w:adjustRightInd w:val="0"/>
        <w:snapToGrid w:val="0"/>
        <w:spacing w:line="560" w:lineRule="exact"/>
        <w:ind w:firstLine="640" w:firstLineChars="200"/>
        <w:outlineLvl w:val="1"/>
        <w:rPr>
          <w:rFonts w:hint="eastAsia" w:ascii="楷体" w:hAnsi="楷体" w:eastAsia="楷体" w:cs="楷体_GB2312"/>
          <w:bCs/>
          <w:sz w:val="32"/>
          <w:szCs w:val="32"/>
        </w:rPr>
      </w:pPr>
      <w:bookmarkStart w:id="11" w:name="_Toc28388"/>
      <w:r>
        <w:rPr>
          <w:rFonts w:hint="eastAsia" w:ascii="楷体" w:hAnsi="楷体" w:eastAsia="楷体" w:cs="楷体_GB2312"/>
          <w:bCs/>
          <w:sz w:val="32"/>
          <w:szCs w:val="32"/>
        </w:rPr>
        <w:t>（三）部门整体支出绩效目标、指标</w:t>
      </w:r>
      <w:bookmarkEnd w:id="11"/>
    </w:p>
    <w:p w14:paraId="6501C32A">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1.总体绩效目标</w:t>
      </w:r>
    </w:p>
    <w:p w14:paraId="2FE49FD5">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持续巩固“村收集、乡镇转运、县集中处理”的城乡一体化垃圾治理模式，指导18个县（市、区）进一步建立健全农村生活垃圾治理长效机制，探索构建更为科学、合理的农村生活垃圾治理机制和垃圾收运体系，提升农村生活垃圾治理水平，让村庄居住环境更美更干净。进一步加大节能工作力度，促进我市建筑节能、绿色建筑与装配式建筑等各项工作再上台阶。加大绿色建筑应用，继续全面按照绿色建筑标准进行设计、建设，提升建筑能效绿色低碳发展水平。积极发挥试点城市的示范引领作用，按照《石家庄市城市地下综合管廊专项规划》，结合道路建设，有序推动管廊项目建设，完善三级运营管理体系，加强管廊安全运营管理，实现我市综合管廊运营的统一标准、统一管理，确保管廊安全运行，推动城市高质量发展。推进城市社区“共治、共建、共管、共享”，加强物业企业党建，把党的组织有效嵌入物业企业，推进物业企业党的组织和工作全覆盖，全面提升物业企业服务质量水平，切实改善城市社区居住环境，提高居民群众生活水平，增强居民群众获得感、幸福感、安全感。继续优化“6个办服务方式”，严格落实《建设工程消防设计审查验收管理暂行规定》要求，结合安全社会环境建设需求，有序推进建设工程消防设计审查工作，在承诺时限的5个工作日将建设工程消防设计审查工作高质量完成，有序开展全市特殊建设工程消防设计审查质量巡查工作，抽查数量不少于总数量的3%。坚持以城市体检评估为先导，建立健全“一年一体检、五年一评估”的城市体检评估制度，科学指导18个县（市、区）开展城市体检工作，强化城市体检成果转化应用,进一步提升县城建设品质，打造一批生态宜居美丽新县城。全面提升保障房后期运营管理服务水平，2025年，随着保障房项目建设的不断增多，不仅解决了困难家庭住房难问题，更是促进了经济增长与社会和谐，确保符合条件的城镇居民基本居住需求，保障性住房人才公寓管理工作逐步形成标准化、规范化、智能化管理模式，管理水平不断得到提升，为我市人才公寓居民群体打造舒适、宜居、安全、便捷的环境。扬尘治理取得明显成效，不发生重大工程质量安全事故，确保人民群众生命财产安全和身心健康，为我市社会稳定做出贡献。</w:t>
      </w:r>
    </w:p>
    <w:p w14:paraId="22BF997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2.分项绩效目标、指标</w:t>
      </w:r>
    </w:p>
    <w:p w14:paraId="41D8DCA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（1）推广建筑节能、绿色建筑和装配式建筑</w:t>
      </w:r>
    </w:p>
    <w:p w14:paraId="14F98D7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绩效目标：贯彻落实河北省促进绿色建筑发展条例，提升建筑能效绿色低碳发展水平,推动我市建筑节能、绿色建筑、被动式超低能耗建筑和装配式建筑等工作。</w:t>
      </w:r>
    </w:p>
    <w:p w14:paraId="42085C02">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绩效指标：2025年全市新开工建筑中装配式建筑占比达到30%以上，被动式超低能耗建筑29万平方米以上，新建建筑全面执行绿色建筑标准。</w:t>
      </w:r>
    </w:p>
    <w:p w14:paraId="712B0A1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（2）加强全市农村垃圾治理工作</w:t>
      </w:r>
    </w:p>
    <w:p w14:paraId="3E7579FA">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指导各县(市、区)相关职能部门持续巩固“村收集、乡（镇）转运、县集中处理”的城乡一体化农村生活垃圾治理模式，确保农村生活垃圾“收的起来、运的出去”，进一步深化农村生活垃圾治理成果。</w:t>
      </w:r>
    </w:p>
    <w:p w14:paraId="02A4D14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指标：持续巩固“村收集、乡（镇）转运、县集中处理”的城乡一体化垃圾治理模式，实现生活垃圾日产日清，农村生活垃圾得到有效治理、实现垃圾无害化处理，村庄环境得到提升。加强对村民的宣传引导，提高群众对生活垃圾治理的思想意识，引导村民不随意倾倒垃圾，共同维护农村环境。18个县(市、区)建立日常监管机制，实现生活垃圾日产日清，村庄生活垃圾治理水平得到提升。</w:t>
      </w:r>
    </w:p>
    <w:p w14:paraId="15F32644">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（3）加强勘察设计、施工图审查机构和造价咨询行业监管</w:t>
      </w:r>
    </w:p>
    <w:p w14:paraId="3BDEADA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对勘察设计行业、施工图审查机构、造价咨询行业进行“双随机、一公开”监督检查，提升我市勘察设计行业整体水平。绩效指标：对勘察设计行业、施工图审查机构和造价咨询行业进行“双随机、一公开”监督检查抽查。勘察设计行业、施工图审查机构和造价咨询行业监督检查比例不低于15%，对各县市区勘察设计质量和建筑师负责制相关工作进行监督巡查，个数不低于26个，抽查对象的检查结果公示率达到100%，抽查发现问题的后续处置到位率达到100%。</w:t>
      </w:r>
    </w:p>
    <w:p w14:paraId="35E038A9">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（4）加强工地扬尘治理工作</w:t>
      </w:r>
    </w:p>
    <w:p w14:paraId="026AA642">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绩效目标：通过公开招标采购运维服务机构，为我市扬尘在线检测设备平台运维和扬尘治理工作提供科学依据。</w:t>
      </w:r>
    </w:p>
    <w:p w14:paraId="703D7755">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指标：围绕全市扬尘在线检测设备平台运维管理需求，继续完善扬尘治理工作方式，保障548台监测设备和平台运维，切实做到建筑工地精细化管理水平。重点督导建筑工地落实“六个百分百”措施，减少扬尘污染，为我市空气质量改善做出贡献。</w:t>
      </w:r>
    </w:p>
    <w:p w14:paraId="28F55703">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（5）推进地下综合管廊稳定健康运营</w:t>
      </w:r>
    </w:p>
    <w:p w14:paraId="7A326B7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通过公开招标采购咨询服务机构，为我市地下综合管廊运营安全状态及运营管理提供咨询服务；汇明路管廊运营管理规范，稳定安全运营；保障石家庄市城市地下综合管廊总控中心正常运行，实现对全市综合管廊运营统一标准、统一调度、统一管理。</w:t>
      </w:r>
    </w:p>
    <w:p w14:paraId="2DB03114">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绩效指标：围绕全市地下综合管廊运营管理需求，继续完善综合管廊运营管理保障体系，切实提升管廊运营维护精 细化管理水平。重点推进总控中心、汇明路管廊运营管理，保障管廊稳定健康、安全运营，为我市地下综合管廊运营管理（共计16.5公里）提供安全维护控制、安全评估、应急管理、人员从业管理等咨询服务，保障管廊安全、高效运营。</w:t>
      </w:r>
    </w:p>
    <w:p w14:paraId="7212E1A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（6）组织开展县城体检</w:t>
      </w:r>
    </w:p>
    <w:p w14:paraId="194D6F9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绩效目标：组织有关县（市、区）全面开展城市体检工作，有效查找住房、小区（社区）、街区、城区四个维度存在的短板弱项，为城市更新提供决策依据，打造宜居、韧性、智慧城市。</w:t>
      </w:r>
    </w:p>
    <w:p w14:paraId="3E46FEA7">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指标：一是所辖18个县（市、区）100%开展城市体检工作，围绕住房、小区（社区）、街区、城区四个维度，精准存在的短板弱项，通过开展数据采集、社会调查，形成体检成果，为城市更新提供决策依据；二是聘请第三方技术服务机构，对已连续开展三年体检工作的县（市、区）进行城市体检中期评估工作,形成评估报告，确保各县（市、区）城市体检工作高质量开展，为城市规划、建设、管理提供合理化建议。</w:t>
      </w:r>
    </w:p>
    <w:p w14:paraId="304CA71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（7）加强保障房建设、人才公寓管理</w:t>
      </w:r>
    </w:p>
    <w:p w14:paraId="1B6BE22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目标：做好保障房项目建设工作，制定项目管理计划，确保资金分配科学、合理、及时，资金使用规范、安全，管理措施健全有效，拨付满足项目序时进度需要。规范人才公寓的运营管理工作，及时做好人才公寓的日常维修工作，保障人才公寓的正常使用。</w:t>
      </w:r>
    </w:p>
    <w:p w14:paraId="773885D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绩效指标：盛和苑一期配套小学、盛和苑一期商业地块项目等建设项目严格按照工程进度及合同约定条款支付工程款，确保资金及时、准确支付。及时做好人才公寓小型维修工作，保证维修质量，确保人才公寓正常使用，年内服务的人才公寓达到2247户。</w:t>
      </w:r>
    </w:p>
    <w:p w14:paraId="2F4A2F6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ascii="黑体" w:hAnsi="黑体" w:eastAsia="黑体"/>
          <w:sz w:val="32"/>
          <w:szCs w:val="32"/>
        </w:rPr>
      </w:pPr>
      <w:bookmarkStart w:id="12" w:name="_Toc9049"/>
      <w:bookmarkStart w:id="13" w:name="_Toc8363"/>
      <w:bookmarkStart w:id="14" w:name="_Toc19025"/>
      <w:bookmarkStart w:id="15" w:name="_Toc17382"/>
      <w:r>
        <w:rPr>
          <w:rFonts w:hint="eastAsia" w:ascii="黑体" w:hAnsi="黑体" w:eastAsia="黑体"/>
          <w:sz w:val="32"/>
          <w:szCs w:val="32"/>
        </w:rPr>
        <w:t>二、自评工作开展情况</w:t>
      </w:r>
      <w:bookmarkEnd w:id="12"/>
      <w:bookmarkEnd w:id="13"/>
      <w:bookmarkEnd w:id="14"/>
      <w:bookmarkEnd w:id="15"/>
    </w:p>
    <w:p w14:paraId="75A4F82B">
      <w:pPr>
        <w:adjustRightInd w:val="0"/>
        <w:snapToGrid w:val="0"/>
        <w:spacing w:line="560" w:lineRule="exact"/>
        <w:ind w:firstLine="640" w:firstLineChars="200"/>
        <w:outlineLvl w:val="1"/>
        <w:rPr>
          <w:rFonts w:hint="eastAsia" w:ascii="楷体" w:hAnsi="楷体" w:eastAsia="楷体" w:cs="楷体_GB2312"/>
          <w:bCs/>
          <w:sz w:val="32"/>
          <w:szCs w:val="32"/>
          <w:lang w:val="en-US" w:eastAsia="zh-CN"/>
        </w:rPr>
      </w:pPr>
      <w:bookmarkStart w:id="16" w:name="_Toc2242"/>
      <w:r>
        <w:rPr>
          <w:rFonts w:hint="eastAsia" w:ascii="楷体" w:hAnsi="楷体" w:eastAsia="楷体" w:cs="楷体_GB2312"/>
          <w:bCs/>
          <w:sz w:val="32"/>
          <w:szCs w:val="32"/>
          <w:lang w:val="en-US" w:eastAsia="zh-CN"/>
        </w:rPr>
        <w:t>（一）自评的组织工作</w:t>
      </w:r>
      <w:bookmarkEnd w:id="16"/>
    </w:p>
    <w:p w14:paraId="315AAB9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sz w:val="32"/>
          <w:szCs w:val="32"/>
          <w:highlight w:val="none"/>
          <w:lang w:val="en-US" w:eastAsia="zh-CN"/>
        </w:rPr>
      </w:pPr>
      <w:r>
        <w:rPr>
          <w:rFonts w:hint="eastAsia" w:ascii="仿宋" w:hAnsi="仿宋" w:eastAsia="仿宋"/>
          <w:sz w:val="32"/>
          <w:szCs w:val="32"/>
          <w:lang w:val="en-US" w:eastAsia="zh-CN"/>
        </w:rPr>
        <w:t>我局为推进本年度预算绩效评价工作，抽调人员成立绩效评价工作组，</w:t>
      </w:r>
      <w:r>
        <w:rPr>
          <w:rFonts w:hint="eastAsia" w:ascii="仿宋" w:hAnsi="仿宋" w:eastAsia="仿宋"/>
          <w:sz w:val="32"/>
          <w:szCs w:val="32"/>
          <w:highlight w:val="none"/>
          <w:lang w:val="en-US" w:eastAsia="zh-CN"/>
        </w:rPr>
        <w:t>由我局党组书记、局长张占宗担任组长，二级调研员李智强为副组长，财务科科长崔旭江为主任，成员包括财务科二级主任科员陈智勇、财务科一级科员张警予。</w:t>
      </w:r>
    </w:p>
    <w:p w14:paraId="4A92760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按照通知要求，评价工作组制定自评工作方案，明确评价内容、评价程序及时间安排。组织相关人员召开专题会议，传达评价工作要求和部署各项工作安排。全面收集评价所需基础信息资料并对资料进行分类整理、审查和分析。</w:t>
      </w:r>
    </w:p>
    <w:p w14:paraId="5581FFBE">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本次绩效自评将结合我局2025年度部门整体支出实际情况，运用科学、规范、合理的评价方法，全面、真实、客观地对我局年度一般公共预算财政拨款资金支出情况、相关制度健全性、项目完成情况及部门履职效果等内容进行综合评价，全面反映财政资金使用成效和部门职能的实现程度，针对评价过程中发现的问题进一步提出相关意见建议，为以后年度我局履行部门职责做出更好的预算管理和资金安排。</w:t>
      </w:r>
    </w:p>
    <w:p w14:paraId="09061F9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本次我局部门整体支出绩效自评主要自评内容包括：一是绩效目标和预算编制情况；二是部门预决算收支情况；三是部门年度总体绩效目标完成情况；四是部门年度绩效指标完成情况，包括部门履职投入、履职过程、履职产出及履职效果等。</w:t>
      </w:r>
    </w:p>
    <w:p w14:paraId="46E84F14">
      <w:pPr>
        <w:adjustRightInd w:val="0"/>
        <w:snapToGrid w:val="0"/>
        <w:spacing w:line="560" w:lineRule="exact"/>
        <w:ind w:firstLine="640" w:firstLineChars="200"/>
        <w:outlineLvl w:val="1"/>
        <w:rPr>
          <w:rFonts w:hint="eastAsia" w:ascii="楷体" w:hAnsi="楷体" w:eastAsia="楷体" w:cs="楷体_GB2312"/>
          <w:bCs/>
          <w:sz w:val="32"/>
          <w:szCs w:val="32"/>
          <w:lang w:val="en-US" w:eastAsia="zh-CN"/>
        </w:rPr>
      </w:pPr>
      <w:bookmarkStart w:id="17" w:name="_Toc29543"/>
      <w:bookmarkStart w:id="18" w:name="_Toc31963"/>
      <w:r>
        <w:rPr>
          <w:rFonts w:hint="eastAsia" w:ascii="楷体" w:hAnsi="楷体" w:eastAsia="楷体" w:cs="楷体_GB2312"/>
          <w:bCs/>
          <w:sz w:val="32"/>
          <w:szCs w:val="32"/>
          <w:lang w:val="en-US" w:eastAsia="zh-CN"/>
        </w:rPr>
        <w:t>（二）自评的方法和过程</w:t>
      </w:r>
      <w:bookmarkEnd w:id="17"/>
      <w:bookmarkEnd w:id="18"/>
    </w:p>
    <w:p w14:paraId="413F75BA">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1.自评的方法</w:t>
      </w:r>
    </w:p>
    <w:p w14:paraId="4B73560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（1）科学公正原则。此次绩效自评运用科学合理的方法，按照规范的程序，对我局部门整体预算资金使用绩效进行客观、公正的反映。</w:t>
      </w:r>
    </w:p>
    <w:p w14:paraId="5647984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（2）统筹兼顾原则。单位自评、部门自评和财政自评应职责明确，各有侧重，相互衔接，绩效自评结果将上报财政部门作为财政自评参考依据。</w:t>
      </w:r>
    </w:p>
    <w:p w14:paraId="3ABE025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（3）激励约束原则。此次绩效自评结果与预算安排、政策调整、改进管理实质性挂钩，体现奖优罚劣和激励相容导向，有效安排、低效压减、无效问责。</w:t>
      </w:r>
    </w:p>
    <w:p w14:paraId="444312D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（4）公开透明原则。此次绩效自评结果应依法依规在政府门户网站进行公开，并自觉接受社会监督。</w:t>
      </w:r>
    </w:p>
    <w:p w14:paraId="5A40EB97">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2.绩效自评过程</w:t>
      </w:r>
    </w:p>
    <w:p w14:paraId="60F7558A">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本次绩效自评将资金使用产出及效果与年初指标值相比较，完成相应指标值的，赋全部分值；未完成指标值的，按照完成程度赋分，并对完成值低于指标值较多的，分析其形成原因，针对评价过程中发现的问题进一步提出相关意见建议，为以后年度我局履行部门职责做出更好的预算管理和资金安排。</w:t>
      </w:r>
    </w:p>
    <w:p w14:paraId="031BE99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sz w:val="32"/>
          <w:szCs w:val="32"/>
        </w:rPr>
      </w:pPr>
      <w:bookmarkStart w:id="19" w:name="_Toc14266"/>
      <w:bookmarkStart w:id="20" w:name="_Toc30169"/>
      <w:bookmarkStart w:id="21" w:name="_Toc14637"/>
      <w:bookmarkStart w:id="22" w:name="_Toc21907"/>
      <w:bookmarkStart w:id="23" w:name="_Toc26104"/>
      <w:r>
        <w:rPr>
          <w:rFonts w:hint="eastAsia" w:ascii="黑体" w:hAnsi="黑体" w:eastAsia="黑体"/>
          <w:sz w:val="32"/>
          <w:szCs w:val="32"/>
        </w:rPr>
        <w:t>三、部门整体支出绩效目标实现情况及指标分析</w:t>
      </w:r>
      <w:bookmarkEnd w:id="19"/>
      <w:bookmarkEnd w:id="20"/>
      <w:bookmarkEnd w:id="21"/>
      <w:bookmarkEnd w:id="22"/>
      <w:bookmarkEnd w:id="23"/>
    </w:p>
    <w:p w14:paraId="67D76839">
      <w:pPr>
        <w:adjustRightInd w:val="0"/>
        <w:snapToGrid w:val="0"/>
        <w:spacing w:line="560" w:lineRule="exact"/>
        <w:ind w:firstLine="640" w:firstLineChars="200"/>
        <w:outlineLvl w:val="1"/>
        <w:rPr>
          <w:rFonts w:hint="eastAsia" w:ascii="楷体" w:hAnsi="楷体" w:eastAsia="楷体" w:cs="楷体_GB2312"/>
          <w:bCs/>
          <w:sz w:val="32"/>
          <w:szCs w:val="32"/>
        </w:rPr>
      </w:pPr>
      <w:bookmarkStart w:id="24" w:name="_Toc19307"/>
      <w:r>
        <w:rPr>
          <w:rFonts w:hint="eastAsia" w:ascii="楷体" w:hAnsi="楷体" w:eastAsia="楷体" w:cs="楷体_GB2312"/>
          <w:bCs/>
          <w:sz w:val="32"/>
          <w:szCs w:val="32"/>
          <w:lang w:eastAsia="zh-CN"/>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lang w:eastAsia="zh-CN"/>
        </w:rPr>
        <w:t>）</w:t>
      </w:r>
      <w:r>
        <w:rPr>
          <w:rFonts w:hint="eastAsia" w:ascii="楷体" w:hAnsi="楷体" w:eastAsia="楷体" w:cs="楷体_GB2312"/>
          <w:bCs/>
          <w:sz w:val="32"/>
          <w:szCs w:val="32"/>
        </w:rPr>
        <w:t>总体绩效目标实现情况</w:t>
      </w:r>
      <w:bookmarkEnd w:id="24"/>
    </w:p>
    <w:p w14:paraId="7DEA9454">
      <w:pPr>
        <w:adjustRightInd w:val="0"/>
        <w:snapToGrid w:val="0"/>
        <w:spacing w:line="560" w:lineRule="exact"/>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2025年市财政局批复我局254个项目，涉及预算资金531640.29万元（含2025年初结转结余8.74万元），资金执行数477276.07万元（含对下补助资金12371.5万元），预算执行率89.77%。</w:t>
      </w:r>
    </w:p>
    <w:p w14:paraId="26F75B95">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2025年各实施单位涉及预算资金531640.29万元，到位资金509895.46万元，资金执行数280916.56万元，预算执行率为52.84%。</w:t>
      </w:r>
    </w:p>
    <w:p w14:paraId="5D7A0964">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我局2025年度部门整体的绩效目标表，部门年度总体绩效目标实现程度：在市委、市政府坚强领导下，市住建局党组坚持以习近平新时代中国特色社会主义思想为指导，深入学习贯彻党的二十大和二十届历次全会精神，全面落实市委十一届历次全会部署要求，团结带领住建系统广大党员干部群众解放思想、奋发进取，圆满完成了年度各项工作任务，推动住房城乡建设事业呈现出蓬勃发展良好态势。</w:t>
      </w:r>
    </w:p>
    <w:p w14:paraId="6B4C98D7">
      <w:pPr>
        <w:adjustRightInd w:val="0"/>
        <w:snapToGrid w:val="0"/>
        <w:spacing w:line="560" w:lineRule="exact"/>
        <w:ind w:firstLine="640" w:firstLineChars="200"/>
        <w:outlineLvl w:val="1"/>
        <w:rPr>
          <w:rFonts w:hint="eastAsia" w:ascii="楷体" w:hAnsi="楷体" w:eastAsia="楷体" w:cs="楷体_GB2312"/>
          <w:bCs/>
          <w:sz w:val="32"/>
          <w:szCs w:val="32"/>
          <w:lang w:eastAsia="zh-CN"/>
        </w:rPr>
      </w:pPr>
      <w:bookmarkStart w:id="25" w:name="_Toc19441"/>
      <w:r>
        <w:rPr>
          <w:rFonts w:hint="eastAsia" w:ascii="楷体" w:hAnsi="楷体" w:eastAsia="楷体" w:cs="楷体_GB2312"/>
          <w:bCs/>
          <w:sz w:val="32"/>
          <w:szCs w:val="32"/>
          <w:lang w:eastAsia="zh-CN"/>
        </w:rPr>
        <w:t>（二）分项绩效目标实现情况及指标分析</w:t>
      </w:r>
      <w:bookmarkEnd w:id="25"/>
    </w:p>
    <w:p w14:paraId="7B4AA853">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（1）推广建筑节能、绿色建筑和装配式建筑</w:t>
      </w:r>
    </w:p>
    <w:p w14:paraId="3396FA05">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我局按照2025年初绩效工作的要求，贯彻落实河北省促进绿色建筑发展条例，提升建筑能效绿色低碳发展水平,推动我市建筑节能、绿色建筑、被动式超低能耗建筑和装配式建筑等工作。</w:t>
      </w:r>
    </w:p>
    <w:p w14:paraId="56D90275">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2025年全市新开工建筑中装配式建筑占比达到30%以上，被动式超低能耗建筑49万平方米，新建建筑全面执行绿色建筑标准，不断巩固绿色建筑、装配式建筑和被动式超低能耗建筑全省领先优势，超额完成省定目标任务，央媒朝闻天下栏目对我市绿色建筑发展工作进行专题报道。</w:t>
      </w:r>
    </w:p>
    <w:p w14:paraId="3C733D30">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（2）加强全市农村垃圾治理工作</w:t>
      </w:r>
    </w:p>
    <w:p w14:paraId="5957D8BD">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指导各县(市、区)相关职能部门持续巩固“村收集、乡（镇）转运、县集中处理”的城乡一体化农村生活垃圾治理模式，确保农村生活垃圾“收的起来、运的出去”，进一步深化农村生活垃圾治理成果。</w:t>
      </w:r>
    </w:p>
    <w:p w14:paraId="7D29410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2025年我局取得以下成绩：积极推进农村生活垃圾治理“节本增效”和保洁制度改革工作，扎实开展农村生活垃圾大排查大整治等专项行动，农村人居环境持续向好。</w:t>
      </w:r>
    </w:p>
    <w:p w14:paraId="2A31C4AE">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（3）加强勘察设计、施工图审查机构和造价咨询行业监管</w:t>
      </w:r>
    </w:p>
    <w:p w14:paraId="5846793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我局按照2025年初绩效工作的要求，对勘察设计行业、施工图审查机构、造价咨询行业进行“双随机、一公开”监督检查，提升我市勘察设计行业整体水平。</w:t>
      </w:r>
    </w:p>
    <w:p w14:paraId="10E71170">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对勘察设计行业、施工图审查机构和造价咨询行业进行“双随机、一公开”监督检查抽查。推动勘察设计行业创新与数字化转型，支持勘察设计企业拓展市场，推广BIM正向设计，优化施工图审查流程与服务。勘察设计行业、施工图审查机构和造价咨询行业监督检查比例不低于15%，对各县市区勘察设计质量和建筑师负责制相关工作进行监督巡查26个，抽查对象的检查结果公示率达到100%，抽查发现问题的后续处置到位率达到100%。</w:t>
      </w:r>
    </w:p>
    <w:p w14:paraId="0849B24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（4）加强工地扬尘治理工作</w:t>
      </w:r>
    </w:p>
    <w:p w14:paraId="53017E1E">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我局按照2025年初绩效工作的要求，通过公开招标采购运维服务机构，为我市扬尘在线检测设备平台运维和扬尘治理工作提供科学依据。</w:t>
      </w:r>
    </w:p>
    <w:p w14:paraId="17776C4A">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2025年我局取得以下成绩：积极开展房建施工A类工地评比活动，大力推广全封闭安全立网、装配式道路、基坑气膜等绿色施工新技术，工地扬尘治理成效突出。</w:t>
      </w:r>
    </w:p>
    <w:p w14:paraId="2FA5B68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围绕全市扬尘在线检测设备平台运维管理需求，继续完善扬尘治理工作方式，保障548台监测设备和平台运维，切实做到建筑工地精细化管理水平。</w:t>
      </w:r>
    </w:p>
    <w:p w14:paraId="75E31621">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（5）推进地下综合管廊稳定健康运营</w:t>
      </w:r>
    </w:p>
    <w:p w14:paraId="02420B6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通过公开招标采购咨询服务机构，为我市地下综合管廊运营安全状态及运营管理提供咨询服务；汇明路管廊运营管理规范，稳定安全运营；保障石家庄市城市地下综合管廊总控中心正常运行，实现对全市综合管廊运营统一标准、统一调度、统一管理。</w:t>
      </w:r>
    </w:p>
    <w:p w14:paraId="522F0139">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聚焦建筑施工安全生产、地下综合管廊工程，扎实开展建筑施工安全生产治本攻坚三年行动，全年深入开展安全隐患排查整治，住建领域每千次隐患排查发现问题达到240个，超过全市平均水平，防范化解了一批重大安全风险。持续推进自建房安全专项整治，加强超高层建筑、老旧小区安全运维管理，严防安全事故。严格落实网络安全、数据安全责任，保障行业信息系统稳定运行，巩固了住建领域安全稳定的良好局面。</w:t>
      </w:r>
    </w:p>
    <w:p w14:paraId="1005C02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（6）组织开展县城体检</w:t>
      </w:r>
    </w:p>
    <w:p w14:paraId="200CE8EE">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我局按照2025年初绩效工作的要求，组织有关县（市、区）全面开展城市体检工作，有效查找住房、小区（社区）、街区、城区四个维度存在的短板弱项，为城市更新提供决策依据，打造宜居、韧性、智慧城市。</w:t>
      </w:r>
    </w:p>
    <w:p w14:paraId="0D75A9BC">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高质量推进城市体检，编制完成年度城市体检报告并通过省市联合审查，工作得到住建部充分肯定，11月份我市被住建部确定为全国城市体检经验交流会举办城市。聘请第三方技术服务机构，对已连续开展三年体检工作的县（市、区）进行城市体检中期评估工作,形成评估报告，确保各县（市、区）城市体检工作高质量开展，为城市规划、建设、管理提供合理化建议。</w:t>
      </w:r>
    </w:p>
    <w:p w14:paraId="31E48D0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（7）加强保障房建设、人才公寓管理</w:t>
      </w:r>
    </w:p>
    <w:p w14:paraId="513BC7FB">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我局按照2025年初绩效工作的要求，做好保障房项目建设工作，制定项目管理计划，确保资金分配科学、合理、及时，资金使用规范、安全，管理措施健全有效，拨付满足项目序时进度需要。规范人才公寓的运营管理工作，及时做好人才公寓的日常维修工作，保障人才公寓的正常使用。</w:t>
      </w:r>
    </w:p>
    <w:p w14:paraId="0D4D0D6F">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2025年我局取得以下成绩：筹集保租房3734套、配售型保障房1000套，2024年开工的5033套配售型保障房全面封顶，持续整治规范住房租赁市场，群众多层次居住需求得到更好满足。在人才公寓筹集工作中，2025年筹集人才公寓项目3个，共209套。其中投资1.4亿收购瑞璟春和商品住宅用作高端专家公寓52套，为我市引进高端人才，助力经济发展提供有效助力。</w:t>
      </w:r>
    </w:p>
    <w:p w14:paraId="179C665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sz w:val="32"/>
          <w:szCs w:val="32"/>
        </w:rPr>
      </w:pPr>
      <w:bookmarkStart w:id="26" w:name="_Toc16077"/>
      <w:bookmarkStart w:id="27" w:name="_Toc1474"/>
      <w:bookmarkStart w:id="28" w:name="_Toc30345"/>
      <w:bookmarkStart w:id="29" w:name="_Toc20629"/>
      <w:bookmarkStart w:id="30" w:name="_Toc13948"/>
      <w:r>
        <w:rPr>
          <w:rFonts w:hint="eastAsia" w:ascii="黑体" w:hAnsi="黑体" w:eastAsia="黑体"/>
          <w:sz w:val="32"/>
          <w:szCs w:val="32"/>
        </w:rPr>
        <w:t>四、评价结论和评价等级</w:t>
      </w:r>
      <w:bookmarkEnd w:id="26"/>
      <w:bookmarkEnd w:id="27"/>
      <w:bookmarkEnd w:id="28"/>
      <w:bookmarkEnd w:id="29"/>
      <w:bookmarkEnd w:id="30"/>
    </w:p>
    <w:p w14:paraId="3D767232">
      <w:pPr>
        <w:adjustRightInd w:val="0"/>
        <w:snapToGrid w:val="0"/>
        <w:spacing w:line="560" w:lineRule="exact"/>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根据部门职责定位和各项工作履职情况进行综合评价，给出总得分，满分100分，得出综合绩效评价等级。部门整体支出综合绩效评价分为4个等级：得分≥85分为优秀；75≤得分＜85分为良好；60≤得分＜75分为一般；得分＜60分为较差。</w:t>
      </w:r>
    </w:p>
    <w:p w14:paraId="20B61F38">
      <w:pPr>
        <w:adjustRightInd w:val="0"/>
        <w:snapToGrid w:val="0"/>
        <w:spacing w:line="560" w:lineRule="exact"/>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经过整体评价，我局2025年度部门整体绩效自评得分90.18分，评价等级为“优秀”</w:t>
      </w:r>
    </w:p>
    <w:p w14:paraId="55A4122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sz w:val="32"/>
          <w:szCs w:val="32"/>
        </w:rPr>
      </w:pPr>
      <w:bookmarkStart w:id="31" w:name="_Toc31327"/>
      <w:bookmarkStart w:id="32" w:name="_Toc26768"/>
      <w:bookmarkStart w:id="33" w:name="_Toc20353"/>
      <w:bookmarkStart w:id="34" w:name="_Toc5507"/>
      <w:bookmarkStart w:id="35" w:name="_Toc14096"/>
      <w:r>
        <w:rPr>
          <w:rFonts w:hint="eastAsia" w:ascii="黑体" w:hAnsi="黑体" w:eastAsia="黑体"/>
          <w:sz w:val="32"/>
          <w:szCs w:val="32"/>
        </w:rPr>
        <w:t>五、存在的问题及改进措施</w:t>
      </w:r>
      <w:bookmarkEnd w:id="31"/>
      <w:bookmarkEnd w:id="32"/>
      <w:bookmarkEnd w:id="33"/>
      <w:bookmarkEnd w:id="34"/>
      <w:bookmarkEnd w:id="35"/>
    </w:p>
    <w:p w14:paraId="5972F63C">
      <w:pPr>
        <w:adjustRightInd w:val="0"/>
        <w:snapToGrid w:val="0"/>
        <w:spacing w:line="560" w:lineRule="exact"/>
        <w:ind w:firstLine="640" w:firstLineChars="200"/>
        <w:outlineLvl w:val="1"/>
        <w:rPr>
          <w:rFonts w:hint="eastAsia" w:ascii="楷体" w:hAnsi="楷体" w:eastAsia="楷体" w:cs="楷体_GB2312"/>
          <w:bCs/>
          <w:sz w:val="32"/>
          <w:szCs w:val="32"/>
          <w:lang w:eastAsia="zh-CN"/>
        </w:rPr>
      </w:pPr>
      <w:bookmarkStart w:id="36" w:name="_Toc30438"/>
      <w:r>
        <w:rPr>
          <w:rFonts w:hint="eastAsia" w:ascii="楷体" w:hAnsi="楷体" w:eastAsia="楷体" w:cs="楷体_GB2312"/>
          <w:bCs/>
          <w:sz w:val="32"/>
          <w:szCs w:val="32"/>
          <w:lang w:eastAsia="zh-CN"/>
        </w:rPr>
        <w:t>（一）存在的主要问题</w:t>
      </w:r>
      <w:bookmarkEnd w:id="36"/>
    </w:p>
    <w:p w14:paraId="5FAB6888">
      <w:pPr>
        <w:adjustRightInd w:val="0"/>
        <w:snapToGrid w:val="0"/>
        <w:spacing w:line="560" w:lineRule="exact"/>
        <w:ind w:firstLine="640" w:firstLineChars="200"/>
        <w:rPr>
          <w:rFonts w:hint="eastAsia" w:ascii="仿宋" w:hAnsi="仿宋" w:eastAsia="仿宋"/>
          <w:sz w:val="32"/>
          <w:szCs w:val="32"/>
          <w:lang w:val="en-US" w:eastAsia="zh-CN"/>
        </w:rPr>
      </w:pPr>
    </w:p>
    <w:p w14:paraId="34A5BEA0">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1.绩效指标设置存在不够精准和量化不足的问题</w:t>
      </w:r>
    </w:p>
    <w:p w14:paraId="23FD6188">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一是个别绩效指标设置不够精准，例如：高铁片区地下综合管廊项目（超长期国债）年初设定的数量指标三级指标为管廊长度≤5153.26米，数量指标设置不够精准，未能充分考虑各种因素，导致指标完成值偏离了年初指标值；</w:t>
      </w:r>
    </w:p>
    <w:p w14:paraId="589895B6">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二是个别项目数量指标、成本指标、社会效益指标的预期值均笼统设定为“100%”，既未明确项目预期完成的具体任务规模，也未量化资金投入的合理成本区间，更无法体现项目实施后拟达成的实际社会效益。</w:t>
      </w:r>
    </w:p>
    <w:p w14:paraId="2E4FD2EB">
      <w:pPr>
        <w:adjustRightInd w:val="0"/>
        <w:snapToGrid w:val="0"/>
        <w:spacing w:line="560" w:lineRule="exact"/>
        <w:ind w:firstLine="640" w:firstLineChars="200"/>
        <w:outlineLvl w:val="1"/>
        <w:rPr>
          <w:rFonts w:hint="eastAsia" w:ascii="楷体" w:hAnsi="楷体" w:eastAsia="楷体" w:cs="楷体_GB2312"/>
          <w:bCs/>
          <w:sz w:val="32"/>
          <w:szCs w:val="32"/>
          <w:lang w:eastAsia="zh-CN"/>
        </w:rPr>
      </w:pPr>
      <w:bookmarkStart w:id="37" w:name="_Toc28818"/>
      <w:r>
        <w:rPr>
          <w:rFonts w:hint="eastAsia" w:ascii="楷体" w:hAnsi="楷体" w:eastAsia="楷体" w:cs="楷体_GB2312"/>
          <w:bCs/>
          <w:sz w:val="32"/>
          <w:szCs w:val="32"/>
          <w:lang w:eastAsia="zh-CN"/>
        </w:rPr>
        <w:t>（二）针对问题提出具体的改进措施或建议</w:t>
      </w:r>
      <w:bookmarkEnd w:id="37"/>
    </w:p>
    <w:p w14:paraId="38854B69">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1.科学设定绩效目标和指标</w:t>
      </w:r>
    </w:p>
    <w:p w14:paraId="57DAB05C">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预算部门应加强绩效目标的设定，将绩效目标做实，做到项目绩效目标全覆盖，最终实现部门整体绩效目标全覆盖，同时在设定绩效指标值注意细化量化，便于对项目进行监控和考核。在实际操作中，应建立全面规范的绩效指标体系，依据部门职责和年度工作重点，设定科学、合理、可行的年度绩效目标、绩效指标。</w:t>
      </w:r>
    </w:p>
    <w:p w14:paraId="677707BE">
      <w:pPr>
        <w:adjustRightInd w:val="0"/>
        <w:snapToGrid w:val="0"/>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2.提高部门绩效管理意识</w:t>
      </w:r>
    </w:p>
    <w:p w14:paraId="50AAACDD">
      <w:pPr>
        <w:adjustRightInd w:val="0"/>
        <w:snapToGrid w:val="0"/>
        <w:spacing w:line="560" w:lineRule="exact"/>
        <w:ind w:firstLine="640" w:firstLineChars="200"/>
        <w:rPr>
          <w:rFonts w:hint="default" w:ascii="仿宋" w:hAnsi="仿宋" w:eastAsia="仿宋"/>
          <w:lang w:val="en-US" w:eastAsia="zh-CN"/>
        </w:rPr>
      </w:pPr>
      <w:r>
        <w:rPr>
          <w:rFonts w:hint="eastAsia" w:ascii="仿宋" w:hAnsi="仿宋" w:eastAsia="仿宋"/>
          <w:sz w:val="32"/>
          <w:szCs w:val="32"/>
          <w:lang w:val="en-US" w:eastAsia="zh-CN"/>
        </w:rPr>
        <w:t>为提升财政资金使用效益，部门需将绩效理念深度嵌入预算编制、执行、监督全流程，一方面通过制定统一工作规划与管理制度体系，强化预算绩效管理的保障支撑；另一方面依托专题培训、政策宣传等方式，深化工作人员对预算绩效管理的认知理解，使其熟练掌握财政绩效评价指标体系，切实树立全过程绩效管控意识，主动推进各项绩效管理工作，最终实现财政资金配置效率与使用效益的双提升。</w:t>
      </w:r>
    </w:p>
    <w:p w14:paraId="110E21DA">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default" w:ascii="仿宋" w:hAnsi="仿宋" w:eastAsia="仿宋"/>
          <w:b/>
          <w:bCs/>
          <w:sz w:val="32"/>
          <w:szCs w:val="32"/>
          <w:lang w:val="en-US" w:eastAsia="zh-CN"/>
        </w:rPr>
      </w:pPr>
      <w:bookmarkStart w:id="38" w:name="_Toc12374"/>
      <w:r>
        <w:rPr>
          <w:rFonts w:hint="default" w:ascii="仿宋" w:hAnsi="仿宋" w:eastAsia="仿宋"/>
          <w:b/>
          <w:bCs/>
          <w:sz w:val="32"/>
          <w:szCs w:val="32"/>
          <w:lang w:val="en-US" w:eastAsia="zh-CN"/>
        </w:rPr>
        <w:t>石家庄市住房和城乡建设局</w:t>
      </w:r>
      <w:bookmarkEnd w:id="38"/>
    </w:p>
    <w:p w14:paraId="48C297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仿宋" w:hAnsi="仿宋" w:eastAsia="仿宋"/>
          <w:lang w:val="en-US" w:eastAsia="zh-CN"/>
        </w:rPr>
      </w:pPr>
      <w:r>
        <w:rPr>
          <w:rFonts w:hint="eastAsia" w:ascii="仿宋" w:hAnsi="仿宋" w:eastAsia="仿宋"/>
          <w:b/>
          <w:bCs/>
          <w:sz w:val="32"/>
          <w:szCs w:val="32"/>
          <w:lang w:val="en-US" w:eastAsia="zh-CN"/>
        </w:rPr>
        <w:t xml:space="preserve">                                  </w:t>
      </w:r>
      <w:r>
        <w:rPr>
          <w:rFonts w:hint="default" w:ascii="仿宋" w:hAnsi="仿宋" w:eastAsia="仿宋"/>
          <w:b/>
          <w:bCs/>
          <w:sz w:val="32"/>
          <w:szCs w:val="32"/>
          <w:lang w:val="en-US" w:eastAsia="zh-CN"/>
        </w:rPr>
        <w:t>202</w:t>
      </w:r>
      <w:r>
        <w:rPr>
          <w:rFonts w:hint="eastAsia" w:ascii="仿宋" w:hAnsi="仿宋" w:eastAsia="仿宋"/>
          <w:b/>
          <w:bCs/>
          <w:sz w:val="32"/>
          <w:szCs w:val="32"/>
          <w:lang w:val="en-US" w:eastAsia="zh-CN"/>
        </w:rPr>
        <w:t>6</w:t>
      </w:r>
      <w:r>
        <w:rPr>
          <w:rFonts w:hint="default" w:ascii="仿宋" w:hAnsi="仿宋" w:eastAsia="仿宋"/>
          <w:b/>
          <w:bCs/>
          <w:sz w:val="32"/>
          <w:szCs w:val="32"/>
          <w:lang w:val="en-US" w:eastAsia="zh-CN"/>
        </w:rPr>
        <w:t>年</w:t>
      </w:r>
      <w:r>
        <w:rPr>
          <w:rFonts w:hint="eastAsia" w:ascii="仿宋" w:hAnsi="仿宋" w:eastAsia="仿宋"/>
          <w:b/>
          <w:bCs/>
          <w:sz w:val="32"/>
          <w:szCs w:val="32"/>
          <w:lang w:val="en-US" w:eastAsia="zh-CN"/>
        </w:rPr>
        <w:t>4</w:t>
      </w:r>
      <w:r>
        <w:rPr>
          <w:rFonts w:hint="default" w:ascii="仿宋" w:hAnsi="仿宋" w:eastAsia="仿宋"/>
          <w:b/>
          <w:bCs/>
          <w:sz w:val="32"/>
          <w:szCs w:val="32"/>
          <w:lang w:val="en-US" w:eastAsia="zh-CN"/>
        </w:rPr>
        <w:t>月</w:t>
      </w:r>
      <w:r>
        <w:rPr>
          <w:rFonts w:hint="eastAsia" w:ascii="仿宋" w:hAnsi="仿宋" w:eastAsia="仿宋"/>
          <w:b/>
          <w:bCs/>
          <w:sz w:val="32"/>
          <w:szCs w:val="32"/>
          <w:lang w:val="en-US" w:eastAsia="zh-CN"/>
        </w:rPr>
        <w:t>30</w:t>
      </w:r>
      <w:r>
        <w:rPr>
          <w:rFonts w:hint="default" w:ascii="仿宋" w:hAnsi="仿宋" w:eastAsia="仿宋"/>
          <w:b/>
          <w:bCs/>
          <w:sz w:val="32"/>
          <w:szCs w:val="32"/>
          <w:lang w:val="en-US" w:eastAsia="zh-CN"/>
        </w:rPr>
        <w:t>日</w:t>
      </w:r>
    </w:p>
    <w:sectPr>
      <w:footerReference r:id="rId3" w:type="default"/>
      <w:pgSz w:w="11906" w:h="16838"/>
      <w:pgMar w:top="1440" w:right="1474" w:bottom="1440" w:left="1587" w:header="851" w:footer="992" w:gutter="0"/>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07BE350-A6E8-4529-ACDF-948F04F716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2" w:fontKey="{2A8E0B9A-4DA5-4380-848E-0EB608331739}"/>
  </w:font>
  <w:font w:name="仿宋_GB2312">
    <w:panose1 w:val="02010609030101010101"/>
    <w:charset w:val="86"/>
    <w:family w:val="auto"/>
    <w:pitch w:val="default"/>
    <w:sig w:usb0="00000001" w:usb1="080E0000" w:usb2="00000000" w:usb3="00000000" w:csb0="00040000" w:csb1="00000000"/>
    <w:embedRegular r:id="rId3" w:fontKey="{0277142E-8A4C-4A53-9405-FBE02CCDBA5C}"/>
  </w:font>
  <w:font w:name="华文楷体">
    <w:altName w:val="宋体"/>
    <w:panose1 w:val="02010600040101010101"/>
    <w:charset w:val="86"/>
    <w:family w:val="auto"/>
    <w:pitch w:val="default"/>
    <w:sig w:usb0="00000000" w:usb1="00000000" w:usb2="00000000" w:usb3="00000000" w:csb0="0004009F" w:csb1="DFD70000"/>
    <w:embedRegular r:id="rId4" w:fontKey="{27AA8C66-915F-4F6E-BB72-2A1912393ADE}"/>
  </w:font>
  <w:font w:name="仿宋">
    <w:panose1 w:val="02010609060101010101"/>
    <w:charset w:val="86"/>
    <w:family w:val="modern"/>
    <w:pitch w:val="default"/>
    <w:sig w:usb0="800002BF" w:usb1="38CF7CFA" w:usb2="00000016" w:usb3="00000000" w:csb0="00040001" w:csb1="00000000"/>
    <w:embedRegular r:id="rId5" w:fontKey="{FE302DE9-9D1B-4301-8F48-11DEF881224D}"/>
  </w:font>
  <w:font w:name="楷体">
    <w:panose1 w:val="02010609060101010101"/>
    <w:charset w:val="86"/>
    <w:family w:val="modern"/>
    <w:pitch w:val="default"/>
    <w:sig w:usb0="800002BF" w:usb1="38CF7CFA" w:usb2="00000016" w:usb3="00000000" w:csb0="00040001" w:csb1="00000000"/>
    <w:embedRegular r:id="rId6" w:fontKey="{05C75228-7188-456E-98F6-C9AD7C8DE910}"/>
  </w:font>
  <w:font w:name="楷体_GB2312">
    <w:altName w:val="楷体"/>
    <w:panose1 w:val="02010609030101010101"/>
    <w:charset w:val="86"/>
    <w:family w:val="auto"/>
    <w:pitch w:val="default"/>
    <w:sig w:usb0="00000000" w:usb1="00000000" w:usb2="00000000" w:usb3="00000000" w:csb0="00040000" w:csb1="00000000"/>
    <w:embedRegular r:id="rId7" w:fontKey="{F5679422-D7A9-4204-9B4A-8DCFB13F792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066BD">
    <w:pPr>
      <w:pStyle w:val="3"/>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14:paraId="4F5CC36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0172A27"/>
    <w:rsid w:val="000B0260"/>
    <w:rsid w:val="001F187B"/>
    <w:rsid w:val="007E6C1F"/>
    <w:rsid w:val="00956A93"/>
    <w:rsid w:val="009E575C"/>
    <w:rsid w:val="00AF167E"/>
    <w:rsid w:val="00AF566A"/>
    <w:rsid w:val="00B478EA"/>
    <w:rsid w:val="00B6553A"/>
    <w:rsid w:val="00BC6576"/>
    <w:rsid w:val="00CE06BA"/>
    <w:rsid w:val="00F441CC"/>
    <w:rsid w:val="01B104CA"/>
    <w:rsid w:val="02106AB0"/>
    <w:rsid w:val="02B43A28"/>
    <w:rsid w:val="046F331E"/>
    <w:rsid w:val="07956271"/>
    <w:rsid w:val="09721397"/>
    <w:rsid w:val="0BB63BED"/>
    <w:rsid w:val="0DE978B2"/>
    <w:rsid w:val="0EB97A43"/>
    <w:rsid w:val="0EBD2122"/>
    <w:rsid w:val="0F214EAE"/>
    <w:rsid w:val="0F9B0EE8"/>
    <w:rsid w:val="10944070"/>
    <w:rsid w:val="11B71E6A"/>
    <w:rsid w:val="12D316BB"/>
    <w:rsid w:val="18A230A3"/>
    <w:rsid w:val="1AAF0063"/>
    <w:rsid w:val="1B740D26"/>
    <w:rsid w:val="1BE140DE"/>
    <w:rsid w:val="1E542E40"/>
    <w:rsid w:val="20EA17CA"/>
    <w:rsid w:val="248C197D"/>
    <w:rsid w:val="252959AF"/>
    <w:rsid w:val="277A6671"/>
    <w:rsid w:val="28F61252"/>
    <w:rsid w:val="292D35B7"/>
    <w:rsid w:val="2A364E93"/>
    <w:rsid w:val="2F8A06C1"/>
    <w:rsid w:val="3091782D"/>
    <w:rsid w:val="33D62126"/>
    <w:rsid w:val="33EB6CFF"/>
    <w:rsid w:val="35987004"/>
    <w:rsid w:val="35A12947"/>
    <w:rsid w:val="37387040"/>
    <w:rsid w:val="3B625C0A"/>
    <w:rsid w:val="3BFD046C"/>
    <w:rsid w:val="3CEE1963"/>
    <w:rsid w:val="3D2C36AA"/>
    <w:rsid w:val="413B2DF1"/>
    <w:rsid w:val="41B82E6B"/>
    <w:rsid w:val="43191740"/>
    <w:rsid w:val="436B78D3"/>
    <w:rsid w:val="454F4187"/>
    <w:rsid w:val="47762884"/>
    <w:rsid w:val="4C9C27FE"/>
    <w:rsid w:val="502A44B1"/>
    <w:rsid w:val="50700DB5"/>
    <w:rsid w:val="512260B4"/>
    <w:rsid w:val="52BD6ACB"/>
    <w:rsid w:val="551F29EE"/>
    <w:rsid w:val="55537534"/>
    <w:rsid w:val="55AD03B6"/>
    <w:rsid w:val="561A74F1"/>
    <w:rsid w:val="58B17416"/>
    <w:rsid w:val="597244E8"/>
    <w:rsid w:val="5A3F1F24"/>
    <w:rsid w:val="5BDB5C7C"/>
    <w:rsid w:val="5D3B4635"/>
    <w:rsid w:val="5EB71C30"/>
    <w:rsid w:val="5F5472B4"/>
    <w:rsid w:val="5FC8476A"/>
    <w:rsid w:val="60B30A08"/>
    <w:rsid w:val="66AF0CE5"/>
    <w:rsid w:val="684568BD"/>
    <w:rsid w:val="68AC2130"/>
    <w:rsid w:val="69E24EFD"/>
    <w:rsid w:val="6A350C4E"/>
    <w:rsid w:val="6AC537CF"/>
    <w:rsid w:val="6B6913B0"/>
    <w:rsid w:val="6D013069"/>
    <w:rsid w:val="6E5B14A6"/>
    <w:rsid w:val="700C6C41"/>
    <w:rsid w:val="711B255E"/>
    <w:rsid w:val="75AE7B06"/>
    <w:rsid w:val="78D67AA0"/>
    <w:rsid w:val="7A1C14E2"/>
    <w:rsid w:val="7BB51E06"/>
    <w:rsid w:val="7C387F7C"/>
    <w:rsid w:val="7C3E6437"/>
    <w:rsid w:val="7FE83423"/>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semiHidden/>
    <w:unhideWhenUsed/>
    <w:qFormat/>
    <w:uiPriority w:val="99"/>
    <w:pPr>
      <w:spacing w:after="120" w:afterLines="0" w:afterAutospacing="0"/>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Body Text First Indent 2"/>
    <w:basedOn w:val="2"/>
    <w:next w:val="1"/>
    <w:semiHidden/>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8006</Words>
  <Characters>8421</Characters>
  <Lines>4</Lines>
  <Paragraphs>1</Paragraphs>
  <TotalTime>112</TotalTime>
  <ScaleCrop>false</ScaleCrop>
  <LinksUpToDate>false</LinksUpToDate>
  <CharactersWithSpaces>8503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小皮.</cp:lastModifiedBy>
  <cp:lastPrinted>2026-03-03T01:23:00Z</cp:lastPrinted>
  <dcterms:modified xsi:type="dcterms:W3CDTF">2026-04-27T03:41:16Z</dcterms:modified>
  <dc:title>附件3：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96934721B1514D3FBAA28020338CE855_12</vt:lpwstr>
  </property>
  <property fmtid="{D5CDD505-2E9C-101B-9397-08002B2CF9AE}" pid="4" name="KSOTemplateDocerSaveRecord">
    <vt:lpwstr>eyJoZGlkIjoiMWIxZWQwYjA0YzUyMWM0OTQyNDNmODk5MTBiMWQ4MzAiLCJ1c2VySWQiOiI2OTY4ODM2NTAifQ==</vt:lpwstr>
  </property>
</Properties>
</file>