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rPr>
          <w:rFonts w:ascii="黑体" w:hAnsi="黑体" w:eastAsia="黑体"/>
          <w:sz w:val="32"/>
          <w:szCs w:val="32"/>
        </w:rPr>
      </w:pPr>
      <w:r>
        <w:rPr>
          <w:rFonts w:hint="eastAsia" w:ascii="黑体" w:hAnsi="黑体" w:eastAsia="黑体"/>
          <w:sz w:val="32"/>
          <w:szCs w:val="32"/>
        </w:rPr>
        <w:t>附件4</w:t>
      </w:r>
    </w:p>
    <w:p>
      <w:pPr>
        <w:spacing w:line="560" w:lineRule="exact"/>
        <w:jc w:val="center"/>
        <w:rPr>
          <w:rFonts w:ascii="宋体" w:hAnsi="宋体" w:cs="宋体"/>
          <w:b/>
          <w:bCs/>
          <w:sz w:val="44"/>
          <w:szCs w:val="44"/>
        </w:rPr>
      </w:pPr>
      <w:r>
        <w:rPr>
          <w:rFonts w:hint="eastAsia" w:ascii="宋体" w:hAnsi="宋体" w:cs="宋体"/>
          <w:b/>
          <w:bCs/>
          <w:sz w:val="44"/>
          <w:szCs w:val="44"/>
        </w:rPr>
        <w:t>平山县人民法院部门</w:t>
      </w:r>
    </w:p>
    <w:p>
      <w:pPr>
        <w:spacing w:line="560" w:lineRule="exact"/>
        <w:jc w:val="center"/>
        <w:rPr>
          <w:rFonts w:ascii="宋体" w:hAnsi="宋体" w:cs="宋体"/>
          <w:b/>
          <w:bCs/>
          <w:sz w:val="44"/>
          <w:szCs w:val="44"/>
        </w:rPr>
      </w:pPr>
      <w:r>
        <w:rPr>
          <w:rFonts w:hint="eastAsia" w:ascii="宋体" w:hAnsi="宋体" w:cs="宋体"/>
          <w:b/>
          <w:bCs/>
          <w:sz w:val="44"/>
          <w:szCs w:val="44"/>
        </w:rPr>
        <w:t>202</w:t>
      </w:r>
      <w:r>
        <w:rPr>
          <w:rFonts w:hint="eastAsia" w:ascii="宋体" w:hAnsi="宋体" w:cs="宋体"/>
          <w:b/>
          <w:bCs/>
          <w:sz w:val="44"/>
          <w:szCs w:val="44"/>
          <w:lang w:val="en-US" w:eastAsia="zh-CN"/>
        </w:rPr>
        <w:t>5</w:t>
      </w:r>
      <w:r>
        <w:rPr>
          <w:rFonts w:hint="eastAsia" w:ascii="宋体" w:hAnsi="宋体" w:cs="宋体"/>
          <w:b/>
          <w:bCs/>
          <w:sz w:val="44"/>
          <w:szCs w:val="44"/>
        </w:rPr>
        <w:t>年度整体支出绩效自评报告</w:t>
      </w:r>
    </w:p>
    <w:p>
      <w:pPr>
        <w:spacing w:line="560" w:lineRule="exact"/>
        <w:jc w:val="center"/>
        <w:rPr>
          <w:rFonts w:ascii="华文楷体" w:eastAsia="华文楷体"/>
          <w:sz w:val="32"/>
          <w:szCs w:val="32"/>
        </w:rPr>
      </w:pP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仿宋" w:hAnsi="仿宋" w:eastAsia="仿宋"/>
          <w:sz w:val="32"/>
          <w:szCs w:val="32"/>
        </w:rPr>
      </w:pPr>
      <w:bookmarkStart w:id="2" w:name="_GoBack"/>
      <w:r>
        <w:rPr>
          <w:rFonts w:hint="eastAsia" w:ascii="仿宋" w:hAnsi="仿宋" w:eastAsia="仿宋"/>
          <w:sz w:val="32"/>
          <w:szCs w:val="32"/>
        </w:rPr>
        <w:t>贯彻落实市委市政府《关于全面落实预算绩效管理的实施意见》（石发﹝2019﹞8号）文件精神，遵循“科学性、规范性、客观性和公正性”的原则，对平山县人民法院部门202</w:t>
      </w:r>
      <w:r>
        <w:rPr>
          <w:rFonts w:hint="eastAsia" w:ascii="仿宋" w:hAnsi="仿宋" w:eastAsia="仿宋"/>
          <w:sz w:val="32"/>
          <w:szCs w:val="32"/>
          <w:lang w:val="en-US" w:eastAsia="zh-CN"/>
        </w:rPr>
        <w:t>5</w:t>
      </w:r>
      <w:r>
        <w:rPr>
          <w:rFonts w:hint="eastAsia" w:ascii="仿宋" w:hAnsi="仿宋" w:eastAsia="仿宋"/>
          <w:sz w:val="32"/>
          <w:szCs w:val="32"/>
        </w:rPr>
        <w:t>年整体支出情况实施了财政支出绩效自评价，形成本评价报告。</w:t>
      </w:r>
    </w:p>
    <w:p>
      <w:pPr>
        <w:keepNext w:val="0"/>
        <w:keepLines w:val="0"/>
        <w:pageBreakBefore w:val="0"/>
        <w:kinsoku/>
        <w:wordWrap/>
        <w:overflowPunct/>
        <w:topLinePunct w:val="0"/>
        <w:autoSpaceDE/>
        <w:autoSpaceDN/>
        <w:bidi w:val="0"/>
        <w:adjustRightInd w:val="0"/>
        <w:snapToGrid w:val="0"/>
        <w:spacing w:line="360" w:lineRule="auto"/>
        <w:textAlignment w:val="auto"/>
        <w:rPr>
          <w:rFonts w:ascii="黑体" w:hAnsi="黑体" w:eastAsia="黑体"/>
          <w:b/>
          <w:bCs/>
          <w:sz w:val="32"/>
          <w:szCs w:val="36"/>
        </w:rPr>
      </w:pPr>
      <w:r>
        <w:rPr>
          <w:rFonts w:hint="eastAsia" w:ascii="黑体" w:hAnsi="黑体" w:eastAsia="黑体"/>
          <w:sz w:val="32"/>
          <w:szCs w:val="32"/>
        </w:rPr>
        <w:t xml:space="preserve">     一、部门</w:t>
      </w:r>
      <w:r>
        <w:rPr>
          <w:rFonts w:hint="eastAsia" w:ascii="黑体" w:hAnsi="黑体" w:eastAsia="黑体"/>
          <w:sz w:val="32"/>
          <w:szCs w:val="36"/>
        </w:rPr>
        <w:t>基本情况</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楷体" w:hAnsi="楷体" w:eastAsia="楷体" w:cs="楷体_GB2312"/>
          <w:bCs/>
          <w:sz w:val="32"/>
          <w:szCs w:val="32"/>
        </w:rPr>
      </w:pPr>
      <w:bookmarkStart w:id="0" w:name="OLE_LINK1"/>
      <w:bookmarkStart w:id="1" w:name="OLE_LINK2"/>
      <w:r>
        <w:rPr>
          <w:rFonts w:hint="eastAsia" w:ascii="楷体" w:hAnsi="楷体" w:eastAsia="楷体" w:cs="楷体_GB2312"/>
          <w:bCs/>
          <w:sz w:val="32"/>
          <w:szCs w:val="32"/>
        </w:rPr>
        <w:t>（一）部门概况</w:t>
      </w:r>
      <w:bookmarkEnd w:id="0"/>
      <w:bookmarkEnd w:id="1"/>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仿宋" w:hAnsi="仿宋" w:eastAsia="仿宋"/>
          <w:sz w:val="32"/>
          <w:szCs w:val="32"/>
        </w:rPr>
      </w:pPr>
      <w:r>
        <w:rPr>
          <w:rFonts w:hint="eastAsia" w:ascii="仿宋" w:hAnsi="仿宋" w:eastAsia="仿宋"/>
          <w:sz w:val="32"/>
          <w:szCs w:val="32"/>
        </w:rPr>
        <w:t>1、部门职责：</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仿宋" w:hAnsi="仿宋" w:eastAsia="仿宋"/>
          <w:sz w:val="32"/>
          <w:szCs w:val="32"/>
        </w:rPr>
      </w:pPr>
      <w:r>
        <w:rPr>
          <w:rFonts w:hint="eastAsia" w:ascii="仿宋" w:hAnsi="仿宋" w:eastAsia="仿宋"/>
          <w:sz w:val="32"/>
          <w:szCs w:val="32"/>
        </w:rPr>
        <w:t xml:space="preserve"> </w:t>
      </w:r>
      <w:r>
        <w:rPr>
          <w:rFonts w:ascii="仿宋" w:hAnsi="仿宋" w:eastAsia="仿宋"/>
          <w:color w:val="000000"/>
          <w:sz w:val="32"/>
          <w:szCs w:val="32"/>
        </w:rPr>
        <w:t>根据《平山县人民法院职能配置、内设机构和人员编制规定》，</w:t>
      </w:r>
      <w:r>
        <w:rPr>
          <w:rFonts w:hint="eastAsia" w:ascii="仿宋" w:hAnsi="仿宋" w:eastAsia="仿宋"/>
          <w:color w:val="000000"/>
          <w:sz w:val="32"/>
          <w:szCs w:val="32"/>
        </w:rPr>
        <w:t>平山县人民法院的主要职责是：</w:t>
      </w:r>
      <w:r>
        <w:rPr>
          <w:rFonts w:ascii="仿宋" w:hAnsi="仿宋" w:eastAsia="仿宋"/>
          <w:sz w:val="32"/>
          <w:szCs w:val="32"/>
        </w:rPr>
        <w:t xml:space="preserve"> </w:t>
      </w:r>
    </w:p>
    <w:p>
      <w:pPr>
        <w:pStyle w:val="6"/>
        <w:keepNext w:val="0"/>
        <w:keepLines w:val="0"/>
        <w:pageBreakBefore w:val="0"/>
        <w:kinsoku/>
        <w:wordWrap/>
        <w:overflowPunct/>
        <w:topLinePunct w:val="0"/>
        <w:autoSpaceDE/>
        <w:autoSpaceDN/>
        <w:bidi w:val="0"/>
        <w:spacing w:line="360" w:lineRule="auto"/>
        <w:textAlignment w:val="auto"/>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lang w:eastAsia="zh-CN"/>
        </w:rPr>
        <w:t>一</w:t>
      </w:r>
      <w:r>
        <w:rPr>
          <w:rFonts w:ascii="仿宋" w:hAnsi="仿宋" w:eastAsia="仿宋"/>
          <w:sz w:val="32"/>
          <w:szCs w:val="32"/>
        </w:rPr>
        <w:t xml:space="preserve">）审理法律、法规规定由基层人民法院管辖的第一审刑事、民事、行政案件； </w:t>
      </w:r>
    </w:p>
    <w:p>
      <w:pPr>
        <w:pStyle w:val="6"/>
        <w:keepNext w:val="0"/>
        <w:keepLines w:val="0"/>
        <w:pageBreakBefore w:val="0"/>
        <w:kinsoku/>
        <w:wordWrap/>
        <w:overflowPunct/>
        <w:topLinePunct w:val="0"/>
        <w:autoSpaceDE/>
        <w:autoSpaceDN/>
        <w:bidi w:val="0"/>
        <w:spacing w:line="360" w:lineRule="auto"/>
        <w:textAlignment w:val="auto"/>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lang w:eastAsia="zh-CN"/>
        </w:rPr>
        <w:t>二</w:t>
      </w:r>
      <w:r>
        <w:rPr>
          <w:rFonts w:ascii="仿宋" w:hAnsi="仿宋" w:eastAsia="仿宋"/>
          <w:sz w:val="32"/>
          <w:szCs w:val="32"/>
        </w:rPr>
        <w:t xml:space="preserve">）依照审判监督程序，审理告诉、申诉的刑事、民事、行政案件； </w:t>
      </w:r>
    </w:p>
    <w:p>
      <w:pPr>
        <w:pStyle w:val="6"/>
        <w:keepNext w:val="0"/>
        <w:keepLines w:val="0"/>
        <w:pageBreakBefore w:val="0"/>
        <w:kinsoku/>
        <w:wordWrap/>
        <w:overflowPunct/>
        <w:topLinePunct w:val="0"/>
        <w:autoSpaceDE/>
        <w:autoSpaceDN/>
        <w:bidi w:val="0"/>
        <w:spacing w:line="360" w:lineRule="auto"/>
        <w:textAlignment w:val="auto"/>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lang w:eastAsia="zh-CN"/>
        </w:rPr>
        <w:t>三</w:t>
      </w:r>
      <w:r>
        <w:rPr>
          <w:rFonts w:ascii="仿宋" w:hAnsi="仿宋" w:eastAsia="仿宋"/>
          <w:sz w:val="32"/>
          <w:szCs w:val="32"/>
        </w:rPr>
        <w:t xml:space="preserve">）依法行使司法执行权和司法决定权，执行本院已经发生法律效力的判决、裁定、调解，执行县国家行政机关申请执行的非诉行政案件，执行外地法院委托执行的案件； </w:t>
      </w:r>
    </w:p>
    <w:p>
      <w:pPr>
        <w:pStyle w:val="6"/>
        <w:keepNext w:val="0"/>
        <w:keepLines w:val="0"/>
        <w:pageBreakBefore w:val="0"/>
        <w:kinsoku/>
        <w:wordWrap/>
        <w:overflowPunct/>
        <w:topLinePunct w:val="0"/>
        <w:autoSpaceDE/>
        <w:autoSpaceDN/>
        <w:bidi w:val="0"/>
        <w:spacing w:line="360" w:lineRule="auto"/>
        <w:textAlignment w:val="auto"/>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lang w:eastAsia="zh-CN"/>
        </w:rPr>
        <w:t>四</w:t>
      </w:r>
      <w:r>
        <w:rPr>
          <w:rFonts w:ascii="仿宋" w:hAnsi="仿宋" w:eastAsia="仿宋"/>
          <w:sz w:val="32"/>
          <w:szCs w:val="32"/>
        </w:rPr>
        <w:t xml:space="preserve">）根据《中华人民共和国国家赔偿法》的规定，受理赔偿案件； </w:t>
      </w:r>
    </w:p>
    <w:p>
      <w:pPr>
        <w:pStyle w:val="6"/>
        <w:keepNext w:val="0"/>
        <w:keepLines w:val="0"/>
        <w:pageBreakBefore w:val="0"/>
        <w:kinsoku/>
        <w:wordWrap/>
        <w:overflowPunct/>
        <w:topLinePunct w:val="0"/>
        <w:autoSpaceDE/>
        <w:autoSpaceDN/>
        <w:bidi w:val="0"/>
        <w:spacing w:line="360" w:lineRule="auto"/>
        <w:textAlignment w:val="auto"/>
        <w:rPr>
          <w:rFonts w:ascii="仿宋" w:hAnsi="仿宋" w:eastAsia="仿宋"/>
          <w:sz w:val="32"/>
          <w:szCs w:val="32"/>
          <w:lang w:eastAsia="zh-CN"/>
        </w:rPr>
      </w:pPr>
      <w:r>
        <w:rPr>
          <w:rFonts w:ascii="仿宋" w:hAnsi="仿宋" w:eastAsia="仿宋"/>
          <w:sz w:val="32"/>
          <w:szCs w:val="32"/>
        </w:rPr>
        <w:t>（</w:t>
      </w:r>
      <w:r>
        <w:rPr>
          <w:rFonts w:hint="eastAsia" w:ascii="仿宋" w:hAnsi="仿宋" w:eastAsia="仿宋"/>
          <w:sz w:val="32"/>
          <w:szCs w:val="32"/>
          <w:lang w:eastAsia="zh-CN"/>
        </w:rPr>
        <w:t>五</w:t>
      </w:r>
      <w:r>
        <w:rPr>
          <w:rFonts w:ascii="仿宋" w:hAnsi="仿宋" w:eastAsia="仿宋"/>
          <w:sz w:val="32"/>
          <w:szCs w:val="32"/>
        </w:rPr>
        <w:t>）承办其它应由县法院负责的工作。</w:t>
      </w:r>
    </w:p>
    <w:p>
      <w:pPr>
        <w:pStyle w:val="6"/>
        <w:keepNext w:val="0"/>
        <w:keepLines w:val="0"/>
        <w:pageBreakBefore w:val="0"/>
        <w:kinsoku/>
        <w:wordWrap/>
        <w:overflowPunct/>
        <w:topLinePunct w:val="0"/>
        <w:autoSpaceDE/>
        <w:autoSpaceDN/>
        <w:bidi w:val="0"/>
        <w:spacing w:line="360" w:lineRule="auto"/>
        <w:textAlignment w:val="auto"/>
        <w:rPr>
          <w:rFonts w:ascii="仿宋" w:hAnsi="仿宋" w:eastAsia="仿宋"/>
          <w:sz w:val="32"/>
          <w:szCs w:val="32"/>
          <w:lang w:eastAsia="zh-CN"/>
        </w:rPr>
      </w:pPr>
      <w:r>
        <w:rPr>
          <w:rFonts w:hint="eastAsia" w:ascii="仿宋" w:hAnsi="仿宋" w:eastAsia="仿宋"/>
          <w:sz w:val="32"/>
          <w:szCs w:val="32"/>
          <w:lang w:eastAsia="zh-CN"/>
        </w:rPr>
        <w:t>2、</w:t>
      </w:r>
      <w:r>
        <w:rPr>
          <w:rFonts w:hint="eastAsia" w:ascii="仿宋" w:hAnsi="仿宋" w:eastAsia="仿宋"/>
          <w:sz w:val="32"/>
          <w:szCs w:val="32"/>
        </w:rPr>
        <w:t>组织机构及人员</w:t>
      </w:r>
      <w:r>
        <w:rPr>
          <w:rFonts w:hint="eastAsia" w:ascii="仿宋" w:hAnsi="仿宋" w:eastAsia="仿宋"/>
          <w:sz w:val="32"/>
          <w:szCs w:val="32"/>
          <w:lang w:eastAsia="zh-CN"/>
        </w:rPr>
        <w:t>：</w:t>
      </w:r>
    </w:p>
    <w:p>
      <w:pPr>
        <w:pStyle w:val="7"/>
        <w:keepNext w:val="0"/>
        <w:keepLines w:val="0"/>
        <w:pageBreakBefore w:val="0"/>
        <w:shd w:val="clear" w:color="auto" w:fill="FFFFFF"/>
        <w:kinsoku/>
        <w:wordWrap/>
        <w:overflowPunct/>
        <w:topLinePunct w:val="0"/>
        <w:autoSpaceDE/>
        <w:autoSpaceDN/>
        <w:bidi w:val="0"/>
        <w:spacing w:before="0" w:beforeAutospacing="0" w:after="0" w:afterAutospacing="0" w:line="360" w:lineRule="auto"/>
        <w:ind w:firstLine="640" w:firstLineChars="200"/>
        <w:textAlignment w:val="auto"/>
        <w:rPr>
          <w:rFonts w:ascii="仿宋" w:hAnsi="仿宋" w:eastAsia="仿宋" w:cs="仿宋"/>
          <w:bCs/>
          <w:sz w:val="32"/>
          <w:szCs w:val="32"/>
        </w:rPr>
      </w:pPr>
      <w:r>
        <w:rPr>
          <w:rFonts w:hint="eastAsia" w:ascii="仿宋" w:hAnsi="仿宋" w:eastAsia="仿宋" w:cs="仿宋"/>
          <w:bCs/>
          <w:sz w:val="32"/>
          <w:szCs w:val="32"/>
        </w:rPr>
        <w:t>平山县人民法院单位性质为行政单位；单位规格为</w:t>
      </w:r>
      <w:r>
        <w:rPr>
          <w:rFonts w:ascii="仿宋" w:hAnsi="仿宋" w:eastAsia="仿宋"/>
          <w:sz w:val="32"/>
          <w:szCs w:val="32"/>
        </w:rPr>
        <w:t>副处（县）级</w:t>
      </w:r>
      <w:r>
        <w:rPr>
          <w:rFonts w:hint="eastAsia" w:ascii="仿宋" w:hAnsi="仿宋" w:eastAsia="仿宋" w:cs="仿宋"/>
          <w:bCs/>
          <w:sz w:val="32"/>
          <w:szCs w:val="32"/>
        </w:rPr>
        <w:t>；经费保障形式为财政拨款；202</w:t>
      </w:r>
      <w:r>
        <w:rPr>
          <w:rFonts w:hint="eastAsia" w:ascii="仿宋" w:hAnsi="仿宋" w:eastAsia="仿宋" w:cs="仿宋"/>
          <w:bCs/>
          <w:sz w:val="32"/>
          <w:szCs w:val="32"/>
          <w:lang w:val="en-US" w:eastAsia="zh-CN"/>
        </w:rPr>
        <w:t>5</w:t>
      </w:r>
      <w:r>
        <w:rPr>
          <w:rFonts w:hint="eastAsia" w:ascii="仿宋" w:hAnsi="仿宋" w:eastAsia="仿宋" w:cs="仿宋"/>
          <w:bCs/>
          <w:sz w:val="32"/>
          <w:szCs w:val="32"/>
        </w:rPr>
        <w:t>年年末实有人数</w:t>
      </w:r>
      <w:r>
        <w:rPr>
          <w:rFonts w:hint="eastAsia" w:ascii="仿宋" w:hAnsi="仿宋" w:eastAsia="仿宋" w:cs="仿宋"/>
          <w:bCs/>
          <w:sz w:val="32"/>
          <w:szCs w:val="32"/>
          <w:lang w:val="en-US" w:eastAsia="zh-CN"/>
        </w:rPr>
        <w:t>170</w:t>
      </w:r>
      <w:r>
        <w:rPr>
          <w:rFonts w:hint="eastAsia" w:ascii="仿宋" w:hAnsi="仿宋" w:eastAsia="仿宋" w:cs="仿宋"/>
          <w:bCs/>
          <w:sz w:val="32"/>
          <w:szCs w:val="32"/>
        </w:rPr>
        <w:t>人，其中在职8</w:t>
      </w:r>
      <w:r>
        <w:rPr>
          <w:rFonts w:hint="eastAsia" w:ascii="仿宋" w:hAnsi="仿宋" w:eastAsia="仿宋" w:cs="仿宋"/>
          <w:bCs/>
          <w:sz w:val="32"/>
          <w:szCs w:val="32"/>
          <w:lang w:val="en-US" w:eastAsia="zh-CN"/>
        </w:rPr>
        <w:t>6</w:t>
      </w:r>
      <w:r>
        <w:rPr>
          <w:rFonts w:hint="eastAsia" w:ascii="仿宋" w:hAnsi="仿宋" w:eastAsia="仿宋" w:cs="仿宋"/>
          <w:bCs/>
          <w:sz w:val="32"/>
          <w:szCs w:val="32"/>
        </w:rPr>
        <w:t>人、退休</w:t>
      </w:r>
      <w:r>
        <w:rPr>
          <w:rFonts w:hint="eastAsia" w:ascii="仿宋" w:hAnsi="仿宋" w:eastAsia="仿宋" w:cs="仿宋"/>
          <w:bCs/>
          <w:sz w:val="32"/>
          <w:szCs w:val="32"/>
          <w:lang w:val="en-US" w:eastAsia="zh-CN"/>
        </w:rPr>
        <w:t>84</w:t>
      </w:r>
      <w:r>
        <w:rPr>
          <w:rFonts w:hint="eastAsia" w:ascii="仿宋" w:hAnsi="仿宋" w:eastAsia="仿宋" w:cs="仿宋"/>
          <w:bCs/>
          <w:sz w:val="32"/>
          <w:szCs w:val="32"/>
        </w:rPr>
        <w:t>人。</w:t>
      </w:r>
    </w:p>
    <w:p>
      <w:pPr>
        <w:pStyle w:val="6"/>
        <w:keepNext w:val="0"/>
        <w:keepLines w:val="0"/>
        <w:pageBreakBefore w:val="0"/>
        <w:kinsoku/>
        <w:wordWrap/>
        <w:overflowPunct/>
        <w:topLinePunct w:val="0"/>
        <w:autoSpaceDE/>
        <w:autoSpaceDN/>
        <w:bidi w:val="0"/>
        <w:spacing w:line="360" w:lineRule="auto"/>
        <w:textAlignment w:val="auto"/>
        <w:rPr>
          <w:rFonts w:ascii="仿宋" w:hAnsi="仿宋" w:eastAsia="仿宋"/>
          <w:lang w:eastAsia="zh-CN"/>
        </w:rPr>
      </w:pPr>
      <w:r>
        <w:rPr>
          <w:rFonts w:hint="eastAsia" w:ascii="仿宋" w:hAnsi="仿宋" w:eastAsia="仿宋"/>
          <w:sz w:val="32"/>
          <w:szCs w:val="32"/>
          <w:lang w:eastAsia="zh-CN"/>
        </w:rPr>
        <w:t>3、</w:t>
      </w:r>
      <w:r>
        <w:rPr>
          <w:rFonts w:hint="eastAsia" w:ascii="仿宋" w:hAnsi="仿宋" w:eastAsia="仿宋"/>
          <w:sz w:val="32"/>
          <w:szCs w:val="32"/>
        </w:rPr>
        <w:t>资产情况</w:t>
      </w:r>
      <w:r>
        <w:rPr>
          <w:rFonts w:hint="eastAsia" w:ascii="仿宋" w:hAnsi="仿宋" w:eastAsia="仿宋"/>
          <w:sz w:val="32"/>
          <w:szCs w:val="32"/>
          <w:lang w:eastAsia="zh-CN"/>
        </w:rPr>
        <w:t>：</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仿宋" w:hAnsi="仿宋" w:eastAsia="仿宋"/>
          <w:sz w:val="32"/>
          <w:szCs w:val="32"/>
        </w:rPr>
      </w:pPr>
      <w:r>
        <w:rPr>
          <w:rFonts w:ascii="仿宋" w:hAnsi="仿宋" w:eastAsia="仿宋"/>
          <w:color w:val="000000"/>
          <w:sz w:val="32"/>
          <w:szCs w:val="32"/>
        </w:rPr>
        <w:t>平山县人民法院</w:t>
      </w: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5</w:t>
      </w:r>
      <w:r>
        <w:rPr>
          <w:rFonts w:hint="eastAsia" w:ascii="仿宋" w:hAnsi="仿宋" w:eastAsia="仿宋"/>
          <w:color w:val="000000"/>
          <w:sz w:val="32"/>
          <w:szCs w:val="32"/>
        </w:rPr>
        <w:t>年</w:t>
      </w:r>
      <w:r>
        <w:rPr>
          <w:rFonts w:ascii="仿宋" w:hAnsi="仿宋" w:eastAsia="仿宋"/>
          <w:color w:val="000000"/>
          <w:sz w:val="32"/>
          <w:szCs w:val="32"/>
        </w:rPr>
        <w:t>年末</w:t>
      </w:r>
      <w:r>
        <w:rPr>
          <w:rFonts w:hint="eastAsia" w:ascii="仿宋" w:hAnsi="仿宋" w:eastAsia="仿宋"/>
          <w:color w:val="000000"/>
          <w:sz w:val="32"/>
          <w:szCs w:val="32"/>
        </w:rPr>
        <w:t>固定资产总额</w:t>
      </w:r>
      <w:r>
        <w:rPr>
          <w:rFonts w:ascii="仿宋" w:hAnsi="仿宋" w:eastAsia="仿宋"/>
          <w:color w:val="000000"/>
          <w:sz w:val="32"/>
          <w:szCs w:val="32"/>
        </w:rPr>
        <w:t>为</w:t>
      </w:r>
      <w:r>
        <w:rPr>
          <w:rFonts w:hint="eastAsia" w:ascii="仿宋" w:hAnsi="仿宋" w:eastAsia="仿宋"/>
          <w:sz w:val="32"/>
          <w:szCs w:val="32"/>
          <w:lang w:val="en-US" w:eastAsia="zh-CN"/>
        </w:rPr>
        <w:t>3324.25</w:t>
      </w:r>
      <w:r>
        <w:rPr>
          <w:rFonts w:ascii="仿宋" w:hAnsi="仿宋" w:eastAsia="仿宋"/>
          <w:color w:val="000000"/>
          <w:sz w:val="32"/>
          <w:szCs w:val="32"/>
        </w:rPr>
        <w:t>万元</w:t>
      </w:r>
      <w:r>
        <w:rPr>
          <w:rFonts w:hint="eastAsia" w:ascii="仿宋" w:hAnsi="仿宋" w:eastAsia="仿宋"/>
          <w:color w:val="000000"/>
          <w:sz w:val="32"/>
          <w:szCs w:val="32"/>
        </w:rPr>
        <w:t>。</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楷体" w:hAnsi="楷体" w:eastAsia="楷体" w:cs="楷体_GB2312"/>
          <w:bCs/>
          <w:sz w:val="32"/>
          <w:szCs w:val="32"/>
        </w:rPr>
      </w:pPr>
      <w:r>
        <w:rPr>
          <w:rFonts w:hint="eastAsia" w:ascii="楷体" w:hAnsi="楷体" w:eastAsia="楷体" w:cs="楷体_GB2312"/>
          <w:bCs/>
          <w:sz w:val="32"/>
          <w:szCs w:val="32"/>
        </w:rPr>
        <w:t>（二）部门收支预决算情况</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仿宋" w:hAnsi="仿宋" w:eastAsia="仿宋" w:cs="仿宋"/>
          <w:bCs/>
          <w:sz w:val="32"/>
          <w:szCs w:val="32"/>
          <w:highlight w:val="none"/>
        </w:rPr>
      </w:pPr>
      <w:r>
        <w:rPr>
          <w:rFonts w:hint="eastAsia" w:ascii="仿宋" w:hAnsi="仿宋" w:eastAsia="仿宋" w:cs="仿宋"/>
          <w:bCs/>
          <w:sz w:val="32"/>
          <w:szCs w:val="32"/>
          <w:highlight w:val="none"/>
        </w:rPr>
        <w:t>平山县人民法院202</w:t>
      </w:r>
      <w:r>
        <w:rPr>
          <w:rFonts w:hint="eastAsia" w:ascii="仿宋" w:hAnsi="仿宋" w:eastAsia="仿宋" w:cs="仿宋"/>
          <w:bCs/>
          <w:sz w:val="32"/>
          <w:szCs w:val="32"/>
          <w:highlight w:val="none"/>
          <w:lang w:val="en-US" w:eastAsia="zh-CN"/>
        </w:rPr>
        <w:t>5</w:t>
      </w:r>
      <w:r>
        <w:rPr>
          <w:rFonts w:hint="eastAsia" w:ascii="仿宋" w:hAnsi="仿宋" w:eastAsia="仿宋" w:cs="仿宋"/>
          <w:bCs/>
          <w:sz w:val="32"/>
          <w:szCs w:val="32"/>
          <w:highlight w:val="none"/>
        </w:rPr>
        <w:t>年年初预算收入</w:t>
      </w:r>
      <w:r>
        <w:rPr>
          <w:rFonts w:hint="eastAsia" w:ascii="仿宋" w:hAnsi="仿宋" w:eastAsia="仿宋" w:cs="仿宋"/>
          <w:bCs/>
          <w:sz w:val="32"/>
          <w:szCs w:val="32"/>
          <w:highlight w:val="none"/>
          <w:lang w:val="en-US" w:eastAsia="zh-CN"/>
        </w:rPr>
        <w:t>3675.29</w:t>
      </w:r>
      <w:r>
        <w:rPr>
          <w:rFonts w:hint="eastAsia" w:ascii="仿宋" w:hAnsi="仿宋" w:eastAsia="仿宋" w:cs="仿宋"/>
          <w:bCs/>
          <w:sz w:val="32"/>
          <w:szCs w:val="32"/>
          <w:highlight w:val="none"/>
        </w:rPr>
        <w:t>万元，决算收入</w:t>
      </w:r>
      <w:r>
        <w:rPr>
          <w:rFonts w:hint="eastAsia" w:ascii="仿宋" w:hAnsi="仿宋" w:eastAsia="仿宋" w:cs="仿宋"/>
          <w:bCs/>
          <w:sz w:val="32"/>
          <w:szCs w:val="32"/>
          <w:highlight w:val="none"/>
          <w:lang w:val="en-US" w:eastAsia="zh-CN"/>
        </w:rPr>
        <w:t>3368</w:t>
      </w:r>
      <w:r>
        <w:rPr>
          <w:rFonts w:hint="eastAsia" w:ascii="仿宋" w:hAnsi="仿宋" w:eastAsia="仿宋" w:cs="仿宋"/>
          <w:bCs/>
          <w:sz w:val="32"/>
          <w:szCs w:val="32"/>
          <w:highlight w:val="none"/>
        </w:rPr>
        <w:t>万元，决算较预算少</w:t>
      </w:r>
      <w:r>
        <w:rPr>
          <w:rFonts w:hint="eastAsia" w:ascii="仿宋" w:hAnsi="仿宋" w:eastAsia="仿宋" w:cs="仿宋"/>
          <w:bCs/>
          <w:sz w:val="32"/>
          <w:szCs w:val="32"/>
          <w:highlight w:val="none"/>
          <w:lang w:val="en-US" w:eastAsia="zh-CN"/>
        </w:rPr>
        <w:t>307.29</w:t>
      </w:r>
      <w:r>
        <w:rPr>
          <w:rFonts w:hint="eastAsia" w:ascii="仿宋" w:hAnsi="仿宋" w:eastAsia="仿宋" w:cs="仿宋"/>
          <w:bCs/>
          <w:sz w:val="32"/>
          <w:szCs w:val="32"/>
          <w:highlight w:val="none"/>
        </w:rPr>
        <w:t>万元，原因是厉行节约，压减预算。年初预算支出</w:t>
      </w:r>
      <w:r>
        <w:rPr>
          <w:rFonts w:hint="eastAsia" w:ascii="仿宋" w:hAnsi="仿宋" w:eastAsia="仿宋" w:cs="仿宋"/>
          <w:bCs/>
          <w:sz w:val="32"/>
          <w:szCs w:val="32"/>
          <w:highlight w:val="none"/>
          <w:lang w:val="en-US" w:eastAsia="zh-CN"/>
        </w:rPr>
        <w:t>3675.29</w:t>
      </w:r>
      <w:r>
        <w:rPr>
          <w:rFonts w:hint="eastAsia" w:ascii="仿宋" w:hAnsi="仿宋" w:eastAsia="仿宋" w:cs="仿宋"/>
          <w:bCs/>
          <w:sz w:val="32"/>
          <w:szCs w:val="32"/>
          <w:highlight w:val="none"/>
        </w:rPr>
        <w:t>万元，决算支出</w:t>
      </w:r>
      <w:r>
        <w:rPr>
          <w:rFonts w:hint="eastAsia" w:ascii="仿宋" w:hAnsi="仿宋" w:eastAsia="仿宋" w:cs="仿宋"/>
          <w:bCs/>
          <w:sz w:val="32"/>
          <w:szCs w:val="32"/>
          <w:highlight w:val="none"/>
          <w:lang w:val="en-US" w:eastAsia="zh-CN"/>
        </w:rPr>
        <w:t>3368</w:t>
      </w:r>
      <w:r>
        <w:rPr>
          <w:rFonts w:hint="eastAsia" w:ascii="仿宋" w:hAnsi="仿宋" w:eastAsia="仿宋" w:cs="仿宋"/>
          <w:bCs/>
          <w:sz w:val="32"/>
          <w:szCs w:val="32"/>
          <w:highlight w:val="none"/>
        </w:rPr>
        <w:t>万元，决算较预算少</w:t>
      </w:r>
      <w:r>
        <w:rPr>
          <w:rFonts w:hint="eastAsia" w:ascii="仿宋" w:hAnsi="仿宋" w:eastAsia="仿宋" w:cs="仿宋"/>
          <w:bCs/>
          <w:sz w:val="32"/>
          <w:szCs w:val="32"/>
          <w:highlight w:val="none"/>
          <w:lang w:val="en-US" w:eastAsia="zh-CN"/>
        </w:rPr>
        <w:t>307.29</w:t>
      </w:r>
      <w:r>
        <w:rPr>
          <w:rFonts w:hint="eastAsia" w:ascii="仿宋" w:hAnsi="仿宋" w:eastAsia="仿宋" w:cs="仿宋"/>
          <w:bCs/>
          <w:sz w:val="32"/>
          <w:szCs w:val="32"/>
          <w:highlight w:val="none"/>
        </w:rPr>
        <w:t>万元，原因是厉行节约，压减预算。</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楷体" w:hAnsi="楷体" w:eastAsia="楷体" w:cs="楷体_GB2312"/>
          <w:bCs/>
          <w:sz w:val="32"/>
          <w:szCs w:val="32"/>
        </w:rPr>
      </w:pPr>
      <w:r>
        <w:rPr>
          <w:rFonts w:hint="eastAsia" w:ascii="楷体" w:hAnsi="楷体" w:eastAsia="楷体" w:cs="楷体_GB2312"/>
          <w:bCs/>
          <w:sz w:val="32"/>
          <w:szCs w:val="32"/>
        </w:rPr>
        <w:t>（三）部门整体支出绩效目标、指标</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仿宋" w:hAnsi="仿宋" w:eastAsia="仿宋" w:cs="仿宋"/>
          <w:bCs/>
          <w:sz w:val="32"/>
          <w:szCs w:val="32"/>
          <w:highlight w:val="none"/>
        </w:rPr>
      </w:pPr>
      <w:r>
        <w:rPr>
          <w:rFonts w:hint="default" w:ascii="仿宋" w:hAnsi="仿宋" w:eastAsia="仿宋" w:cs="仿宋"/>
          <w:bCs/>
          <w:sz w:val="32"/>
          <w:szCs w:val="32"/>
          <w:highlight w:val="none"/>
          <w:lang w:val="en-US" w:eastAsia="zh-CN"/>
        </w:rPr>
        <w:t xml:space="preserve">2025 </w:t>
      </w:r>
      <w:r>
        <w:rPr>
          <w:rFonts w:hint="eastAsia" w:ascii="仿宋" w:hAnsi="仿宋" w:eastAsia="仿宋" w:cs="仿宋"/>
          <w:bCs/>
          <w:sz w:val="32"/>
          <w:szCs w:val="32"/>
          <w:highlight w:val="none"/>
          <w:lang w:val="en-US" w:eastAsia="zh-CN"/>
        </w:rPr>
        <w:t>年，平山县人民法院要坚持以习近平新时代中国特色社会主义思想为指导，全面贯彻落实党的二十大精神，深入贯彻习近平法治思想，深刻领悟</w:t>
      </w:r>
      <w:r>
        <w:rPr>
          <w:rFonts w:hint="default" w:ascii="仿宋" w:hAnsi="仿宋" w:eastAsia="仿宋" w:cs="仿宋"/>
          <w:bCs/>
          <w:sz w:val="32"/>
          <w:szCs w:val="32"/>
          <w:highlight w:val="none"/>
          <w:lang w:val="en-US" w:eastAsia="zh-CN"/>
        </w:rPr>
        <w:t>“</w:t>
      </w:r>
      <w:r>
        <w:rPr>
          <w:rFonts w:hint="eastAsia" w:ascii="仿宋" w:hAnsi="仿宋" w:eastAsia="仿宋" w:cs="仿宋"/>
          <w:bCs/>
          <w:sz w:val="32"/>
          <w:szCs w:val="32"/>
          <w:highlight w:val="none"/>
          <w:lang w:val="en-US" w:eastAsia="zh-CN"/>
        </w:rPr>
        <w:t>两个确立</w:t>
      </w:r>
      <w:r>
        <w:rPr>
          <w:rFonts w:hint="default" w:ascii="仿宋" w:hAnsi="仿宋" w:eastAsia="仿宋" w:cs="仿宋"/>
          <w:bCs/>
          <w:sz w:val="32"/>
          <w:szCs w:val="32"/>
          <w:highlight w:val="none"/>
          <w:lang w:val="en-US" w:eastAsia="zh-CN"/>
        </w:rPr>
        <w:t>”</w:t>
      </w:r>
      <w:r>
        <w:rPr>
          <w:rFonts w:hint="eastAsia" w:ascii="仿宋" w:hAnsi="仿宋" w:eastAsia="仿宋" w:cs="仿宋"/>
          <w:bCs/>
          <w:sz w:val="32"/>
          <w:szCs w:val="32"/>
          <w:highlight w:val="none"/>
          <w:lang w:val="en-US" w:eastAsia="zh-CN"/>
        </w:rPr>
        <w:t>的决定性意义，增强</w:t>
      </w:r>
      <w:r>
        <w:rPr>
          <w:rFonts w:hint="default" w:ascii="仿宋" w:hAnsi="仿宋" w:eastAsia="仿宋" w:cs="仿宋"/>
          <w:bCs/>
          <w:sz w:val="32"/>
          <w:szCs w:val="32"/>
          <w:highlight w:val="none"/>
          <w:lang w:val="en-US" w:eastAsia="zh-CN"/>
        </w:rPr>
        <w:t>“</w:t>
      </w:r>
      <w:r>
        <w:rPr>
          <w:rFonts w:hint="eastAsia" w:ascii="仿宋" w:hAnsi="仿宋" w:eastAsia="仿宋" w:cs="仿宋"/>
          <w:bCs/>
          <w:sz w:val="32"/>
          <w:szCs w:val="32"/>
          <w:highlight w:val="none"/>
          <w:lang w:val="en-US" w:eastAsia="zh-CN"/>
        </w:rPr>
        <w:t>四个意识</w:t>
      </w:r>
      <w:r>
        <w:rPr>
          <w:rFonts w:hint="default" w:ascii="仿宋" w:hAnsi="仿宋" w:eastAsia="仿宋" w:cs="仿宋"/>
          <w:bCs/>
          <w:sz w:val="32"/>
          <w:szCs w:val="32"/>
          <w:highlight w:val="none"/>
          <w:lang w:val="en-US" w:eastAsia="zh-CN"/>
        </w:rPr>
        <w:t>”</w:t>
      </w:r>
      <w:r>
        <w:rPr>
          <w:rFonts w:hint="eastAsia" w:ascii="仿宋" w:hAnsi="仿宋" w:eastAsia="仿宋" w:cs="仿宋"/>
          <w:bCs/>
          <w:sz w:val="32"/>
          <w:szCs w:val="32"/>
          <w:highlight w:val="none"/>
          <w:lang w:val="en-US" w:eastAsia="zh-CN"/>
        </w:rPr>
        <w:t>、坚定</w:t>
      </w:r>
      <w:r>
        <w:rPr>
          <w:rFonts w:hint="default" w:ascii="仿宋" w:hAnsi="仿宋" w:eastAsia="仿宋" w:cs="仿宋"/>
          <w:bCs/>
          <w:sz w:val="32"/>
          <w:szCs w:val="32"/>
          <w:highlight w:val="none"/>
          <w:lang w:val="en-US" w:eastAsia="zh-CN"/>
        </w:rPr>
        <w:t>“</w:t>
      </w:r>
      <w:r>
        <w:rPr>
          <w:rFonts w:hint="eastAsia" w:ascii="仿宋" w:hAnsi="仿宋" w:eastAsia="仿宋" w:cs="仿宋"/>
          <w:bCs/>
          <w:sz w:val="32"/>
          <w:szCs w:val="32"/>
          <w:highlight w:val="none"/>
          <w:lang w:val="en-US" w:eastAsia="zh-CN"/>
        </w:rPr>
        <w:t>四个自信</w:t>
      </w:r>
      <w:r>
        <w:rPr>
          <w:rFonts w:hint="default" w:ascii="仿宋" w:hAnsi="仿宋" w:eastAsia="仿宋" w:cs="仿宋"/>
          <w:bCs/>
          <w:sz w:val="32"/>
          <w:szCs w:val="32"/>
          <w:highlight w:val="none"/>
          <w:lang w:val="en-US" w:eastAsia="zh-CN"/>
        </w:rPr>
        <w:t>”</w:t>
      </w:r>
      <w:r>
        <w:rPr>
          <w:rFonts w:hint="eastAsia" w:ascii="仿宋" w:hAnsi="仿宋" w:eastAsia="仿宋" w:cs="仿宋"/>
          <w:bCs/>
          <w:sz w:val="32"/>
          <w:szCs w:val="32"/>
          <w:highlight w:val="none"/>
          <w:lang w:val="en-US" w:eastAsia="zh-CN"/>
        </w:rPr>
        <w:t>、做到</w:t>
      </w:r>
      <w:r>
        <w:rPr>
          <w:rFonts w:hint="default" w:ascii="仿宋" w:hAnsi="仿宋" w:eastAsia="仿宋" w:cs="仿宋"/>
          <w:bCs/>
          <w:sz w:val="32"/>
          <w:szCs w:val="32"/>
          <w:highlight w:val="none"/>
          <w:lang w:val="en-US" w:eastAsia="zh-CN"/>
        </w:rPr>
        <w:t>“</w:t>
      </w:r>
      <w:r>
        <w:rPr>
          <w:rFonts w:hint="eastAsia" w:ascii="仿宋" w:hAnsi="仿宋" w:eastAsia="仿宋" w:cs="仿宋"/>
          <w:bCs/>
          <w:sz w:val="32"/>
          <w:szCs w:val="32"/>
          <w:highlight w:val="none"/>
          <w:lang w:val="en-US" w:eastAsia="zh-CN"/>
        </w:rPr>
        <w:t>两个维护</w:t>
      </w:r>
      <w:r>
        <w:rPr>
          <w:rFonts w:hint="default" w:ascii="仿宋" w:hAnsi="仿宋" w:eastAsia="仿宋" w:cs="仿宋"/>
          <w:bCs/>
          <w:sz w:val="32"/>
          <w:szCs w:val="32"/>
          <w:highlight w:val="none"/>
          <w:lang w:val="en-US" w:eastAsia="zh-CN"/>
        </w:rPr>
        <w:t>”</w:t>
      </w:r>
      <w:r>
        <w:rPr>
          <w:rFonts w:hint="eastAsia" w:ascii="仿宋" w:hAnsi="仿宋" w:eastAsia="仿宋" w:cs="仿宋"/>
          <w:bCs/>
          <w:sz w:val="32"/>
          <w:szCs w:val="32"/>
          <w:highlight w:val="none"/>
          <w:lang w:val="en-US" w:eastAsia="zh-CN"/>
        </w:rPr>
        <w:t>，牢牢坚持党对司法工作的绝对领导，坚持司法为民、公正司法，坚持统筹发展和安全，坚持稳中求进工作总基调，奋力推进新时代新征程人民法院工作高质量发展，为建设产业振兴、生态宜居、和谐安定、充满活力的新平山提供精准有效的司法服务和保障。</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仿宋" w:hAnsi="仿宋" w:eastAsia="仿宋" w:cs="仿宋"/>
          <w:bCs/>
          <w:sz w:val="32"/>
          <w:szCs w:val="32"/>
          <w:highlight w:val="none"/>
          <w:lang w:val="en-US" w:eastAsia="zh-CN"/>
        </w:rPr>
      </w:pPr>
      <w:r>
        <w:rPr>
          <w:rFonts w:hint="eastAsia" w:ascii="仿宋" w:hAnsi="仿宋" w:eastAsia="仿宋" w:cs="仿宋"/>
          <w:bCs/>
          <w:sz w:val="32"/>
          <w:szCs w:val="32"/>
          <w:highlight w:val="none"/>
          <w:lang w:val="en-US" w:eastAsia="zh-CN"/>
        </w:rPr>
        <w:t xml:space="preserve">把政治建设摆在首位:全年组织理论中心组专题学习不少于12次，坚持党支部理论学习不少于20次，青年理论学习小组学习不少于 </w:t>
      </w:r>
      <w:r>
        <w:rPr>
          <w:rFonts w:hint="default" w:ascii="仿宋" w:hAnsi="仿宋" w:eastAsia="仿宋" w:cs="仿宋"/>
          <w:bCs/>
          <w:sz w:val="32"/>
          <w:szCs w:val="32"/>
          <w:highlight w:val="none"/>
          <w:lang w:val="en-US" w:eastAsia="zh-CN"/>
        </w:rPr>
        <w:t xml:space="preserve">12 </w:t>
      </w:r>
      <w:r>
        <w:rPr>
          <w:rFonts w:hint="eastAsia" w:ascii="仿宋" w:hAnsi="仿宋" w:eastAsia="仿宋" w:cs="仿宋"/>
          <w:bCs/>
          <w:sz w:val="32"/>
          <w:szCs w:val="32"/>
          <w:highlight w:val="none"/>
          <w:lang w:val="en-US" w:eastAsia="zh-CN"/>
        </w:rPr>
        <w:t xml:space="preserve">次，开展主题党日活动不少于 </w:t>
      </w:r>
      <w:r>
        <w:rPr>
          <w:rFonts w:hint="default" w:ascii="仿宋" w:hAnsi="仿宋" w:eastAsia="仿宋" w:cs="仿宋"/>
          <w:bCs/>
          <w:sz w:val="32"/>
          <w:szCs w:val="32"/>
          <w:highlight w:val="none"/>
          <w:lang w:val="en-US" w:eastAsia="zh-CN"/>
        </w:rPr>
        <w:t xml:space="preserve">10 </w:t>
      </w:r>
      <w:r>
        <w:rPr>
          <w:rFonts w:hint="eastAsia" w:ascii="仿宋" w:hAnsi="仿宋" w:eastAsia="仿宋" w:cs="仿宋"/>
          <w:bCs/>
          <w:sz w:val="32"/>
          <w:szCs w:val="32"/>
          <w:highlight w:val="none"/>
          <w:lang w:val="en-US" w:eastAsia="zh-CN"/>
        </w:rPr>
        <w:t>次。</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pPr>
      <w:r>
        <w:rPr>
          <w:rFonts w:hint="eastAsia" w:ascii="仿宋" w:hAnsi="仿宋" w:eastAsia="仿宋"/>
          <w:sz w:val="32"/>
          <w:szCs w:val="32"/>
          <w:highlight w:val="none"/>
          <w:lang w:eastAsia="zh-CN"/>
        </w:rPr>
        <w:t>维护稳定，助力平安</w:t>
      </w:r>
      <w:r>
        <w:rPr>
          <w:rFonts w:ascii="仿宋" w:hAnsi="仿宋" w:eastAsia="仿宋"/>
          <w:sz w:val="32"/>
          <w:szCs w:val="32"/>
          <w:highlight w:val="none"/>
        </w:rPr>
        <w:t>建设</w:t>
      </w:r>
      <w:r>
        <w:rPr>
          <w:rFonts w:hint="eastAsia" w:ascii="仿宋" w:hAnsi="仿宋" w:eastAsia="仿宋"/>
          <w:sz w:val="32"/>
          <w:szCs w:val="32"/>
          <w:highlight w:val="none"/>
          <w:lang w:eastAsia="zh-CN"/>
        </w:rPr>
        <w:t>:</w:t>
      </w:r>
      <w:r>
        <w:rPr>
          <w:rFonts w:hint="eastAsia" w:ascii="仿宋" w:hAnsi="仿宋" w:eastAsia="仿宋" w:cs="仿宋"/>
          <w:bCs/>
          <w:sz w:val="32"/>
          <w:szCs w:val="32"/>
          <w:highlight w:val="none"/>
          <w:lang w:val="en-US" w:eastAsia="zh-CN"/>
        </w:rPr>
        <w:t>全力提升案件办理质效，不断提高刑事审判质效和公信力，通过推出典型案例、发布司法建议等形式不断提炼经验做法，推动刑事审判整体提升，刑事案件结案率达标。</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仿宋" w:hAnsi="仿宋" w:eastAsia="仿宋" w:cs="仿宋"/>
          <w:bCs/>
          <w:sz w:val="32"/>
          <w:szCs w:val="32"/>
          <w:highlight w:val="none"/>
          <w:lang w:val="en-US" w:eastAsia="zh-CN"/>
        </w:rPr>
      </w:pPr>
      <w:r>
        <w:rPr>
          <w:rFonts w:ascii="仿宋" w:hAnsi="仿宋" w:eastAsia="仿宋"/>
          <w:sz w:val="32"/>
          <w:szCs w:val="32"/>
          <w:highlight w:val="none"/>
        </w:rPr>
        <w:t>坚持</w:t>
      </w:r>
      <w:r>
        <w:rPr>
          <w:rFonts w:hint="eastAsia" w:ascii="仿宋" w:hAnsi="仿宋" w:eastAsia="仿宋"/>
          <w:sz w:val="32"/>
          <w:szCs w:val="32"/>
          <w:highlight w:val="none"/>
          <w:lang w:eastAsia="zh-CN"/>
        </w:rPr>
        <w:t>发展为重:</w:t>
      </w:r>
      <w:r>
        <w:rPr>
          <w:rFonts w:hint="eastAsia" w:ascii="仿宋" w:hAnsi="仿宋" w:eastAsia="仿宋" w:cs="仿宋"/>
          <w:bCs/>
          <w:sz w:val="32"/>
          <w:szCs w:val="32"/>
          <w:highlight w:val="none"/>
          <w:lang w:val="en-US" w:eastAsia="zh-CN"/>
        </w:rPr>
        <w:t>将司法为民的理念不断贯彻到调解实践中，让人民群众获得更加高效、便捷的司法服务</w:t>
      </w:r>
      <w:r>
        <w:rPr>
          <w:rFonts w:hint="default" w:ascii="仿宋" w:hAnsi="仿宋" w:eastAsia="仿宋" w:cs="仿宋"/>
          <w:bCs/>
          <w:sz w:val="32"/>
          <w:szCs w:val="32"/>
          <w:highlight w:val="none"/>
          <w:lang w:val="en-US" w:eastAsia="zh-CN"/>
        </w:rPr>
        <w:t>,</w:t>
      </w:r>
      <w:r>
        <w:rPr>
          <w:rFonts w:hint="eastAsia" w:ascii="仿宋" w:hAnsi="仿宋" w:eastAsia="仿宋" w:cs="仿宋"/>
          <w:bCs/>
          <w:sz w:val="32"/>
          <w:szCs w:val="32"/>
          <w:highlight w:val="none"/>
          <w:lang w:val="en-US" w:eastAsia="zh-CN"/>
        </w:rPr>
        <w:t xml:space="preserve">强化程序公正意 </w:t>
      </w:r>
    </w:p>
    <w:p>
      <w:pPr>
        <w:keepNext w:val="0"/>
        <w:keepLines w:val="0"/>
        <w:pageBreakBefore w:val="0"/>
        <w:kinsoku/>
        <w:wordWrap/>
        <w:overflowPunct/>
        <w:topLinePunct w:val="0"/>
        <w:autoSpaceDE/>
        <w:autoSpaceDN/>
        <w:bidi w:val="0"/>
        <w:adjustRightInd w:val="0"/>
        <w:snapToGrid w:val="0"/>
        <w:spacing w:line="360" w:lineRule="auto"/>
        <w:textAlignment w:val="auto"/>
        <w:rPr>
          <w:rFonts w:hint="eastAsia" w:ascii="仿宋" w:hAnsi="仿宋" w:eastAsia="仿宋" w:cs="仿宋"/>
          <w:bCs/>
          <w:sz w:val="32"/>
          <w:szCs w:val="32"/>
          <w:highlight w:val="none"/>
          <w:lang w:val="en-US" w:eastAsia="zh-CN"/>
        </w:rPr>
      </w:pPr>
      <w:r>
        <w:rPr>
          <w:rFonts w:hint="eastAsia" w:ascii="仿宋" w:hAnsi="仿宋" w:eastAsia="仿宋" w:cs="仿宋"/>
          <w:bCs/>
          <w:sz w:val="32"/>
          <w:szCs w:val="32"/>
          <w:highlight w:val="none"/>
          <w:lang w:val="en-US" w:eastAsia="zh-CN"/>
        </w:rPr>
        <w:t xml:space="preserve">识，民事案件结案率达标。 </w:t>
      </w:r>
    </w:p>
    <w:p>
      <w:pPr>
        <w:keepNext w:val="0"/>
        <w:keepLines w:val="0"/>
        <w:pageBreakBefore w:val="0"/>
        <w:widowControl/>
        <w:suppressLineNumbers w:val="0"/>
        <w:kinsoku/>
        <w:wordWrap/>
        <w:overflowPunct/>
        <w:topLinePunct w:val="0"/>
        <w:autoSpaceDE/>
        <w:autoSpaceDN/>
        <w:bidi w:val="0"/>
        <w:spacing w:line="360" w:lineRule="auto"/>
        <w:ind w:firstLine="640" w:firstLineChars="200"/>
        <w:jc w:val="left"/>
        <w:textAlignment w:val="auto"/>
        <w:rPr>
          <w:rFonts w:hint="eastAsia" w:ascii="仿宋" w:hAnsi="仿宋" w:eastAsia="仿宋"/>
          <w:sz w:val="32"/>
          <w:szCs w:val="32"/>
          <w:highlight w:val="none"/>
          <w:lang w:val="en-US" w:eastAsia="zh-CN"/>
        </w:rPr>
      </w:pPr>
      <w:r>
        <w:rPr>
          <w:rFonts w:hint="eastAsia" w:ascii="仿宋" w:hAnsi="仿宋" w:eastAsia="仿宋"/>
          <w:sz w:val="32"/>
          <w:szCs w:val="32"/>
          <w:highlight w:val="none"/>
          <w:lang w:eastAsia="zh-CN"/>
        </w:rPr>
        <w:t>促进依法行政:</w:t>
      </w:r>
      <w:r>
        <w:rPr>
          <w:rFonts w:hint="eastAsia" w:ascii="仿宋" w:hAnsi="仿宋" w:eastAsia="仿宋"/>
          <w:sz w:val="32"/>
          <w:szCs w:val="32"/>
          <w:highlight w:val="none"/>
          <w:lang w:val="en-US" w:eastAsia="zh-CN"/>
        </w:rPr>
        <w:t>注重实质化解行政争议，鼓励行政机关先行化解、强化府院联动机制、完善复议诉讼对接机制。</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仿宋" w:hAnsi="仿宋" w:eastAsia="仿宋"/>
          <w:sz w:val="32"/>
          <w:szCs w:val="32"/>
          <w:highlight w:val="none"/>
          <w:lang w:eastAsia="zh-CN"/>
        </w:rPr>
      </w:pPr>
      <w:r>
        <w:rPr>
          <w:rFonts w:hint="eastAsia" w:ascii="仿宋" w:hAnsi="仿宋" w:eastAsia="仿宋"/>
          <w:sz w:val="32"/>
          <w:szCs w:val="32"/>
          <w:highlight w:val="none"/>
          <w:lang w:eastAsia="zh-CN"/>
        </w:rPr>
        <w:t>坚持应执尽执:执结率、执行到位率达标，且均优于去年同期指标值。</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黑体" w:hAnsi="黑体" w:eastAsia="黑体"/>
          <w:sz w:val="32"/>
          <w:szCs w:val="32"/>
        </w:rPr>
      </w:pPr>
      <w:r>
        <w:rPr>
          <w:rFonts w:hint="eastAsia" w:ascii="黑体" w:hAnsi="黑体" w:eastAsia="黑体"/>
          <w:sz w:val="32"/>
          <w:szCs w:val="32"/>
        </w:rPr>
        <w:t>二、自评工作开展情况</w:t>
      </w:r>
    </w:p>
    <w:p>
      <w:pPr>
        <w:keepNext w:val="0"/>
        <w:keepLines w:val="0"/>
        <w:pageBreakBefore w:val="0"/>
        <w:kinsoku/>
        <w:wordWrap/>
        <w:overflowPunct/>
        <w:topLinePunct w:val="0"/>
        <w:autoSpaceDE/>
        <w:autoSpaceDN/>
        <w:bidi w:val="0"/>
        <w:spacing w:line="360" w:lineRule="auto"/>
        <w:textAlignment w:val="auto"/>
        <w:rPr>
          <w:rFonts w:ascii="楷体" w:hAnsi="楷体" w:eastAsia="楷体" w:cs="楷体_GB2312"/>
          <w:sz w:val="32"/>
          <w:szCs w:val="32"/>
        </w:rPr>
      </w:pPr>
      <w:r>
        <w:rPr>
          <w:rFonts w:hint="eastAsia" w:ascii="仿宋" w:hAnsi="仿宋" w:eastAsia="仿宋" w:cs="楷体_GB2312"/>
          <w:b/>
          <w:bCs/>
          <w:sz w:val="32"/>
          <w:szCs w:val="32"/>
        </w:rPr>
        <w:t xml:space="preserve">   </w:t>
      </w:r>
      <w:r>
        <w:rPr>
          <w:rFonts w:hint="eastAsia" w:ascii="仿宋" w:hAnsi="仿宋" w:eastAsia="仿宋" w:cs="楷体_GB2312"/>
          <w:bCs/>
          <w:sz w:val="32"/>
          <w:szCs w:val="32"/>
        </w:rPr>
        <w:t xml:space="preserve"> </w:t>
      </w:r>
      <w:r>
        <w:rPr>
          <w:rFonts w:hint="eastAsia" w:ascii="楷体" w:hAnsi="楷体" w:eastAsia="楷体" w:cs="楷体_GB2312"/>
          <w:bCs/>
          <w:sz w:val="32"/>
          <w:szCs w:val="32"/>
        </w:rPr>
        <w:t>（一）自评的组织工作</w:t>
      </w:r>
    </w:p>
    <w:p>
      <w:pPr>
        <w:keepNext w:val="0"/>
        <w:keepLines w:val="0"/>
        <w:pageBreakBefore w:val="0"/>
        <w:kinsoku/>
        <w:wordWrap/>
        <w:overflowPunct/>
        <w:topLinePunct w:val="0"/>
        <w:autoSpaceDE/>
        <w:autoSpaceDN/>
        <w:bidi w:val="0"/>
        <w:spacing w:line="360" w:lineRule="auto"/>
        <w:ind w:firstLine="640" w:firstLineChars="200"/>
        <w:textAlignment w:val="auto"/>
        <w:rPr>
          <w:rFonts w:ascii="仿宋" w:hAnsi="仿宋" w:eastAsia="仿宋"/>
          <w:sz w:val="32"/>
          <w:szCs w:val="32"/>
        </w:rPr>
      </w:pPr>
      <w:r>
        <w:rPr>
          <w:rFonts w:hint="eastAsia" w:ascii="仿宋" w:hAnsi="仿宋" w:eastAsia="仿宋"/>
          <w:sz w:val="32"/>
          <w:szCs w:val="32"/>
        </w:rPr>
        <w:t>1、评价工作管理组织：</w:t>
      </w:r>
    </w:p>
    <w:p>
      <w:pPr>
        <w:keepNext w:val="0"/>
        <w:keepLines w:val="0"/>
        <w:pageBreakBefore w:val="0"/>
        <w:kinsoku/>
        <w:wordWrap/>
        <w:overflowPunct/>
        <w:topLinePunct w:val="0"/>
        <w:autoSpaceDE/>
        <w:autoSpaceDN/>
        <w:bidi w:val="0"/>
        <w:spacing w:line="360" w:lineRule="auto"/>
        <w:ind w:firstLine="640" w:firstLineChars="200"/>
        <w:textAlignment w:val="auto"/>
        <w:rPr>
          <w:rFonts w:ascii="仿宋" w:hAnsi="仿宋" w:eastAsia="仿宋"/>
          <w:sz w:val="32"/>
          <w:szCs w:val="32"/>
        </w:rPr>
      </w:pPr>
      <w:r>
        <w:rPr>
          <w:rFonts w:hint="eastAsia" w:ascii="仿宋" w:hAnsi="仿宋" w:eastAsia="仿宋" w:cs="仿宋_GB2312"/>
          <w:sz w:val="32"/>
          <w:szCs w:val="32"/>
        </w:rPr>
        <w:t>按照统一安排部署，我单位及时成立自评工作组，对项目全程进行梳理和总结，根据评价指标体系、评价标准和评价方法，依据所收集的资料，对评价对象的绩效情况进行定量、定性分析和综合评价，并形成评价结论。</w:t>
      </w:r>
    </w:p>
    <w:p>
      <w:pPr>
        <w:keepNext w:val="0"/>
        <w:keepLines w:val="0"/>
        <w:pageBreakBefore w:val="0"/>
        <w:kinsoku/>
        <w:wordWrap/>
        <w:overflowPunct/>
        <w:topLinePunct w:val="0"/>
        <w:autoSpaceDE/>
        <w:autoSpaceDN/>
        <w:bidi w:val="0"/>
        <w:spacing w:line="360" w:lineRule="auto"/>
        <w:ind w:firstLine="640" w:firstLineChars="200"/>
        <w:textAlignment w:val="auto"/>
        <w:rPr>
          <w:rFonts w:ascii="仿宋" w:hAnsi="仿宋" w:eastAsia="仿宋"/>
          <w:sz w:val="32"/>
          <w:szCs w:val="32"/>
        </w:rPr>
      </w:pPr>
      <w:r>
        <w:rPr>
          <w:rFonts w:hint="eastAsia" w:ascii="仿宋" w:hAnsi="仿宋" w:eastAsia="仿宋"/>
          <w:sz w:val="32"/>
          <w:szCs w:val="32"/>
        </w:rPr>
        <w:t>2、评价资料收集：</w:t>
      </w:r>
    </w:p>
    <w:p>
      <w:pPr>
        <w:keepNext w:val="0"/>
        <w:keepLines w:val="0"/>
        <w:pageBreakBefore w:val="0"/>
        <w:kinsoku/>
        <w:wordWrap/>
        <w:overflowPunct/>
        <w:topLinePunct w:val="0"/>
        <w:autoSpaceDE/>
        <w:autoSpaceDN/>
        <w:bidi w:val="0"/>
        <w:spacing w:line="360" w:lineRule="auto"/>
        <w:ind w:firstLine="640" w:firstLineChars="200"/>
        <w:textAlignment w:val="auto"/>
        <w:rPr>
          <w:rFonts w:ascii="仿宋" w:hAnsi="仿宋" w:eastAsia="仿宋"/>
          <w:sz w:val="32"/>
          <w:szCs w:val="32"/>
        </w:rPr>
      </w:pPr>
      <w:r>
        <w:rPr>
          <w:rFonts w:hint="eastAsia" w:ascii="仿宋" w:hAnsi="仿宋" w:eastAsia="仿宋" w:cs="仿宋_GB2312"/>
          <w:sz w:val="32"/>
          <w:szCs w:val="32"/>
        </w:rPr>
        <w:t>通过对相关记账凭证和业务合同等财务资料查阅、核实、汇总分析，评价项目资金使用规范性、支出范围的合理性。</w:t>
      </w:r>
    </w:p>
    <w:p>
      <w:pPr>
        <w:keepNext w:val="0"/>
        <w:keepLines w:val="0"/>
        <w:pageBreakBefore w:val="0"/>
        <w:kinsoku/>
        <w:wordWrap/>
        <w:overflowPunct/>
        <w:topLinePunct w:val="0"/>
        <w:autoSpaceDE/>
        <w:autoSpaceDN/>
        <w:bidi w:val="0"/>
        <w:spacing w:line="360" w:lineRule="auto"/>
        <w:ind w:firstLine="640" w:firstLineChars="200"/>
        <w:textAlignment w:val="auto"/>
        <w:rPr>
          <w:rFonts w:ascii="楷体" w:hAnsi="楷体" w:eastAsia="楷体" w:cs="楷体_GB2312"/>
          <w:bCs/>
          <w:sz w:val="32"/>
          <w:szCs w:val="32"/>
        </w:rPr>
      </w:pPr>
      <w:r>
        <w:rPr>
          <w:rFonts w:hint="eastAsia" w:ascii="楷体" w:hAnsi="楷体" w:eastAsia="楷体" w:cs="仿宋_GB2312"/>
          <w:sz w:val="32"/>
          <w:szCs w:val="32"/>
        </w:rPr>
        <w:t>（二）</w:t>
      </w:r>
      <w:r>
        <w:rPr>
          <w:rFonts w:hint="eastAsia" w:ascii="楷体" w:hAnsi="楷体" w:eastAsia="楷体" w:cs="楷体_GB2312"/>
          <w:bCs/>
          <w:sz w:val="32"/>
          <w:szCs w:val="32"/>
        </w:rPr>
        <w:t>自评的方法和过程</w:t>
      </w:r>
    </w:p>
    <w:p>
      <w:pPr>
        <w:keepNext w:val="0"/>
        <w:keepLines w:val="0"/>
        <w:pageBreakBefore w:val="0"/>
        <w:kinsoku/>
        <w:wordWrap/>
        <w:overflowPunct/>
        <w:topLinePunct w:val="0"/>
        <w:autoSpaceDE/>
        <w:autoSpaceDN/>
        <w:bidi w:val="0"/>
        <w:spacing w:line="360" w:lineRule="auto"/>
        <w:ind w:firstLine="640" w:firstLineChars="200"/>
        <w:textAlignment w:val="auto"/>
        <w:rPr>
          <w:rFonts w:ascii="仿宋" w:hAnsi="仿宋" w:eastAsia="仿宋" w:cs="仿宋_GB2312"/>
          <w:sz w:val="32"/>
          <w:szCs w:val="32"/>
        </w:rPr>
      </w:pPr>
      <w:r>
        <w:rPr>
          <w:rFonts w:hint="eastAsia" w:ascii="仿宋" w:hAnsi="仿宋" w:eastAsia="仿宋" w:cs="仿宋_GB2312"/>
          <w:sz w:val="32"/>
          <w:szCs w:val="32"/>
        </w:rPr>
        <w:t>对照年初设定的绩效目标，逐项进行对比分析，评判各项绩效目标指标完成情况，查找资金使用的薄弱环节，认真分析评价结果反映的问题，制定改进和提高工作成绩的措施，建立问题整改责任制，提高预算项目和资金管理水平，进一步提高财政资金的使用效益。根据</w:t>
      </w:r>
      <w:r>
        <w:rPr>
          <w:rFonts w:hint="eastAsia" w:ascii="仿宋" w:hAnsi="仿宋" w:eastAsia="仿宋"/>
          <w:sz w:val="32"/>
          <w:szCs w:val="32"/>
        </w:rPr>
        <w:t>部门职责定位和各项工作履职情况</w:t>
      </w:r>
      <w:r>
        <w:rPr>
          <w:rFonts w:hint="eastAsia" w:ascii="仿宋" w:hAnsi="仿宋" w:eastAsia="仿宋" w:cs="仿宋_GB2312"/>
          <w:sz w:val="32"/>
          <w:szCs w:val="32"/>
        </w:rPr>
        <w:t>，综合绩效评价设定满分100分。</w:t>
      </w:r>
      <w:r>
        <w:rPr>
          <w:rFonts w:hint="eastAsia" w:ascii="仿宋" w:hAnsi="仿宋" w:eastAsia="仿宋" w:cs="楷体_GB2312"/>
          <w:bCs/>
          <w:sz w:val="32"/>
          <w:szCs w:val="32"/>
        </w:rPr>
        <w:t>总体绩效目标实现情况设定</w:t>
      </w:r>
      <w:r>
        <w:rPr>
          <w:rFonts w:hint="eastAsia" w:ascii="仿宋" w:hAnsi="仿宋" w:eastAsia="仿宋" w:cs="楷体_GB2312"/>
          <w:bCs/>
          <w:sz w:val="32"/>
          <w:szCs w:val="32"/>
          <w:lang w:val="en-US" w:eastAsia="zh-CN"/>
        </w:rPr>
        <w:t>50</w:t>
      </w:r>
      <w:r>
        <w:rPr>
          <w:rFonts w:hint="eastAsia" w:ascii="仿宋" w:hAnsi="仿宋" w:eastAsia="仿宋" w:cs="楷体_GB2312"/>
          <w:bCs/>
          <w:sz w:val="32"/>
          <w:szCs w:val="32"/>
        </w:rPr>
        <w:t>分，分项绩效目标实现情况设定</w:t>
      </w:r>
      <w:r>
        <w:rPr>
          <w:rFonts w:hint="eastAsia" w:ascii="仿宋" w:hAnsi="仿宋" w:eastAsia="仿宋" w:cs="楷体_GB2312"/>
          <w:bCs/>
          <w:sz w:val="32"/>
          <w:szCs w:val="32"/>
          <w:lang w:val="en-US" w:eastAsia="zh-CN"/>
        </w:rPr>
        <w:t>5</w:t>
      </w:r>
      <w:r>
        <w:rPr>
          <w:rFonts w:hint="eastAsia" w:ascii="仿宋" w:hAnsi="仿宋" w:eastAsia="仿宋" w:cs="楷体_GB2312"/>
          <w:bCs/>
          <w:sz w:val="32"/>
          <w:szCs w:val="32"/>
        </w:rPr>
        <w:t>0分，其中：</w:t>
      </w:r>
      <w:r>
        <w:rPr>
          <w:rFonts w:hint="eastAsia" w:ascii="仿宋" w:hAnsi="仿宋" w:eastAsia="仿宋" w:cs="仿宋"/>
          <w:bCs/>
          <w:sz w:val="32"/>
          <w:szCs w:val="32"/>
          <w:highlight w:val="none"/>
          <w:lang w:val="en-US" w:eastAsia="zh-CN"/>
        </w:rPr>
        <w:t>把政治建设摆在首位</w:t>
      </w:r>
      <w:r>
        <w:rPr>
          <w:rFonts w:hint="eastAsia" w:ascii="仿宋" w:hAnsi="仿宋" w:eastAsia="仿宋"/>
          <w:sz w:val="32"/>
          <w:szCs w:val="32"/>
        </w:rPr>
        <w:t>，设定10分；</w:t>
      </w:r>
      <w:r>
        <w:rPr>
          <w:rFonts w:hint="eastAsia" w:ascii="仿宋" w:hAnsi="仿宋" w:eastAsia="仿宋"/>
          <w:sz w:val="32"/>
          <w:szCs w:val="32"/>
          <w:highlight w:val="none"/>
          <w:lang w:eastAsia="zh-CN"/>
        </w:rPr>
        <w:t>维护稳定，助力平安</w:t>
      </w:r>
      <w:r>
        <w:rPr>
          <w:rFonts w:ascii="仿宋" w:hAnsi="仿宋" w:eastAsia="仿宋"/>
          <w:sz w:val="32"/>
          <w:szCs w:val="32"/>
          <w:highlight w:val="none"/>
        </w:rPr>
        <w:t>建设</w:t>
      </w:r>
      <w:r>
        <w:rPr>
          <w:rFonts w:hint="eastAsia" w:ascii="仿宋" w:hAnsi="仿宋" w:eastAsia="仿宋"/>
          <w:sz w:val="32"/>
          <w:szCs w:val="32"/>
        </w:rPr>
        <w:t>，设定10分；</w:t>
      </w:r>
      <w:r>
        <w:rPr>
          <w:rFonts w:ascii="仿宋" w:hAnsi="仿宋" w:eastAsia="仿宋"/>
          <w:sz w:val="32"/>
          <w:szCs w:val="32"/>
          <w:highlight w:val="none"/>
        </w:rPr>
        <w:t>坚持</w:t>
      </w:r>
      <w:r>
        <w:rPr>
          <w:rFonts w:hint="eastAsia" w:ascii="仿宋" w:hAnsi="仿宋" w:eastAsia="仿宋"/>
          <w:sz w:val="32"/>
          <w:szCs w:val="32"/>
          <w:highlight w:val="none"/>
          <w:lang w:eastAsia="zh-CN"/>
        </w:rPr>
        <w:t>发展为重</w:t>
      </w:r>
      <w:r>
        <w:rPr>
          <w:rFonts w:hint="eastAsia" w:ascii="仿宋" w:hAnsi="仿宋" w:eastAsia="仿宋"/>
          <w:sz w:val="32"/>
          <w:szCs w:val="32"/>
        </w:rPr>
        <w:t>，设定10分；</w:t>
      </w:r>
      <w:r>
        <w:rPr>
          <w:rFonts w:hint="eastAsia" w:ascii="仿宋" w:hAnsi="仿宋" w:eastAsia="仿宋"/>
          <w:sz w:val="32"/>
          <w:szCs w:val="32"/>
          <w:highlight w:val="none"/>
          <w:lang w:eastAsia="zh-CN"/>
        </w:rPr>
        <w:t>促进依法行政</w:t>
      </w:r>
      <w:r>
        <w:rPr>
          <w:rFonts w:hint="eastAsia" w:ascii="仿宋" w:hAnsi="仿宋" w:eastAsia="仿宋"/>
          <w:sz w:val="32"/>
          <w:szCs w:val="32"/>
        </w:rPr>
        <w:t>，设定10分；</w:t>
      </w:r>
      <w:r>
        <w:rPr>
          <w:rFonts w:hint="eastAsia" w:ascii="仿宋" w:hAnsi="仿宋" w:eastAsia="仿宋"/>
          <w:sz w:val="32"/>
          <w:szCs w:val="32"/>
          <w:highlight w:val="none"/>
          <w:lang w:eastAsia="zh-CN"/>
        </w:rPr>
        <w:t>坚持应执尽执</w:t>
      </w:r>
      <w:r>
        <w:rPr>
          <w:rFonts w:hint="eastAsia" w:ascii="仿宋" w:hAnsi="仿宋" w:eastAsia="仿宋"/>
          <w:sz w:val="32"/>
          <w:szCs w:val="32"/>
        </w:rPr>
        <w:t>，设定10分。</w:t>
      </w:r>
    </w:p>
    <w:p>
      <w:pPr>
        <w:keepNext w:val="0"/>
        <w:keepLines w:val="0"/>
        <w:pageBreakBefore w:val="0"/>
        <w:kinsoku/>
        <w:wordWrap/>
        <w:overflowPunct/>
        <w:topLinePunct w:val="0"/>
        <w:autoSpaceDE/>
        <w:autoSpaceDN/>
        <w:bidi w:val="0"/>
        <w:spacing w:line="360" w:lineRule="auto"/>
        <w:textAlignment w:val="auto"/>
        <w:rPr>
          <w:rFonts w:ascii="黑体" w:hAnsi="黑体" w:eastAsia="黑体"/>
          <w:b/>
          <w:bCs/>
          <w:sz w:val="32"/>
          <w:szCs w:val="32"/>
        </w:rPr>
      </w:pPr>
      <w:r>
        <w:rPr>
          <w:rFonts w:hint="eastAsia" w:ascii="黑体" w:hAnsi="黑体" w:eastAsia="黑体"/>
          <w:sz w:val="32"/>
          <w:szCs w:val="32"/>
        </w:rPr>
        <w:t xml:space="preserve">    三、部门整体支出绩效目标实现情况及指标分析</w:t>
      </w:r>
    </w:p>
    <w:p>
      <w:pPr>
        <w:keepNext w:val="0"/>
        <w:keepLines w:val="0"/>
        <w:pageBreakBefore w:val="0"/>
        <w:numPr>
          <w:ilvl w:val="0"/>
          <w:numId w:val="1"/>
        </w:numPr>
        <w:kinsoku/>
        <w:wordWrap/>
        <w:overflowPunct/>
        <w:topLinePunct w:val="0"/>
        <w:autoSpaceDE/>
        <w:autoSpaceDN/>
        <w:bidi w:val="0"/>
        <w:spacing w:line="360" w:lineRule="auto"/>
        <w:ind w:firstLine="640" w:firstLineChars="200"/>
        <w:textAlignment w:val="auto"/>
        <w:rPr>
          <w:rFonts w:ascii="楷体" w:hAnsi="楷体" w:eastAsia="楷体" w:cs="楷体_GB2312"/>
          <w:bCs/>
          <w:sz w:val="32"/>
          <w:szCs w:val="32"/>
        </w:rPr>
      </w:pPr>
      <w:r>
        <w:rPr>
          <w:rFonts w:hint="eastAsia" w:ascii="楷体" w:hAnsi="楷体" w:eastAsia="楷体" w:cs="楷体_GB2312"/>
          <w:bCs/>
          <w:sz w:val="32"/>
          <w:szCs w:val="32"/>
        </w:rPr>
        <w:t>总体绩效目标实现情况</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仿宋" w:hAnsi="仿宋" w:eastAsia="仿宋"/>
          <w:sz w:val="32"/>
          <w:szCs w:val="32"/>
        </w:rPr>
      </w:pPr>
      <w:r>
        <w:rPr>
          <w:rFonts w:hint="default" w:ascii="仿宋" w:hAnsi="仿宋" w:eastAsia="仿宋" w:cs="仿宋"/>
          <w:bCs/>
          <w:sz w:val="32"/>
          <w:szCs w:val="32"/>
          <w:highlight w:val="none"/>
          <w:lang w:val="en-US" w:eastAsia="zh-CN"/>
        </w:rPr>
        <w:t xml:space="preserve">2025 </w:t>
      </w:r>
      <w:r>
        <w:rPr>
          <w:rFonts w:hint="eastAsia" w:ascii="仿宋" w:hAnsi="仿宋" w:eastAsia="仿宋" w:cs="仿宋"/>
          <w:bCs/>
          <w:sz w:val="32"/>
          <w:szCs w:val="32"/>
          <w:highlight w:val="none"/>
          <w:lang w:val="en-US" w:eastAsia="zh-CN"/>
        </w:rPr>
        <w:t>年，平山县人民法院坚持以习近平新时代中国特色社会主义思想为指导，全面贯彻落实党的二十大精神，深入贯彻习近平法治思想，深刻领悟</w:t>
      </w:r>
      <w:r>
        <w:rPr>
          <w:rFonts w:hint="default" w:ascii="仿宋" w:hAnsi="仿宋" w:eastAsia="仿宋" w:cs="仿宋"/>
          <w:bCs/>
          <w:sz w:val="32"/>
          <w:szCs w:val="32"/>
          <w:highlight w:val="none"/>
          <w:lang w:val="en-US" w:eastAsia="zh-CN"/>
        </w:rPr>
        <w:t>“</w:t>
      </w:r>
      <w:r>
        <w:rPr>
          <w:rFonts w:hint="eastAsia" w:ascii="仿宋" w:hAnsi="仿宋" w:eastAsia="仿宋" w:cs="仿宋"/>
          <w:bCs/>
          <w:sz w:val="32"/>
          <w:szCs w:val="32"/>
          <w:highlight w:val="none"/>
          <w:lang w:val="en-US" w:eastAsia="zh-CN"/>
        </w:rPr>
        <w:t>两个确立</w:t>
      </w:r>
      <w:r>
        <w:rPr>
          <w:rFonts w:hint="default" w:ascii="仿宋" w:hAnsi="仿宋" w:eastAsia="仿宋" w:cs="仿宋"/>
          <w:bCs/>
          <w:sz w:val="32"/>
          <w:szCs w:val="32"/>
          <w:highlight w:val="none"/>
          <w:lang w:val="en-US" w:eastAsia="zh-CN"/>
        </w:rPr>
        <w:t>”</w:t>
      </w:r>
      <w:r>
        <w:rPr>
          <w:rFonts w:hint="eastAsia" w:ascii="仿宋" w:hAnsi="仿宋" w:eastAsia="仿宋" w:cs="仿宋"/>
          <w:bCs/>
          <w:sz w:val="32"/>
          <w:szCs w:val="32"/>
          <w:highlight w:val="none"/>
          <w:lang w:val="en-US" w:eastAsia="zh-CN"/>
        </w:rPr>
        <w:t>的决定性意义，增强</w:t>
      </w:r>
      <w:r>
        <w:rPr>
          <w:rFonts w:hint="default" w:ascii="仿宋" w:hAnsi="仿宋" w:eastAsia="仿宋" w:cs="仿宋"/>
          <w:bCs/>
          <w:sz w:val="32"/>
          <w:szCs w:val="32"/>
          <w:highlight w:val="none"/>
          <w:lang w:val="en-US" w:eastAsia="zh-CN"/>
        </w:rPr>
        <w:t>“</w:t>
      </w:r>
      <w:r>
        <w:rPr>
          <w:rFonts w:hint="eastAsia" w:ascii="仿宋" w:hAnsi="仿宋" w:eastAsia="仿宋" w:cs="仿宋"/>
          <w:bCs/>
          <w:sz w:val="32"/>
          <w:szCs w:val="32"/>
          <w:highlight w:val="none"/>
          <w:lang w:val="en-US" w:eastAsia="zh-CN"/>
        </w:rPr>
        <w:t>四个意识</w:t>
      </w:r>
      <w:r>
        <w:rPr>
          <w:rFonts w:hint="default" w:ascii="仿宋" w:hAnsi="仿宋" w:eastAsia="仿宋" w:cs="仿宋"/>
          <w:bCs/>
          <w:sz w:val="32"/>
          <w:szCs w:val="32"/>
          <w:highlight w:val="none"/>
          <w:lang w:val="en-US" w:eastAsia="zh-CN"/>
        </w:rPr>
        <w:t>”</w:t>
      </w:r>
      <w:r>
        <w:rPr>
          <w:rFonts w:hint="eastAsia" w:ascii="仿宋" w:hAnsi="仿宋" w:eastAsia="仿宋" w:cs="仿宋"/>
          <w:bCs/>
          <w:sz w:val="32"/>
          <w:szCs w:val="32"/>
          <w:highlight w:val="none"/>
          <w:lang w:val="en-US" w:eastAsia="zh-CN"/>
        </w:rPr>
        <w:t>、坚定</w:t>
      </w:r>
      <w:r>
        <w:rPr>
          <w:rFonts w:hint="default" w:ascii="仿宋" w:hAnsi="仿宋" w:eastAsia="仿宋" w:cs="仿宋"/>
          <w:bCs/>
          <w:sz w:val="32"/>
          <w:szCs w:val="32"/>
          <w:highlight w:val="none"/>
          <w:lang w:val="en-US" w:eastAsia="zh-CN"/>
        </w:rPr>
        <w:t>“</w:t>
      </w:r>
      <w:r>
        <w:rPr>
          <w:rFonts w:hint="eastAsia" w:ascii="仿宋" w:hAnsi="仿宋" w:eastAsia="仿宋" w:cs="仿宋"/>
          <w:bCs/>
          <w:sz w:val="32"/>
          <w:szCs w:val="32"/>
          <w:highlight w:val="none"/>
          <w:lang w:val="en-US" w:eastAsia="zh-CN"/>
        </w:rPr>
        <w:t>四个自信</w:t>
      </w:r>
      <w:r>
        <w:rPr>
          <w:rFonts w:hint="default" w:ascii="仿宋" w:hAnsi="仿宋" w:eastAsia="仿宋" w:cs="仿宋"/>
          <w:bCs/>
          <w:sz w:val="32"/>
          <w:szCs w:val="32"/>
          <w:highlight w:val="none"/>
          <w:lang w:val="en-US" w:eastAsia="zh-CN"/>
        </w:rPr>
        <w:t>”</w:t>
      </w:r>
      <w:r>
        <w:rPr>
          <w:rFonts w:hint="eastAsia" w:ascii="仿宋" w:hAnsi="仿宋" w:eastAsia="仿宋" w:cs="仿宋"/>
          <w:bCs/>
          <w:sz w:val="32"/>
          <w:szCs w:val="32"/>
          <w:highlight w:val="none"/>
          <w:lang w:val="en-US" w:eastAsia="zh-CN"/>
        </w:rPr>
        <w:t>、做到</w:t>
      </w:r>
      <w:r>
        <w:rPr>
          <w:rFonts w:hint="default" w:ascii="仿宋" w:hAnsi="仿宋" w:eastAsia="仿宋" w:cs="仿宋"/>
          <w:bCs/>
          <w:sz w:val="32"/>
          <w:szCs w:val="32"/>
          <w:highlight w:val="none"/>
          <w:lang w:val="en-US" w:eastAsia="zh-CN"/>
        </w:rPr>
        <w:t>“</w:t>
      </w:r>
      <w:r>
        <w:rPr>
          <w:rFonts w:hint="eastAsia" w:ascii="仿宋" w:hAnsi="仿宋" w:eastAsia="仿宋" w:cs="仿宋"/>
          <w:bCs/>
          <w:sz w:val="32"/>
          <w:szCs w:val="32"/>
          <w:highlight w:val="none"/>
          <w:lang w:val="en-US" w:eastAsia="zh-CN"/>
        </w:rPr>
        <w:t>两个维护</w:t>
      </w:r>
      <w:r>
        <w:rPr>
          <w:rFonts w:hint="default" w:ascii="仿宋" w:hAnsi="仿宋" w:eastAsia="仿宋" w:cs="仿宋"/>
          <w:bCs/>
          <w:sz w:val="32"/>
          <w:szCs w:val="32"/>
          <w:highlight w:val="none"/>
          <w:lang w:val="en-US" w:eastAsia="zh-CN"/>
        </w:rPr>
        <w:t>”</w:t>
      </w:r>
      <w:r>
        <w:rPr>
          <w:rFonts w:hint="eastAsia" w:ascii="仿宋" w:hAnsi="仿宋" w:eastAsia="仿宋" w:cs="仿宋"/>
          <w:bCs/>
          <w:sz w:val="32"/>
          <w:szCs w:val="32"/>
          <w:highlight w:val="none"/>
          <w:lang w:val="en-US" w:eastAsia="zh-CN"/>
        </w:rPr>
        <w:t>，牢牢坚持党对司法工作的绝对领导，坚持司法为民、公正司法，坚持统筹发展和安全，坚持稳中求进工作总基调，奋力推进新时代新征程人民法院工作高质量发展，为建设产业振兴、生态宜居、和谐安定、充满活力的新平山提供精准有效的司法服务和保障。</w:t>
      </w:r>
    </w:p>
    <w:p>
      <w:pPr>
        <w:keepNext w:val="0"/>
        <w:keepLines w:val="0"/>
        <w:pageBreakBefore w:val="0"/>
        <w:kinsoku/>
        <w:wordWrap/>
        <w:overflowPunct/>
        <w:topLinePunct w:val="0"/>
        <w:autoSpaceDE/>
        <w:autoSpaceDN/>
        <w:bidi w:val="0"/>
        <w:spacing w:line="360" w:lineRule="auto"/>
        <w:ind w:firstLine="640" w:firstLineChars="200"/>
        <w:textAlignment w:val="auto"/>
        <w:rPr>
          <w:rFonts w:ascii="仿宋_GB2312" w:eastAsia="仿宋_GB2312"/>
          <w:sz w:val="32"/>
          <w:szCs w:val="32"/>
        </w:rPr>
      </w:pPr>
      <w:r>
        <w:rPr>
          <w:rFonts w:hint="eastAsia" w:ascii="仿宋" w:hAnsi="仿宋" w:eastAsia="仿宋"/>
          <w:sz w:val="32"/>
          <w:szCs w:val="32"/>
        </w:rPr>
        <w:t>该项得分为</w:t>
      </w:r>
      <w:r>
        <w:rPr>
          <w:rFonts w:hint="eastAsia" w:ascii="仿宋" w:hAnsi="仿宋" w:eastAsia="仿宋"/>
          <w:sz w:val="32"/>
          <w:szCs w:val="32"/>
          <w:lang w:val="en-US" w:eastAsia="zh-CN"/>
        </w:rPr>
        <w:t>5</w:t>
      </w:r>
      <w:r>
        <w:rPr>
          <w:rFonts w:hint="eastAsia" w:ascii="仿宋" w:hAnsi="仿宋" w:eastAsia="仿宋"/>
          <w:sz w:val="32"/>
          <w:szCs w:val="32"/>
        </w:rPr>
        <w:t>0分。</w:t>
      </w:r>
    </w:p>
    <w:p>
      <w:pPr>
        <w:keepNext w:val="0"/>
        <w:keepLines w:val="0"/>
        <w:pageBreakBefore w:val="0"/>
        <w:kinsoku/>
        <w:wordWrap/>
        <w:overflowPunct/>
        <w:topLinePunct w:val="0"/>
        <w:autoSpaceDE/>
        <w:autoSpaceDN/>
        <w:bidi w:val="0"/>
        <w:spacing w:line="360" w:lineRule="auto"/>
        <w:ind w:firstLine="645"/>
        <w:textAlignment w:val="auto"/>
        <w:rPr>
          <w:rFonts w:ascii="楷体" w:hAnsi="楷体" w:eastAsia="楷体" w:cs="楷体_GB2312"/>
          <w:bCs/>
          <w:sz w:val="32"/>
          <w:szCs w:val="32"/>
        </w:rPr>
      </w:pPr>
      <w:r>
        <w:rPr>
          <w:rFonts w:hint="eastAsia" w:ascii="楷体" w:hAnsi="楷体" w:eastAsia="楷体" w:cs="楷体_GB2312"/>
          <w:bCs/>
          <w:sz w:val="32"/>
          <w:szCs w:val="32"/>
        </w:rPr>
        <w:t>（二）分项绩效目标实现情况及指标分析</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仿宋" w:hAnsi="仿宋" w:eastAsia="仿宋" w:cs="仿宋"/>
          <w:bCs/>
          <w:sz w:val="32"/>
          <w:szCs w:val="32"/>
          <w:highlight w:val="none"/>
          <w:lang w:val="en-US" w:eastAsia="zh-CN"/>
        </w:rPr>
      </w:pPr>
      <w:r>
        <w:rPr>
          <w:rFonts w:hint="eastAsia" w:ascii="仿宋" w:hAnsi="仿宋" w:eastAsia="仿宋" w:cs="仿宋"/>
          <w:bCs/>
          <w:sz w:val="32"/>
          <w:szCs w:val="32"/>
          <w:highlight w:val="none"/>
          <w:lang w:val="en-US" w:eastAsia="zh-CN"/>
        </w:rPr>
        <w:t>（1）把政治建设摆在首位</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仿宋" w:hAnsi="仿宋" w:eastAsia="仿宋" w:cs="仿宋"/>
          <w:bCs/>
          <w:sz w:val="32"/>
          <w:szCs w:val="32"/>
          <w:highlight w:val="none"/>
          <w:lang w:val="en-US" w:eastAsia="zh-CN"/>
        </w:rPr>
      </w:pPr>
      <w:r>
        <w:rPr>
          <w:rFonts w:hint="eastAsia" w:ascii="仿宋" w:hAnsi="仿宋" w:eastAsia="仿宋" w:cs="仿宋"/>
          <w:bCs/>
          <w:sz w:val="32"/>
          <w:szCs w:val="32"/>
          <w:highlight w:val="none"/>
          <w:lang w:val="en-US" w:eastAsia="zh-CN"/>
        </w:rPr>
        <w:t>绩效目标：坚持</w:t>
      </w:r>
      <w:r>
        <w:rPr>
          <w:rFonts w:hint="default" w:ascii="仿宋" w:hAnsi="仿宋" w:eastAsia="仿宋" w:cs="仿宋"/>
          <w:bCs/>
          <w:sz w:val="32"/>
          <w:szCs w:val="32"/>
          <w:highlight w:val="none"/>
          <w:lang w:val="en-US" w:eastAsia="zh-CN"/>
        </w:rPr>
        <w:t>“</w:t>
      </w:r>
      <w:r>
        <w:rPr>
          <w:rFonts w:hint="eastAsia" w:ascii="仿宋" w:hAnsi="仿宋" w:eastAsia="仿宋" w:cs="仿宋"/>
          <w:bCs/>
          <w:sz w:val="32"/>
          <w:szCs w:val="32"/>
          <w:highlight w:val="none"/>
          <w:lang w:val="en-US" w:eastAsia="zh-CN"/>
        </w:rPr>
        <w:t>抓党建带队建促审判</w:t>
      </w:r>
      <w:r>
        <w:rPr>
          <w:rFonts w:hint="default" w:ascii="仿宋" w:hAnsi="仿宋" w:eastAsia="仿宋" w:cs="仿宋"/>
          <w:bCs/>
          <w:sz w:val="32"/>
          <w:szCs w:val="32"/>
          <w:highlight w:val="none"/>
          <w:lang w:val="en-US" w:eastAsia="zh-CN"/>
        </w:rPr>
        <w:t>”</w:t>
      </w:r>
      <w:r>
        <w:rPr>
          <w:rFonts w:hint="eastAsia" w:ascii="仿宋" w:hAnsi="仿宋" w:eastAsia="仿宋" w:cs="仿宋"/>
          <w:bCs/>
          <w:sz w:val="32"/>
          <w:szCs w:val="32"/>
          <w:highlight w:val="none"/>
          <w:lang w:val="en-US" w:eastAsia="zh-CN"/>
        </w:rPr>
        <w:t>，将习近平法治思想、宪法法律、党内法规列入党组中心组年度学习计划、干部培训计划，严格执行党章和新形势下党内政治生活若干准则，认真落实</w:t>
      </w:r>
      <w:r>
        <w:rPr>
          <w:rFonts w:hint="default" w:ascii="仿宋" w:hAnsi="仿宋" w:eastAsia="仿宋" w:cs="仿宋"/>
          <w:bCs/>
          <w:sz w:val="32"/>
          <w:szCs w:val="32"/>
          <w:highlight w:val="none"/>
          <w:lang w:val="en-US" w:eastAsia="zh-CN"/>
        </w:rPr>
        <w:t>“</w:t>
      </w:r>
      <w:r>
        <w:rPr>
          <w:rFonts w:hint="eastAsia" w:ascii="仿宋" w:hAnsi="仿宋" w:eastAsia="仿宋" w:cs="仿宋"/>
          <w:bCs/>
          <w:sz w:val="32"/>
          <w:szCs w:val="32"/>
          <w:highlight w:val="none"/>
          <w:lang w:val="en-US" w:eastAsia="zh-CN"/>
        </w:rPr>
        <w:t>三会一课</w:t>
      </w:r>
      <w:r>
        <w:rPr>
          <w:rFonts w:hint="default" w:ascii="仿宋" w:hAnsi="仿宋" w:eastAsia="仿宋" w:cs="仿宋"/>
          <w:bCs/>
          <w:sz w:val="32"/>
          <w:szCs w:val="32"/>
          <w:highlight w:val="none"/>
          <w:lang w:val="en-US" w:eastAsia="zh-CN"/>
        </w:rPr>
        <w:t>”</w:t>
      </w:r>
      <w:r>
        <w:rPr>
          <w:rFonts w:hint="eastAsia" w:ascii="仿宋" w:hAnsi="仿宋" w:eastAsia="仿宋" w:cs="仿宋"/>
          <w:bCs/>
          <w:sz w:val="32"/>
          <w:szCs w:val="32"/>
          <w:highlight w:val="none"/>
          <w:lang w:val="en-US" w:eastAsia="zh-CN"/>
        </w:rPr>
        <w:t>，坚持</w:t>
      </w:r>
      <w:r>
        <w:rPr>
          <w:rFonts w:hint="default" w:ascii="仿宋" w:hAnsi="仿宋" w:eastAsia="仿宋" w:cs="仿宋"/>
          <w:bCs/>
          <w:sz w:val="32"/>
          <w:szCs w:val="32"/>
          <w:highlight w:val="none"/>
          <w:lang w:val="en-US" w:eastAsia="zh-CN"/>
        </w:rPr>
        <w:t>“</w:t>
      </w:r>
      <w:r>
        <w:rPr>
          <w:rFonts w:hint="eastAsia" w:ascii="仿宋" w:hAnsi="仿宋" w:eastAsia="仿宋" w:cs="仿宋"/>
          <w:bCs/>
          <w:sz w:val="32"/>
          <w:szCs w:val="32"/>
          <w:highlight w:val="none"/>
          <w:lang w:val="en-US" w:eastAsia="zh-CN"/>
        </w:rPr>
        <w:t>一把手</w:t>
      </w:r>
      <w:r>
        <w:rPr>
          <w:rFonts w:hint="default" w:ascii="仿宋" w:hAnsi="仿宋" w:eastAsia="仿宋" w:cs="仿宋"/>
          <w:bCs/>
          <w:sz w:val="32"/>
          <w:szCs w:val="32"/>
          <w:highlight w:val="none"/>
          <w:lang w:val="en-US" w:eastAsia="zh-CN"/>
        </w:rPr>
        <w:t>”</w:t>
      </w:r>
      <w:r>
        <w:rPr>
          <w:rFonts w:hint="eastAsia" w:ascii="仿宋" w:hAnsi="仿宋" w:eastAsia="仿宋" w:cs="仿宋"/>
          <w:bCs/>
          <w:sz w:val="32"/>
          <w:szCs w:val="32"/>
          <w:highlight w:val="none"/>
          <w:lang w:val="en-US" w:eastAsia="zh-CN"/>
        </w:rPr>
        <w:t>带头抓意识形态工作，强化党组抓意识形态工作的主体责任，严格按照</w:t>
      </w:r>
      <w:r>
        <w:rPr>
          <w:rFonts w:hint="default" w:ascii="仿宋" w:hAnsi="仿宋" w:eastAsia="仿宋" w:cs="仿宋"/>
          <w:bCs/>
          <w:sz w:val="32"/>
          <w:szCs w:val="32"/>
          <w:highlight w:val="none"/>
          <w:lang w:val="en-US" w:eastAsia="zh-CN"/>
        </w:rPr>
        <w:t>“</w:t>
      </w:r>
      <w:r>
        <w:rPr>
          <w:rFonts w:hint="eastAsia" w:ascii="仿宋" w:hAnsi="仿宋" w:eastAsia="仿宋" w:cs="仿宋"/>
          <w:bCs/>
          <w:sz w:val="32"/>
          <w:szCs w:val="32"/>
          <w:highlight w:val="none"/>
          <w:lang w:val="en-US" w:eastAsia="zh-CN"/>
        </w:rPr>
        <w:t>三同步</w:t>
      </w:r>
      <w:r>
        <w:rPr>
          <w:rFonts w:hint="default" w:ascii="仿宋" w:hAnsi="仿宋" w:eastAsia="仿宋" w:cs="仿宋"/>
          <w:bCs/>
          <w:sz w:val="32"/>
          <w:szCs w:val="32"/>
          <w:highlight w:val="none"/>
          <w:lang w:val="en-US" w:eastAsia="zh-CN"/>
        </w:rPr>
        <w:t>”</w:t>
      </w:r>
      <w:r>
        <w:rPr>
          <w:rFonts w:hint="eastAsia" w:ascii="仿宋" w:hAnsi="仿宋" w:eastAsia="仿宋" w:cs="仿宋"/>
          <w:bCs/>
          <w:sz w:val="32"/>
          <w:szCs w:val="32"/>
          <w:highlight w:val="none"/>
          <w:lang w:val="en-US" w:eastAsia="zh-CN"/>
        </w:rPr>
        <w:t xml:space="preserve">工作原则加强负面舆情防控和引导。 </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default" w:ascii="仿宋" w:hAnsi="仿宋" w:eastAsia="仿宋" w:cs="仿宋"/>
          <w:bCs/>
          <w:sz w:val="32"/>
          <w:szCs w:val="32"/>
          <w:highlight w:val="none"/>
          <w:lang w:val="en-US" w:eastAsia="zh-CN"/>
        </w:rPr>
      </w:pPr>
      <w:r>
        <w:rPr>
          <w:rFonts w:hint="default" w:ascii="仿宋" w:hAnsi="仿宋" w:eastAsia="仿宋" w:cs="仿宋"/>
          <w:bCs/>
          <w:sz w:val="32"/>
          <w:szCs w:val="32"/>
          <w:highlight w:val="none"/>
          <w:lang w:val="en-US" w:eastAsia="zh-CN"/>
        </w:rPr>
        <w:t>绩效指标：</w:t>
      </w:r>
      <w:r>
        <w:rPr>
          <w:rFonts w:hint="eastAsia" w:ascii="仿宋" w:hAnsi="仿宋" w:eastAsia="仿宋" w:cs="仿宋"/>
          <w:bCs/>
          <w:sz w:val="32"/>
          <w:szCs w:val="32"/>
          <w:highlight w:val="none"/>
          <w:lang w:val="en-US" w:eastAsia="zh-CN"/>
        </w:rPr>
        <w:t xml:space="preserve">全年组织党组理论中心组专题学习 </w:t>
      </w:r>
      <w:r>
        <w:rPr>
          <w:rFonts w:hint="default" w:ascii="仿宋" w:hAnsi="仿宋" w:eastAsia="仿宋" w:cs="仿宋"/>
          <w:bCs/>
          <w:sz w:val="32"/>
          <w:szCs w:val="32"/>
          <w:highlight w:val="none"/>
          <w:lang w:val="en-US" w:eastAsia="zh-CN"/>
        </w:rPr>
        <w:t xml:space="preserve">12 </w:t>
      </w:r>
      <w:r>
        <w:rPr>
          <w:rFonts w:hint="eastAsia" w:ascii="仿宋" w:hAnsi="仿宋" w:eastAsia="仿宋" w:cs="仿宋"/>
          <w:bCs/>
          <w:sz w:val="32"/>
          <w:szCs w:val="32"/>
          <w:highlight w:val="none"/>
          <w:lang w:val="en-US" w:eastAsia="zh-CN"/>
        </w:rPr>
        <w:t xml:space="preserve">次，支部理论学习 </w:t>
      </w:r>
      <w:r>
        <w:rPr>
          <w:rFonts w:hint="default" w:ascii="仿宋" w:hAnsi="仿宋" w:eastAsia="仿宋" w:cs="仿宋"/>
          <w:bCs/>
          <w:sz w:val="32"/>
          <w:szCs w:val="32"/>
          <w:highlight w:val="none"/>
          <w:lang w:val="en-US" w:eastAsia="zh-CN"/>
        </w:rPr>
        <w:t xml:space="preserve">20 </w:t>
      </w:r>
      <w:r>
        <w:rPr>
          <w:rFonts w:hint="eastAsia" w:ascii="仿宋" w:hAnsi="仿宋" w:eastAsia="仿宋" w:cs="仿宋"/>
          <w:bCs/>
          <w:sz w:val="32"/>
          <w:szCs w:val="32"/>
          <w:highlight w:val="none"/>
          <w:lang w:val="en-US" w:eastAsia="zh-CN"/>
        </w:rPr>
        <w:t xml:space="preserve">次，青年理论学习小组学习 </w:t>
      </w:r>
      <w:r>
        <w:rPr>
          <w:rFonts w:hint="default" w:ascii="仿宋" w:hAnsi="仿宋" w:eastAsia="仿宋" w:cs="仿宋"/>
          <w:bCs/>
          <w:sz w:val="32"/>
          <w:szCs w:val="32"/>
          <w:highlight w:val="none"/>
          <w:lang w:val="en-US" w:eastAsia="zh-CN"/>
        </w:rPr>
        <w:t xml:space="preserve">12 </w:t>
      </w:r>
      <w:r>
        <w:rPr>
          <w:rFonts w:hint="eastAsia" w:ascii="仿宋" w:hAnsi="仿宋" w:eastAsia="仿宋" w:cs="仿宋"/>
          <w:bCs/>
          <w:sz w:val="32"/>
          <w:szCs w:val="32"/>
          <w:highlight w:val="none"/>
          <w:lang w:val="en-US" w:eastAsia="zh-CN"/>
        </w:rPr>
        <w:t xml:space="preserve">次，开展主题党日活动 </w:t>
      </w:r>
      <w:r>
        <w:rPr>
          <w:rFonts w:hint="default" w:ascii="仿宋" w:hAnsi="仿宋" w:eastAsia="仿宋" w:cs="仿宋"/>
          <w:bCs/>
          <w:sz w:val="32"/>
          <w:szCs w:val="32"/>
          <w:highlight w:val="none"/>
          <w:lang w:val="en-US" w:eastAsia="zh-CN"/>
        </w:rPr>
        <w:t xml:space="preserve">10 </w:t>
      </w:r>
      <w:r>
        <w:rPr>
          <w:rFonts w:hint="eastAsia" w:ascii="仿宋" w:hAnsi="仿宋" w:eastAsia="仿宋" w:cs="仿宋"/>
          <w:bCs/>
          <w:sz w:val="32"/>
          <w:szCs w:val="32"/>
          <w:highlight w:val="none"/>
          <w:lang w:val="en-US" w:eastAsia="zh-CN"/>
        </w:rPr>
        <w:t>次。</w:t>
      </w:r>
    </w:p>
    <w:p>
      <w:pPr>
        <w:pStyle w:val="9"/>
        <w:keepNext w:val="0"/>
        <w:keepLines w:val="0"/>
        <w:pageBreakBefore w:val="0"/>
        <w:kinsoku/>
        <w:wordWrap/>
        <w:overflowPunct/>
        <w:topLinePunct w:val="0"/>
        <w:autoSpaceDE/>
        <w:autoSpaceDN/>
        <w:bidi w:val="0"/>
        <w:spacing w:line="360" w:lineRule="auto"/>
        <w:textAlignment w:val="auto"/>
        <w:rPr>
          <w:rFonts w:hint="default" w:ascii="仿宋" w:hAnsi="仿宋" w:eastAsia="仿宋"/>
          <w:bCs/>
          <w:sz w:val="32"/>
          <w:szCs w:val="32"/>
          <w:lang w:val="en-US" w:eastAsia="zh-CN"/>
        </w:rPr>
      </w:pPr>
      <w:r>
        <w:rPr>
          <w:rFonts w:hint="eastAsia" w:ascii="仿宋" w:hAnsi="仿宋" w:eastAsia="仿宋"/>
          <w:bCs/>
          <w:sz w:val="32"/>
          <w:szCs w:val="32"/>
          <w:lang w:val="uk-UA"/>
        </w:rPr>
        <w:t>该项得分10分</w:t>
      </w:r>
      <w:r>
        <w:rPr>
          <w:rFonts w:hint="eastAsia" w:ascii="仿宋" w:hAnsi="仿宋" w:eastAsia="仿宋"/>
          <w:bCs/>
          <w:sz w:val="32"/>
          <w:szCs w:val="32"/>
          <w:lang w:val="uk-UA" w:eastAsia="zh-CN"/>
        </w:rPr>
        <w:t>。</w:t>
      </w:r>
      <w:r>
        <w:rPr>
          <w:rFonts w:hint="eastAsia" w:ascii="仿宋" w:hAnsi="仿宋" w:eastAsia="仿宋"/>
          <w:bCs/>
          <w:sz w:val="32"/>
          <w:szCs w:val="32"/>
          <w:lang w:val="en-US" w:eastAsia="zh-CN"/>
        </w:rPr>
        <w:t xml:space="preserve"> </w:t>
      </w:r>
    </w:p>
    <w:p>
      <w:pPr>
        <w:pStyle w:val="9"/>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Cs/>
          <w:sz w:val="32"/>
          <w:szCs w:val="32"/>
          <w:highlight w:val="none"/>
          <w:lang w:val="en-US" w:eastAsia="zh-CN"/>
        </w:rPr>
      </w:pPr>
      <w:r>
        <w:rPr>
          <w:rFonts w:hint="eastAsia" w:ascii="仿宋" w:hAnsi="仿宋" w:eastAsia="仿宋" w:cs="仿宋"/>
          <w:bCs/>
          <w:sz w:val="32"/>
          <w:szCs w:val="32"/>
          <w:highlight w:val="none"/>
          <w:lang w:val="en-US" w:eastAsia="zh-CN"/>
        </w:rPr>
        <w:t>（2）维护稳定，助力平安建设</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仿宋" w:hAnsi="仿宋" w:eastAsia="仿宋" w:cs="仿宋"/>
          <w:bCs/>
          <w:sz w:val="32"/>
          <w:szCs w:val="32"/>
          <w:highlight w:val="none"/>
          <w:lang w:val="en-US" w:eastAsia="zh-CN"/>
        </w:rPr>
      </w:pPr>
      <w:r>
        <w:rPr>
          <w:rFonts w:hint="eastAsia" w:ascii="仿宋" w:hAnsi="仿宋" w:eastAsia="仿宋" w:cs="仿宋"/>
          <w:bCs/>
          <w:sz w:val="32"/>
          <w:szCs w:val="32"/>
          <w:highlight w:val="none"/>
          <w:lang w:val="en-US" w:eastAsia="zh-CN"/>
        </w:rPr>
        <w:t>绩效目标：依法严惩严重危害社会治安犯罪，审结故意杀人、抢劫、强奸等暴力犯罪和毒品犯罪</w:t>
      </w:r>
      <w:r>
        <w:rPr>
          <w:rFonts w:hint="default" w:ascii="仿宋" w:hAnsi="仿宋" w:eastAsia="仿宋" w:cs="仿宋"/>
          <w:bCs/>
          <w:sz w:val="32"/>
          <w:szCs w:val="32"/>
          <w:highlight w:val="none"/>
          <w:lang w:val="en-US" w:eastAsia="zh-CN"/>
        </w:rPr>
        <w:t>,</w:t>
      </w:r>
      <w:r>
        <w:rPr>
          <w:rFonts w:hint="eastAsia" w:ascii="仿宋" w:hAnsi="仿宋" w:eastAsia="仿宋" w:cs="仿宋"/>
          <w:bCs/>
          <w:sz w:val="32"/>
          <w:szCs w:val="32"/>
          <w:highlight w:val="none"/>
          <w:lang w:val="en-US" w:eastAsia="zh-CN"/>
        </w:rPr>
        <w:t>常态化开展扫黑除恶斗争，保持惩治腐败犯罪高压态势，加大多发涉众型经济犯罪惩治力度。全面准确落实司法责任制，精准把握宽严相济刑事政策，严把案件事实关、证据关、程序关、法律适用关。</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仿宋" w:hAnsi="仿宋" w:eastAsia="仿宋" w:cs="仿宋"/>
          <w:bCs/>
          <w:sz w:val="32"/>
          <w:szCs w:val="32"/>
          <w:highlight w:val="none"/>
          <w:lang w:val="en-US" w:eastAsia="zh-CN"/>
        </w:rPr>
      </w:pPr>
      <w:r>
        <w:rPr>
          <w:rFonts w:hint="eastAsia" w:ascii="仿宋" w:hAnsi="仿宋" w:eastAsia="仿宋" w:cs="仿宋"/>
          <w:bCs/>
          <w:sz w:val="32"/>
          <w:szCs w:val="32"/>
          <w:highlight w:val="none"/>
          <w:lang w:val="en-US" w:eastAsia="zh-CN"/>
        </w:rPr>
        <w:t>绩效指标：全力提升案件办理质效，不断提高刑事审判质效和公信力，通过推出典型案例、发布司法建议等形式不断提炼经验做法，推动刑事审判整体提升，刑事案件结案率达标。</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仿宋" w:hAnsi="仿宋" w:eastAsia="仿宋" w:cs="仿宋"/>
          <w:bCs/>
          <w:sz w:val="32"/>
          <w:szCs w:val="32"/>
          <w:highlight w:val="none"/>
          <w:lang w:val="en-US" w:eastAsia="zh-CN"/>
        </w:rPr>
      </w:pPr>
      <w:r>
        <w:rPr>
          <w:rFonts w:hint="eastAsia" w:ascii="仿宋" w:hAnsi="仿宋" w:eastAsia="仿宋" w:cs="仿宋"/>
          <w:bCs/>
          <w:sz w:val="32"/>
          <w:szCs w:val="32"/>
          <w:highlight w:val="none"/>
          <w:lang w:val="uk-UA" w:eastAsia="zh-CN"/>
        </w:rPr>
        <w:t>该项得分10分。</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仿宋" w:hAnsi="仿宋" w:eastAsia="仿宋" w:cs="仿宋"/>
          <w:bCs/>
          <w:sz w:val="32"/>
          <w:szCs w:val="32"/>
          <w:highlight w:val="none"/>
          <w:lang w:val="en-US" w:eastAsia="zh-CN"/>
        </w:rPr>
      </w:pPr>
      <w:r>
        <w:rPr>
          <w:rFonts w:hint="eastAsia" w:ascii="仿宋" w:hAnsi="仿宋" w:eastAsia="仿宋" w:cs="仿宋"/>
          <w:bCs/>
          <w:sz w:val="32"/>
          <w:szCs w:val="32"/>
          <w:highlight w:val="none"/>
          <w:lang w:val="en-US" w:eastAsia="zh-CN"/>
        </w:rPr>
        <w:t>（3）坚持发展为重</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仿宋" w:hAnsi="仿宋" w:eastAsia="仿宋" w:cs="仿宋"/>
          <w:bCs/>
          <w:sz w:val="32"/>
          <w:szCs w:val="32"/>
          <w:highlight w:val="none"/>
          <w:lang w:val="en-US" w:eastAsia="zh-CN"/>
        </w:rPr>
      </w:pPr>
      <w:r>
        <w:rPr>
          <w:rFonts w:hint="eastAsia" w:ascii="仿宋" w:hAnsi="仿宋" w:eastAsia="仿宋" w:cs="仿宋"/>
          <w:bCs/>
          <w:sz w:val="32"/>
          <w:szCs w:val="32"/>
          <w:highlight w:val="none"/>
          <w:lang w:val="en-US" w:eastAsia="zh-CN"/>
        </w:rPr>
        <w:t>绩效目标：将优化法治化营商环境融入</w:t>
      </w:r>
      <w:r>
        <w:rPr>
          <w:rFonts w:hint="default" w:ascii="仿宋" w:hAnsi="仿宋" w:eastAsia="仿宋" w:cs="仿宋"/>
          <w:bCs/>
          <w:sz w:val="32"/>
          <w:szCs w:val="32"/>
          <w:highlight w:val="none"/>
          <w:lang w:val="en-US" w:eastAsia="zh-CN"/>
        </w:rPr>
        <w:t>“</w:t>
      </w:r>
      <w:r>
        <w:rPr>
          <w:rFonts w:hint="eastAsia" w:ascii="仿宋" w:hAnsi="仿宋" w:eastAsia="仿宋" w:cs="仿宋"/>
          <w:bCs/>
          <w:sz w:val="32"/>
          <w:szCs w:val="32"/>
          <w:highlight w:val="none"/>
          <w:lang w:val="en-US" w:eastAsia="zh-CN"/>
        </w:rPr>
        <w:t>立案、审判、执行</w:t>
      </w:r>
      <w:r>
        <w:rPr>
          <w:rFonts w:hint="default" w:ascii="仿宋" w:hAnsi="仿宋" w:eastAsia="仿宋" w:cs="仿宋"/>
          <w:bCs/>
          <w:sz w:val="32"/>
          <w:szCs w:val="32"/>
          <w:highlight w:val="none"/>
          <w:lang w:val="en-US" w:eastAsia="zh-CN"/>
        </w:rPr>
        <w:t>”</w:t>
      </w:r>
      <w:r>
        <w:rPr>
          <w:rFonts w:hint="eastAsia" w:ascii="仿宋" w:hAnsi="仿宋" w:eastAsia="仿宋" w:cs="仿宋"/>
          <w:bCs/>
          <w:sz w:val="32"/>
          <w:szCs w:val="32"/>
          <w:highlight w:val="none"/>
          <w:lang w:val="en-US" w:eastAsia="zh-CN"/>
        </w:rPr>
        <w:t>全过程，依法规范全县金融秩序。积极参与稳妥推进企业债务纠纷案件审理，统一融资担保合同纠纷案件裁判尺度，编纂服务企业高质量发展法律提示系列，指引企业依法经营。</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仿宋" w:hAnsi="仿宋" w:eastAsia="仿宋" w:cs="仿宋"/>
          <w:bCs/>
          <w:sz w:val="32"/>
          <w:szCs w:val="32"/>
          <w:highlight w:val="none"/>
          <w:lang w:val="en-US" w:eastAsia="zh-CN"/>
        </w:rPr>
      </w:pPr>
      <w:r>
        <w:rPr>
          <w:rFonts w:hint="eastAsia" w:ascii="仿宋" w:hAnsi="仿宋" w:eastAsia="仿宋" w:cs="仿宋"/>
          <w:bCs/>
          <w:sz w:val="32"/>
          <w:szCs w:val="32"/>
          <w:highlight w:val="none"/>
          <w:lang w:val="en-US" w:eastAsia="zh-CN"/>
        </w:rPr>
        <w:t>绩效指标：将司法为民的理念不断贯彻到调解实践中，让人民群众获得更加高效、便捷的司法服务</w:t>
      </w:r>
      <w:r>
        <w:rPr>
          <w:rFonts w:hint="default" w:ascii="仿宋" w:hAnsi="仿宋" w:eastAsia="仿宋" w:cs="仿宋"/>
          <w:bCs/>
          <w:sz w:val="32"/>
          <w:szCs w:val="32"/>
          <w:highlight w:val="none"/>
          <w:lang w:val="en-US" w:eastAsia="zh-CN"/>
        </w:rPr>
        <w:t>,</w:t>
      </w:r>
      <w:r>
        <w:rPr>
          <w:rFonts w:hint="eastAsia" w:ascii="仿宋" w:hAnsi="仿宋" w:eastAsia="仿宋" w:cs="仿宋"/>
          <w:bCs/>
          <w:sz w:val="32"/>
          <w:szCs w:val="32"/>
          <w:highlight w:val="none"/>
          <w:lang w:val="en-US" w:eastAsia="zh-CN"/>
        </w:rPr>
        <w:t>强化程序公正意识，民事案件结案率达标。</w:t>
      </w:r>
    </w:p>
    <w:p>
      <w:pPr>
        <w:pStyle w:val="9"/>
        <w:keepNext w:val="0"/>
        <w:keepLines w:val="0"/>
        <w:pageBreakBefore w:val="0"/>
        <w:kinsoku/>
        <w:wordWrap/>
        <w:overflowPunct/>
        <w:topLinePunct w:val="0"/>
        <w:autoSpaceDE/>
        <w:autoSpaceDN/>
        <w:bidi w:val="0"/>
        <w:spacing w:line="360" w:lineRule="auto"/>
        <w:textAlignment w:val="auto"/>
        <w:rPr>
          <w:rFonts w:ascii="仿宋" w:hAnsi="仿宋" w:eastAsia="仿宋"/>
          <w:sz w:val="32"/>
          <w:szCs w:val="32"/>
          <w:lang w:eastAsia="zh-CN"/>
        </w:rPr>
      </w:pPr>
      <w:r>
        <w:rPr>
          <w:rFonts w:hint="eastAsia" w:ascii="仿宋" w:hAnsi="仿宋" w:eastAsia="仿宋"/>
          <w:bCs/>
          <w:sz w:val="32"/>
          <w:szCs w:val="32"/>
          <w:lang w:val="uk-UA"/>
        </w:rPr>
        <w:t>该项得分</w:t>
      </w:r>
      <w:r>
        <w:rPr>
          <w:rFonts w:hint="eastAsia" w:ascii="仿宋" w:hAnsi="仿宋" w:eastAsia="仿宋"/>
          <w:bCs/>
          <w:sz w:val="32"/>
          <w:szCs w:val="32"/>
          <w:lang w:val="en-US" w:eastAsia="zh-CN"/>
        </w:rPr>
        <w:t>9</w:t>
      </w:r>
      <w:r>
        <w:rPr>
          <w:rFonts w:hint="eastAsia" w:ascii="仿宋" w:hAnsi="仿宋" w:eastAsia="仿宋"/>
          <w:bCs/>
          <w:sz w:val="32"/>
          <w:szCs w:val="32"/>
          <w:lang w:val="uk-UA"/>
        </w:rPr>
        <w:t>分</w:t>
      </w:r>
      <w:r>
        <w:rPr>
          <w:rFonts w:hint="eastAsia" w:ascii="仿宋" w:hAnsi="仿宋" w:eastAsia="仿宋"/>
          <w:bCs/>
          <w:sz w:val="32"/>
          <w:szCs w:val="32"/>
          <w:lang w:val="uk-UA" w:eastAsia="zh-CN"/>
        </w:rPr>
        <w:t>。</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仿宋" w:hAnsi="仿宋" w:eastAsia="仿宋" w:cs="仿宋"/>
          <w:bCs/>
          <w:sz w:val="32"/>
          <w:szCs w:val="32"/>
          <w:highlight w:val="none"/>
          <w:lang w:val="en-US" w:eastAsia="zh-CN"/>
        </w:rPr>
      </w:pPr>
      <w:r>
        <w:rPr>
          <w:rFonts w:hint="eastAsia" w:ascii="仿宋" w:hAnsi="仿宋" w:eastAsia="仿宋" w:cs="仿宋"/>
          <w:bCs/>
          <w:sz w:val="32"/>
          <w:szCs w:val="32"/>
          <w:highlight w:val="none"/>
          <w:lang w:val="en-US" w:eastAsia="zh-CN"/>
        </w:rPr>
        <w:t>（4）促进依法行政</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仿宋" w:hAnsi="仿宋" w:eastAsia="仿宋" w:cs="仿宋"/>
          <w:bCs/>
          <w:sz w:val="32"/>
          <w:szCs w:val="32"/>
          <w:highlight w:val="none"/>
          <w:lang w:val="en-US" w:eastAsia="zh-CN"/>
        </w:rPr>
      </w:pPr>
      <w:r>
        <w:rPr>
          <w:rFonts w:hint="eastAsia" w:ascii="仿宋" w:hAnsi="仿宋" w:eastAsia="仿宋" w:cs="仿宋"/>
          <w:bCs/>
          <w:sz w:val="32"/>
          <w:szCs w:val="32"/>
          <w:highlight w:val="none"/>
          <w:lang w:val="en-US" w:eastAsia="zh-CN"/>
        </w:rPr>
        <w:t>绩效目标：为行政执法人员进行专题辅导。发布年度行政案件司法审查报告，定期为乡镇综合行政执法人员进行专题辅导。依托</w:t>
      </w:r>
      <w:r>
        <w:rPr>
          <w:rFonts w:hint="default" w:ascii="仿宋" w:hAnsi="仿宋" w:eastAsia="仿宋" w:cs="仿宋"/>
          <w:bCs/>
          <w:sz w:val="32"/>
          <w:szCs w:val="32"/>
          <w:highlight w:val="none"/>
          <w:lang w:val="en-US" w:eastAsia="zh-CN"/>
        </w:rPr>
        <w:t>“</w:t>
      </w:r>
      <w:r>
        <w:rPr>
          <w:rFonts w:hint="eastAsia" w:ascii="仿宋" w:hAnsi="仿宋" w:eastAsia="仿宋" w:cs="仿宋"/>
          <w:bCs/>
          <w:sz w:val="32"/>
          <w:szCs w:val="32"/>
          <w:highlight w:val="none"/>
          <w:lang w:val="en-US" w:eastAsia="zh-CN"/>
        </w:rPr>
        <w:t>府院联动</w:t>
      </w:r>
      <w:r>
        <w:rPr>
          <w:rFonts w:hint="default" w:ascii="仿宋" w:hAnsi="仿宋" w:eastAsia="仿宋" w:cs="仿宋"/>
          <w:bCs/>
          <w:sz w:val="32"/>
          <w:szCs w:val="32"/>
          <w:highlight w:val="none"/>
          <w:lang w:val="en-US" w:eastAsia="zh-CN"/>
        </w:rPr>
        <w:t>”</w:t>
      </w:r>
      <w:r>
        <w:rPr>
          <w:rFonts w:hint="eastAsia" w:ascii="仿宋" w:hAnsi="仿宋" w:eastAsia="仿宋" w:cs="仿宋"/>
          <w:bCs/>
          <w:sz w:val="32"/>
          <w:szCs w:val="32"/>
          <w:highlight w:val="none"/>
          <w:lang w:val="en-US" w:eastAsia="zh-CN"/>
        </w:rPr>
        <w:t xml:space="preserve">机制，联合司法局以会商会的形式，邀请涉案行政机关参与化解行政争议。 </w:t>
      </w:r>
    </w:p>
    <w:p>
      <w:pPr>
        <w:keepNext w:val="0"/>
        <w:keepLines w:val="0"/>
        <w:pageBreakBefore w:val="0"/>
        <w:widowControl/>
        <w:suppressLineNumbers w:val="0"/>
        <w:kinsoku/>
        <w:wordWrap/>
        <w:overflowPunct/>
        <w:topLinePunct w:val="0"/>
        <w:autoSpaceDE/>
        <w:autoSpaceDN/>
        <w:bidi w:val="0"/>
        <w:spacing w:line="360" w:lineRule="auto"/>
        <w:ind w:firstLine="640" w:firstLineChars="200"/>
        <w:jc w:val="left"/>
        <w:textAlignment w:val="auto"/>
      </w:pPr>
      <w:r>
        <w:rPr>
          <w:rFonts w:ascii="仿宋" w:hAnsi="仿宋" w:eastAsia="仿宋"/>
          <w:sz w:val="32"/>
          <w:szCs w:val="32"/>
        </w:rPr>
        <w:t>绩效指标：</w:t>
      </w:r>
      <w:r>
        <w:rPr>
          <w:rFonts w:hint="eastAsia" w:ascii="仿宋" w:hAnsi="仿宋" w:eastAsia="仿宋" w:cs="仿宋"/>
          <w:bCs/>
          <w:sz w:val="32"/>
          <w:szCs w:val="32"/>
          <w:highlight w:val="none"/>
          <w:lang w:val="en-US" w:eastAsia="zh-CN"/>
        </w:rPr>
        <w:t>注重实质化解行政争议，鼓励行政机关先行化解、强化府院联动机制、完善复议诉讼对接机制。</w:t>
      </w:r>
    </w:p>
    <w:p>
      <w:pPr>
        <w:pStyle w:val="9"/>
        <w:keepNext w:val="0"/>
        <w:keepLines w:val="0"/>
        <w:pageBreakBefore w:val="0"/>
        <w:kinsoku/>
        <w:wordWrap/>
        <w:overflowPunct/>
        <w:topLinePunct w:val="0"/>
        <w:autoSpaceDE/>
        <w:autoSpaceDN/>
        <w:bidi w:val="0"/>
        <w:spacing w:line="360" w:lineRule="auto"/>
        <w:textAlignment w:val="auto"/>
        <w:rPr>
          <w:rFonts w:ascii="仿宋" w:hAnsi="仿宋" w:eastAsia="仿宋"/>
          <w:sz w:val="32"/>
          <w:szCs w:val="32"/>
          <w:lang w:eastAsia="zh-CN"/>
        </w:rPr>
      </w:pPr>
      <w:r>
        <w:rPr>
          <w:rFonts w:hint="eastAsia" w:ascii="仿宋" w:hAnsi="仿宋" w:eastAsia="仿宋"/>
          <w:bCs/>
          <w:sz w:val="32"/>
          <w:szCs w:val="32"/>
          <w:lang w:val="uk-UA"/>
        </w:rPr>
        <w:t>该项得分</w:t>
      </w:r>
      <w:r>
        <w:rPr>
          <w:rFonts w:hint="eastAsia" w:ascii="仿宋" w:hAnsi="仿宋" w:eastAsia="仿宋"/>
          <w:bCs/>
          <w:sz w:val="32"/>
          <w:szCs w:val="32"/>
          <w:lang w:val="en-US" w:eastAsia="zh-CN"/>
        </w:rPr>
        <w:t>9</w:t>
      </w:r>
      <w:r>
        <w:rPr>
          <w:rFonts w:hint="eastAsia" w:ascii="仿宋" w:hAnsi="仿宋" w:eastAsia="仿宋"/>
          <w:bCs/>
          <w:sz w:val="32"/>
          <w:szCs w:val="32"/>
          <w:lang w:val="uk-UA"/>
        </w:rPr>
        <w:t>分</w:t>
      </w:r>
      <w:r>
        <w:rPr>
          <w:rFonts w:hint="eastAsia" w:ascii="仿宋" w:hAnsi="仿宋" w:eastAsia="仿宋"/>
          <w:bCs/>
          <w:sz w:val="32"/>
          <w:szCs w:val="32"/>
          <w:lang w:val="uk-UA" w:eastAsia="zh-CN"/>
        </w:rPr>
        <w:t>。</w:t>
      </w:r>
    </w:p>
    <w:p>
      <w:pPr>
        <w:keepNext w:val="0"/>
        <w:keepLines w:val="0"/>
        <w:pageBreakBefore w:val="0"/>
        <w:widowControl/>
        <w:suppressLineNumbers w:val="0"/>
        <w:kinsoku/>
        <w:wordWrap/>
        <w:overflowPunct/>
        <w:topLinePunct w:val="0"/>
        <w:autoSpaceDE/>
        <w:autoSpaceDN/>
        <w:bidi w:val="0"/>
        <w:spacing w:line="360" w:lineRule="auto"/>
        <w:ind w:firstLine="640" w:firstLineChars="200"/>
        <w:jc w:val="left"/>
        <w:textAlignment w:val="auto"/>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lang w:eastAsia="zh-CN"/>
        </w:rPr>
        <w:t>5</w:t>
      </w:r>
      <w:r>
        <w:rPr>
          <w:rFonts w:ascii="仿宋" w:hAnsi="仿宋" w:eastAsia="仿宋"/>
          <w:sz w:val="32"/>
          <w:szCs w:val="32"/>
        </w:rPr>
        <w:t>）</w:t>
      </w:r>
      <w:r>
        <w:rPr>
          <w:rFonts w:hint="eastAsia" w:ascii="仿宋" w:hAnsi="仿宋" w:eastAsia="仿宋"/>
          <w:sz w:val="32"/>
          <w:szCs w:val="32"/>
          <w:lang w:val="en-US" w:eastAsia="zh-CN"/>
        </w:rPr>
        <w:t>坚持应执尽执</w:t>
      </w:r>
    </w:p>
    <w:p>
      <w:pPr>
        <w:keepNext w:val="0"/>
        <w:keepLines w:val="0"/>
        <w:pageBreakBefore w:val="0"/>
        <w:widowControl/>
        <w:suppressLineNumbers w:val="0"/>
        <w:kinsoku/>
        <w:wordWrap/>
        <w:overflowPunct/>
        <w:topLinePunct w:val="0"/>
        <w:autoSpaceDE/>
        <w:autoSpaceDN/>
        <w:bidi w:val="0"/>
        <w:spacing w:line="360" w:lineRule="auto"/>
        <w:ind w:firstLine="640" w:firstLineChars="200"/>
        <w:jc w:val="left"/>
        <w:textAlignment w:val="auto"/>
        <w:rPr>
          <w:rFonts w:ascii="仿宋" w:hAnsi="仿宋" w:eastAsia="仿宋"/>
          <w:sz w:val="32"/>
          <w:szCs w:val="32"/>
        </w:rPr>
      </w:pPr>
      <w:r>
        <w:rPr>
          <w:rFonts w:ascii="仿宋" w:hAnsi="仿宋" w:eastAsia="仿宋"/>
          <w:sz w:val="32"/>
          <w:szCs w:val="32"/>
        </w:rPr>
        <w:t>绩效目标：</w:t>
      </w:r>
      <w:r>
        <w:rPr>
          <w:rFonts w:hint="eastAsia" w:ascii="仿宋" w:hAnsi="仿宋" w:eastAsia="仿宋"/>
          <w:sz w:val="32"/>
          <w:szCs w:val="32"/>
          <w:lang w:val="en-US" w:eastAsia="zh-CN"/>
        </w:rPr>
        <w:t>充分利用各种执行措施，结合集中执行、交叉执行活动压缩被执行人自由活动空间，采取</w:t>
      </w:r>
      <w:r>
        <w:rPr>
          <w:rFonts w:hint="default" w:ascii="仿宋" w:hAnsi="仿宋" w:eastAsia="仿宋"/>
          <w:sz w:val="32"/>
          <w:szCs w:val="32"/>
          <w:lang w:val="en-US" w:eastAsia="zh-CN"/>
        </w:rPr>
        <w:t>“</w:t>
      </w:r>
      <w:r>
        <w:rPr>
          <w:rFonts w:hint="eastAsia" w:ascii="仿宋" w:hAnsi="仿宋" w:eastAsia="仿宋"/>
          <w:sz w:val="32"/>
          <w:szCs w:val="32"/>
          <w:lang w:val="en-US" w:eastAsia="zh-CN"/>
        </w:rPr>
        <w:t>理旧账、拒新账</w:t>
      </w:r>
      <w:r>
        <w:rPr>
          <w:rFonts w:hint="default" w:ascii="仿宋" w:hAnsi="仿宋" w:eastAsia="仿宋"/>
          <w:sz w:val="32"/>
          <w:szCs w:val="32"/>
          <w:lang w:val="en-US" w:eastAsia="zh-CN"/>
        </w:rPr>
        <w:t>”</w:t>
      </w:r>
      <w:r>
        <w:rPr>
          <w:rFonts w:hint="eastAsia" w:ascii="仿宋" w:hAnsi="仿宋" w:eastAsia="仿宋"/>
          <w:sz w:val="32"/>
          <w:szCs w:val="32"/>
          <w:lang w:val="en-US" w:eastAsia="zh-CN"/>
        </w:rPr>
        <w:t>的工作策略，推动执行案款</w:t>
      </w:r>
      <w:r>
        <w:rPr>
          <w:rFonts w:hint="default" w:ascii="仿宋" w:hAnsi="仿宋" w:eastAsia="仿宋"/>
          <w:sz w:val="32"/>
          <w:szCs w:val="32"/>
          <w:lang w:val="en-US" w:eastAsia="zh-CN"/>
        </w:rPr>
        <w:t>“</w:t>
      </w:r>
      <w:r>
        <w:rPr>
          <w:rFonts w:hint="eastAsia" w:ascii="仿宋" w:hAnsi="仿宋" w:eastAsia="仿宋"/>
          <w:sz w:val="32"/>
          <w:szCs w:val="32"/>
          <w:lang w:val="en-US" w:eastAsia="zh-CN"/>
        </w:rPr>
        <w:t>源头清零</w:t>
      </w:r>
      <w:r>
        <w:rPr>
          <w:rFonts w:hint="default" w:ascii="仿宋" w:hAnsi="仿宋" w:eastAsia="仿宋"/>
          <w:sz w:val="32"/>
          <w:szCs w:val="32"/>
          <w:lang w:val="en-US" w:eastAsia="zh-CN"/>
        </w:rPr>
        <w:t>”</w:t>
      </w:r>
      <w:r>
        <w:rPr>
          <w:rFonts w:hint="eastAsia" w:ascii="仿宋" w:hAnsi="仿宋" w:eastAsia="仿宋"/>
          <w:sz w:val="32"/>
          <w:szCs w:val="32"/>
          <w:lang w:val="en-US" w:eastAsia="zh-CN"/>
        </w:rPr>
        <w:t>。积极开展规范化管理试点工作，将我院执行工作逐步达到规范化管理要求的标准。</w:t>
      </w:r>
    </w:p>
    <w:p>
      <w:pPr>
        <w:keepNext w:val="0"/>
        <w:keepLines w:val="0"/>
        <w:pageBreakBefore w:val="0"/>
        <w:widowControl/>
        <w:suppressLineNumbers w:val="0"/>
        <w:kinsoku/>
        <w:wordWrap/>
        <w:overflowPunct/>
        <w:topLinePunct w:val="0"/>
        <w:autoSpaceDE/>
        <w:autoSpaceDN/>
        <w:bidi w:val="0"/>
        <w:spacing w:line="360" w:lineRule="auto"/>
        <w:ind w:firstLine="640" w:firstLineChars="200"/>
        <w:jc w:val="left"/>
        <w:textAlignment w:val="auto"/>
        <w:rPr>
          <w:rFonts w:ascii="仿宋" w:hAnsi="仿宋" w:eastAsia="仿宋"/>
          <w:sz w:val="32"/>
          <w:szCs w:val="32"/>
        </w:rPr>
      </w:pPr>
      <w:r>
        <w:rPr>
          <w:rFonts w:ascii="仿宋" w:hAnsi="仿宋" w:eastAsia="仿宋"/>
          <w:sz w:val="32"/>
          <w:szCs w:val="32"/>
        </w:rPr>
        <w:t>绩效指标：</w:t>
      </w:r>
      <w:r>
        <w:rPr>
          <w:rFonts w:hint="eastAsia" w:ascii="仿宋" w:hAnsi="仿宋" w:eastAsia="仿宋"/>
          <w:sz w:val="32"/>
          <w:szCs w:val="32"/>
          <w:lang w:val="en-US" w:eastAsia="zh-CN"/>
        </w:rPr>
        <w:t xml:space="preserve">执结率、执行到位率达标，且均优于去年同期指标值。 </w:t>
      </w:r>
    </w:p>
    <w:p>
      <w:pPr>
        <w:pStyle w:val="9"/>
        <w:keepNext w:val="0"/>
        <w:keepLines w:val="0"/>
        <w:pageBreakBefore w:val="0"/>
        <w:kinsoku/>
        <w:wordWrap/>
        <w:overflowPunct/>
        <w:topLinePunct w:val="0"/>
        <w:autoSpaceDE/>
        <w:autoSpaceDN/>
        <w:bidi w:val="0"/>
        <w:spacing w:line="360" w:lineRule="auto"/>
        <w:textAlignment w:val="auto"/>
        <w:rPr>
          <w:rFonts w:ascii="仿宋" w:hAnsi="仿宋" w:eastAsia="仿宋"/>
          <w:sz w:val="32"/>
          <w:szCs w:val="32"/>
          <w:lang w:eastAsia="zh-CN"/>
        </w:rPr>
      </w:pPr>
      <w:r>
        <w:rPr>
          <w:rFonts w:hint="eastAsia" w:ascii="仿宋" w:hAnsi="仿宋" w:eastAsia="仿宋"/>
          <w:bCs/>
          <w:sz w:val="32"/>
          <w:szCs w:val="32"/>
          <w:lang w:val="uk-UA"/>
        </w:rPr>
        <w:t>该项得分</w:t>
      </w:r>
      <w:r>
        <w:rPr>
          <w:rFonts w:hint="eastAsia" w:ascii="仿宋" w:hAnsi="仿宋" w:eastAsia="仿宋"/>
          <w:bCs/>
          <w:sz w:val="32"/>
          <w:szCs w:val="32"/>
          <w:lang w:val="uk-UA" w:eastAsia="zh-CN"/>
        </w:rPr>
        <w:t>8</w:t>
      </w:r>
      <w:r>
        <w:rPr>
          <w:rFonts w:hint="eastAsia" w:ascii="仿宋" w:hAnsi="仿宋" w:eastAsia="仿宋"/>
          <w:bCs/>
          <w:sz w:val="32"/>
          <w:szCs w:val="32"/>
          <w:lang w:val="uk-UA"/>
        </w:rPr>
        <w:t>分</w:t>
      </w:r>
      <w:r>
        <w:rPr>
          <w:rFonts w:hint="eastAsia" w:ascii="仿宋" w:hAnsi="仿宋" w:eastAsia="仿宋"/>
          <w:bCs/>
          <w:sz w:val="32"/>
          <w:szCs w:val="32"/>
          <w:lang w:val="uk-UA" w:eastAsia="zh-CN"/>
        </w:rPr>
        <w:t>。</w:t>
      </w:r>
    </w:p>
    <w:p>
      <w:pPr>
        <w:keepNext w:val="0"/>
        <w:keepLines w:val="0"/>
        <w:pageBreakBefore w:val="0"/>
        <w:kinsoku/>
        <w:wordWrap/>
        <w:overflowPunct/>
        <w:topLinePunct w:val="0"/>
        <w:autoSpaceDE/>
        <w:autoSpaceDN/>
        <w:bidi w:val="0"/>
        <w:spacing w:line="360" w:lineRule="auto"/>
        <w:ind w:firstLine="640" w:firstLineChars="200"/>
        <w:textAlignment w:val="auto"/>
        <w:rPr>
          <w:rFonts w:ascii="黑体" w:hAnsi="黑体" w:eastAsia="黑体"/>
          <w:sz w:val="32"/>
          <w:szCs w:val="32"/>
        </w:rPr>
      </w:pPr>
      <w:r>
        <w:rPr>
          <w:rFonts w:hint="eastAsia" w:ascii="黑体" w:hAnsi="黑体" w:eastAsia="黑体"/>
          <w:sz w:val="32"/>
          <w:szCs w:val="32"/>
        </w:rPr>
        <w:t>四、评价结论和评价等级</w:t>
      </w:r>
    </w:p>
    <w:p>
      <w:pPr>
        <w:keepNext w:val="0"/>
        <w:keepLines w:val="0"/>
        <w:pageBreakBefore w:val="0"/>
        <w:kinsoku/>
        <w:wordWrap/>
        <w:overflowPunct/>
        <w:topLinePunct w:val="0"/>
        <w:autoSpaceDE/>
        <w:autoSpaceDN/>
        <w:bidi w:val="0"/>
        <w:spacing w:line="360" w:lineRule="auto"/>
        <w:ind w:firstLine="640" w:firstLineChars="200"/>
        <w:textAlignment w:val="auto"/>
        <w:rPr>
          <w:rFonts w:ascii="仿宋" w:hAnsi="仿宋" w:eastAsia="仿宋"/>
          <w:sz w:val="32"/>
          <w:szCs w:val="32"/>
        </w:rPr>
      </w:pPr>
      <w:r>
        <w:rPr>
          <w:rFonts w:hint="eastAsia" w:ascii="仿宋" w:hAnsi="仿宋" w:eastAsia="仿宋" w:cs="仿宋_GB2312"/>
          <w:sz w:val="32"/>
          <w:szCs w:val="32"/>
        </w:rPr>
        <w:t>根据</w:t>
      </w:r>
      <w:r>
        <w:rPr>
          <w:rFonts w:hint="eastAsia" w:ascii="仿宋" w:hAnsi="仿宋" w:eastAsia="仿宋"/>
          <w:sz w:val="32"/>
          <w:szCs w:val="32"/>
        </w:rPr>
        <w:t>部门职责定位和各项工作履职情况进行综合评价</w:t>
      </w:r>
      <w:r>
        <w:rPr>
          <w:rFonts w:hint="eastAsia" w:ascii="仿宋" w:hAnsi="仿宋" w:eastAsia="仿宋" w:cs="仿宋_GB2312"/>
          <w:sz w:val="32"/>
          <w:szCs w:val="32"/>
        </w:rPr>
        <w:t>，我单位自评得分为96分，综合绩效评价等级为优秀。</w:t>
      </w:r>
    </w:p>
    <w:p>
      <w:pPr>
        <w:keepNext w:val="0"/>
        <w:keepLines w:val="0"/>
        <w:pageBreakBefore w:val="0"/>
        <w:kinsoku/>
        <w:wordWrap/>
        <w:overflowPunct/>
        <w:topLinePunct w:val="0"/>
        <w:autoSpaceDE/>
        <w:autoSpaceDN/>
        <w:bidi w:val="0"/>
        <w:spacing w:line="360" w:lineRule="auto"/>
        <w:ind w:firstLine="640" w:firstLineChars="200"/>
        <w:textAlignment w:val="auto"/>
        <w:rPr>
          <w:rFonts w:ascii="黑体" w:hAnsi="黑体" w:eastAsia="黑体"/>
          <w:sz w:val="32"/>
          <w:szCs w:val="32"/>
        </w:rPr>
      </w:pPr>
      <w:r>
        <w:rPr>
          <w:rFonts w:hint="eastAsia" w:ascii="黑体" w:hAnsi="黑体" w:eastAsia="黑体"/>
          <w:sz w:val="32"/>
          <w:szCs w:val="32"/>
        </w:rPr>
        <w:t>五、存在的问题及改进措施</w:t>
      </w:r>
    </w:p>
    <w:p>
      <w:pPr>
        <w:keepNext w:val="0"/>
        <w:keepLines w:val="0"/>
        <w:pageBreakBefore w:val="0"/>
        <w:kinsoku/>
        <w:wordWrap/>
        <w:overflowPunct/>
        <w:topLinePunct w:val="0"/>
        <w:autoSpaceDE/>
        <w:autoSpaceDN/>
        <w:bidi w:val="0"/>
        <w:spacing w:line="360" w:lineRule="auto"/>
        <w:ind w:firstLine="640" w:firstLineChars="200"/>
        <w:textAlignment w:val="auto"/>
        <w:rPr>
          <w:rFonts w:ascii="仿宋" w:hAnsi="仿宋" w:eastAsia="仿宋"/>
          <w:sz w:val="32"/>
          <w:szCs w:val="32"/>
        </w:rPr>
      </w:pPr>
      <w:r>
        <w:rPr>
          <w:rFonts w:hint="eastAsia" w:ascii="仿宋" w:hAnsi="仿宋" w:eastAsia="仿宋"/>
          <w:sz w:val="32"/>
          <w:szCs w:val="32"/>
        </w:rPr>
        <w:t>在项目实施方面，我院将进一步提高工作效率，加大项目经费绩效评价考核力度，保证项目实施进度，切实提高预算管理水平。充分发挥各个项目的效能，在解决问题之时，要确保把解决执行难落到实处，让群众切实感受到我院司法为民的初心，全力保障经济社会平稳健康发展，增强人民群众司法获得感。</w:t>
      </w:r>
    </w:p>
    <w:p>
      <w:pPr>
        <w:keepNext w:val="0"/>
        <w:keepLines w:val="0"/>
        <w:pageBreakBefore w:val="0"/>
        <w:kinsoku/>
        <w:wordWrap/>
        <w:overflowPunct/>
        <w:topLinePunct w:val="0"/>
        <w:autoSpaceDE/>
        <w:autoSpaceDN/>
        <w:bidi w:val="0"/>
        <w:spacing w:line="360" w:lineRule="auto"/>
        <w:textAlignment w:val="auto"/>
        <w:rPr>
          <w:rFonts w:ascii="仿宋" w:hAnsi="仿宋" w:eastAsia="仿宋"/>
          <w:sz w:val="32"/>
          <w:szCs w:val="32"/>
        </w:rPr>
      </w:pPr>
    </w:p>
    <w:p>
      <w:pPr>
        <w:keepNext w:val="0"/>
        <w:keepLines w:val="0"/>
        <w:pageBreakBefore w:val="0"/>
        <w:kinsoku/>
        <w:wordWrap/>
        <w:overflowPunct/>
        <w:topLinePunct w:val="0"/>
        <w:autoSpaceDE/>
        <w:autoSpaceDN/>
        <w:bidi w:val="0"/>
        <w:spacing w:line="360" w:lineRule="auto"/>
        <w:textAlignment w:val="auto"/>
        <w:rPr>
          <w:rFonts w:ascii="仿宋" w:hAnsi="仿宋" w:eastAsia="仿宋"/>
          <w:sz w:val="32"/>
          <w:szCs w:val="32"/>
        </w:rPr>
      </w:pPr>
    </w:p>
    <w:p>
      <w:pPr>
        <w:keepNext w:val="0"/>
        <w:keepLines w:val="0"/>
        <w:pageBreakBefore w:val="0"/>
        <w:kinsoku/>
        <w:wordWrap/>
        <w:overflowPunct/>
        <w:topLinePunct w:val="0"/>
        <w:autoSpaceDE/>
        <w:autoSpaceDN/>
        <w:bidi w:val="0"/>
        <w:spacing w:line="360" w:lineRule="auto"/>
        <w:ind w:right="160"/>
        <w:jc w:val="right"/>
        <w:textAlignment w:val="auto"/>
        <w:rPr>
          <w:rFonts w:ascii="仿宋" w:hAnsi="仿宋" w:eastAsia="仿宋"/>
          <w:sz w:val="32"/>
          <w:szCs w:val="32"/>
        </w:rPr>
      </w:pPr>
      <w:r>
        <w:rPr>
          <w:rFonts w:hint="eastAsia" w:ascii="仿宋" w:hAnsi="仿宋" w:eastAsia="仿宋"/>
          <w:sz w:val="32"/>
          <w:szCs w:val="32"/>
        </w:rPr>
        <w:t>平山县人民法院</w:t>
      </w:r>
    </w:p>
    <w:p>
      <w:pPr>
        <w:keepNext w:val="0"/>
        <w:keepLines w:val="0"/>
        <w:pageBreakBefore w:val="0"/>
        <w:kinsoku/>
        <w:wordWrap/>
        <w:overflowPunct/>
        <w:topLinePunct w:val="0"/>
        <w:autoSpaceDE/>
        <w:autoSpaceDN/>
        <w:bidi w:val="0"/>
        <w:spacing w:line="360" w:lineRule="auto"/>
        <w:jc w:val="right"/>
        <w:textAlignment w:val="auto"/>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6</w:t>
      </w:r>
      <w:r>
        <w:rPr>
          <w:rFonts w:hint="eastAsia" w:ascii="仿宋" w:hAnsi="仿宋" w:eastAsia="仿宋"/>
          <w:sz w:val="32"/>
          <w:szCs w:val="32"/>
        </w:rPr>
        <w:t>年3月</w:t>
      </w:r>
      <w:r>
        <w:rPr>
          <w:rFonts w:hint="eastAsia" w:ascii="仿宋" w:hAnsi="仿宋" w:eastAsia="仿宋"/>
          <w:sz w:val="32"/>
          <w:szCs w:val="32"/>
          <w:lang w:val="en-US" w:eastAsia="zh-CN"/>
        </w:rPr>
        <w:t>19</w:t>
      </w:r>
      <w:r>
        <w:rPr>
          <w:rFonts w:hint="eastAsia" w:ascii="仿宋" w:hAnsi="仿宋" w:eastAsia="仿宋"/>
          <w:sz w:val="32"/>
          <w:szCs w:val="32"/>
        </w:rPr>
        <w:t>日</w:t>
      </w:r>
    </w:p>
    <w:bookmarkEnd w:id="2"/>
    <w:sectPr>
      <w:footerReference r:id="rId3" w:type="default"/>
      <w:pgSz w:w="11906" w:h="16838"/>
      <w:pgMar w:top="1440" w:right="1474" w:bottom="1440"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altName w:val="微软雅黑"/>
    <w:panose1 w:val="00000000000000000000"/>
    <w:charset w:val="00"/>
    <w:family w:val="auto"/>
    <w:pitch w:val="default"/>
    <w:sig w:usb0="00000000" w:usb1="00000000" w:usb2="00000000" w:usb3="00000000" w:csb0="00040001"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pict>
        <v:shape id="Quad Arrow 3073" o:spid="_x0000_s4097" o:spt="202" type="#_x0000_t202" style="position:absolute;left:0pt;margin-top:0pt;height:144pt;width:144pt;mso-position-horizontal:center;mso-position-horizontal-relative:margin;mso-wrap-style:none;z-index:251659264;mso-width-relative:page;mso-height-relative:page;" filled="f" o:preferrelative="t" stroked="f" coordsize="21600,21600">
          <v:path/>
          <v:fill on="f" focussize="0,0"/>
          <v:stroke on="f" joinstyle="miter"/>
          <v:imagedata o:title=""/>
          <o:lock v:ext="edit"/>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- 7 -</w:t>
                </w:r>
                <w:r>
                  <w:rPr>
                    <w:rFonts w:hint="eastAsia"/>
                    <w:sz w:val="1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68489B"/>
    <w:multiLevelType w:val="singleLevel"/>
    <w:tmpl w:val="5E68489B"/>
    <w:lvl w:ilvl="0" w:tentative="0">
      <w:start w:val="1"/>
      <w:numFmt w:val="chineseCounting"/>
      <w:suff w:val="nothing"/>
      <w:lvlText w:val="（%1）"/>
      <w:lvlJc w:val="left"/>
      <w:rPr>
        <w:rFonts w:ascii="楷体" w:hAnsi="楷体" w:eastAsia="楷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zkzNTBiNjIzMTliNDhmNDI3MWM1MTk4M2EzMzhhZjUifQ=="/>
  </w:docVars>
  <w:rsids>
    <w:rsidRoot w:val="0EBD2122"/>
    <w:rsid w:val="000200B8"/>
    <w:rsid w:val="000361F0"/>
    <w:rsid w:val="00040E9B"/>
    <w:rsid w:val="00071CA9"/>
    <w:rsid w:val="000A79E0"/>
    <w:rsid w:val="000B0260"/>
    <w:rsid w:val="000D085B"/>
    <w:rsid w:val="001057B0"/>
    <w:rsid w:val="001321FA"/>
    <w:rsid w:val="00152D68"/>
    <w:rsid w:val="001745D7"/>
    <w:rsid w:val="001C15DD"/>
    <w:rsid w:val="001E699F"/>
    <w:rsid w:val="00236EB8"/>
    <w:rsid w:val="00242ED1"/>
    <w:rsid w:val="002A2D15"/>
    <w:rsid w:val="002A623C"/>
    <w:rsid w:val="00337AC5"/>
    <w:rsid w:val="00340390"/>
    <w:rsid w:val="0037528A"/>
    <w:rsid w:val="00375A8B"/>
    <w:rsid w:val="003B5DBE"/>
    <w:rsid w:val="00412522"/>
    <w:rsid w:val="00422316"/>
    <w:rsid w:val="004A3EC6"/>
    <w:rsid w:val="004D3357"/>
    <w:rsid w:val="0051059C"/>
    <w:rsid w:val="00551C3B"/>
    <w:rsid w:val="005E2F19"/>
    <w:rsid w:val="006111C9"/>
    <w:rsid w:val="0065458C"/>
    <w:rsid w:val="006815B8"/>
    <w:rsid w:val="006A7899"/>
    <w:rsid w:val="006E25B8"/>
    <w:rsid w:val="00775E04"/>
    <w:rsid w:val="007E6C1F"/>
    <w:rsid w:val="00871DB4"/>
    <w:rsid w:val="008943DC"/>
    <w:rsid w:val="008A2525"/>
    <w:rsid w:val="008B1F8A"/>
    <w:rsid w:val="00925252"/>
    <w:rsid w:val="00930CF8"/>
    <w:rsid w:val="00940919"/>
    <w:rsid w:val="00956A93"/>
    <w:rsid w:val="009E56FC"/>
    <w:rsid w:val="009E575C"/>
    <w:rsid w:val="00A33EFD"/>
    <w:rsid w:val="00A3444A"/>
    <w:rsid w:val="00A50B52"/>
    <w:rsid w:val="00A81401"/>
    <w:rsid w:val="00AD524D"/>
    <w:rsid w:val="00AF167E"/>
    <w:rsid w:val="00AF566A"/>
    <w:rsid w:val="00B2595C"/>
    <w:rsid w:val="00B478EA"/>
    <w:rsid w:val="00B52E45"/>
    <w:rsid w:val="00B60DB2"/>
    <w:rsid w:val="00B6553A"/>
    <w:rsid w:val="00B762BE"/>
    <w:rsid w:val="00B850FC"/>
    <w:rsid w:val="00B90866"/>
    <w:rsid w:val="00B91426"/>
    <w:rsid w:val="00B924C6"/>
    <w:rsid w:val="00BA550D"/>
    <w:rsid w:val="00BC6576"/>
    <w:rsid w:val="00C72213"/>
    <w:rsid w:val="00CA709A"/>
    <w:rsid w:val="00CD2CF2"/>
    <w:rsid w:val="00CE06BA"/>
    <w:rsid w:val="00CF20C4"/>
    <w:rsid w:val="00CF52B4"/>
    <w:rsid w:val="00D02ADF"/>
    <w:rsid w:val="00D70227"/>
    <w:rsid w:val="00D74D25"/>
    <w:rsid w:val="00D86649"/>
    <w:rsid w:val="00D96247"/>
    <w:rsid w:val="00DE3AD6"/>
    <w:rsid w:val="00E937ED"/>
    <w:rsid w:val="00E95F1C"/>
    <w:rsid w:val="00EC0019"/>
    <w:rsid w:val="00EC3A4E"/>
    <w:rsid w:val="00EC65C3"/>
    <w:rsid w:val="00ED48D2"/>
    <w:rsid w:val="00EE3E83"/>
    <w:rsid w:val="00F11403"/>
    <w:rsid w:val="00F441CC"/>
    <w:rsid w:val="00F51CCE"/>
    <w:rsid w:val="00FA31D0"/>
    <w:rsid w:val="00FB0D70"/>
    <w:rsid w:val="00FC30CF"/>
    <w:rsid w:val="00FF1A95"/>
    <w:rsid w:val="00FF3333"/>
    <w:rsid w:val="01B104CA"/>
    <w:rsid w:val="02106AB0"/>
    <w:rsid w:val="02B43A28"/>
    <w:rsid w:val="046F331E"/>
    <w:rsid w:val="059E36F3"/>
    <w:rsid w:val="062E4217"/>
    <w:rsid w:val="07956271"/>
    <w:rsid w:val="09721397"/>
    <w:rsid w:val="0BB63BED"/>
    <w:rsid w:val="0EB97A43"/>
    <w:rsid w:val="0EBD2122"/>
    <w:rsid w:val="0F214EAE"/>
    <w:rsid w:val="11B71E6A"/>
    <w:rsid w:val="17BD1E38"/>
    <w:rsid w:val="1A1A1078"/>
    <w:rsid w:val="1AAF0063"/>
    <w:rsid w:val="1BE140DE"/>
    <w:rsid w:val="247E54C9"/>
    <w:rsid w:val="248C197D"/>
    <w:rsid w:val="252959AF"/>
    <w:rsid w:val="277A6671"/>
    <w:rsid w:val="292D35B7"/>
    <w:rsid w:val="2DAB6AF5"/>
    <w:rsid w:val="33EB6CFF"/>
    <w:rsid w:val="35A12947"/>
    <w:rsid w:val="37387040"/>
    <w:rsid w:val="3B625C0A"/>
    <w:rsid w:val="3CEE1963"/>
    <w:rsid w:val="3CFB0B2B"/>
    <w:rsid w:val="436B78D3"/>
    <w:rsid w:val="471468C5"/>
    <w:rsid w:val="475353E4"/>
    <w:rsid w:val="4C9C27FE"/>
    <w:rsid w:val="4E1025B6"/>
    <w:rsid w:val="512260B4"/>
    <w:rsid w:val="52BD6ACB"/>
    <w:rsid w:val="55537534"/>
    <w:rsid w:val="561A74F1"/>
    <w:rsid w:val="597244E8"/>
    <w:rsid w:val="5BEC6455"/>
    <w:rsid w:val="5EB71C30"/>
    <w:rsid w:val="66AF0CE5"/>
    <w:rsid w:val="66B97AD3"/>
    <w:rsid w:val="679007F2"/>
    <w:rsid w:val="6AC537CF"/>
    <w:rsid w:val="6E5B14A6"/>
    <w:rsid w:val="711B255E"/>
    <w:rsid w:val="7BB51E06"/>
    <w:rsid w:val="7C387F7C"/>
    <w:rsid w:val="7F4305B8"/>
    <w:rsid w:val="7FE8342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customStyle="1" w:styleId="6">
    <w:name w:val="插入文本样式-插入部门职责文件"/>
    <w:basedOn w:val="1"/>
    <w:qFormat/>
    <w:uiPriority w:val="0"/>
    <w:pPr>
      <w:widowControl/>
      <w:spacing w:line="500" w:lineRule="exact"/>
      <w:ind w:firstLine="560"/>
      <w:jc w:val="left"/>
    </w:pPr>
    <w:rPr>
      <w:rFonts w:ascii="Times New Roman" w:hAnsi="Times New Roman" w:eastAsia="方正仿宋_GBK" w:cs="Times New Roman"/>
      <w:kern w:val="0"/>
      <w:sz w:val="28"/>
      <w:szCs w:val="24"/>
      <w:lang w:eastAsia="uk-UA"/>
    </w:rPr>
  </w:style>
  <w:style w:type="paragraph" w:customStyle="1" w:styleId="7">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8">
    <w:name w:val="插入文本样式-插入总体目标文件"/>
    <w:basedOn w:val="1"/>
    <w:qFormat/>
    <w:uiPriority w:val="0"/>
    <w:pPr>
      <w:widowControl/>
      <w:spacing w:line="500" w:lineRule="exact"/>
      <w:ind w:firstLine="560"/>
      <w:jc w:val="left"/>
    </w:pPr>
    <w:rPr>
      <w:rFonts w:ascii="Times New Roman" w:hAnsi="Times New Roman" w:eastAsia="方正仿宋_GBK" w:cs="Times New Roman"/>
      <w:kern w:val="0"/>
      <w:sz w:val="28"/>
      <w:szCs w:val="24"/>
      <w:lang w:eastAsia="uk-UA"/>
    </w:rPr>
  </w:style>
  <w:style w:type="paragraph" w:customStyle="1" w:styleId="9">
    <w:name w:val="插入文本样式-插入职责分类绩效目标文件"/>
    <w:basedOn w:val="1"/>
    <w:qFormat/>
    <w:uiPriority w:val="0"/>
    <w:pPr>
      <w:widowControl/>
      <w:spacing w:line="500" w:lineRule="exact"/>
      <w:ind w:firstLine="560"/>
      <w:jc w:val="left"/>
    </w:pPr>
    <w:rPr>
      <w:rFonts w:ascii="Times New Roman" w:hAnsi="Times New Roman" w:eastAsia="方正仿宋_GBK" w:cs="Times New Roman"/>
      <w:kern w:val="0"/>
      <w:sz w:val="28"/>
      <w:szCs w:val="24"/>
      <w:lang w:eastAsia="uk-UA"/>
    </w:rPr>
  </w:style>
  <w:style w:type="paragraph" w:customStyle="1" w:styleId="10">
    <w:name w:val="插入文本样式-插入实现年度发展规划目标的保障措施文件"/>
    <w:basedOn w:val="1"/>
    <w:qFormat/>
    <w:uiPriority w:val="0"/>
    <w:pPr>
      <w:widowControl/>
      <w:spacing w:line="500" w:lineRule="exact"/>
      <w:ind w:firstLine="560"/>
      <w:jc w:val="left"/>
    </w:pPr>
    <w:rPr>
      <w:rFonts w:ascii="Times New Roman" w:hAnsi="Times New Roman" w:eastAsia="方正仿宋_GBK" w:cs="Times New Roman"/>
      <w:kern w:val="0"/>
      <w:sz w:val="28"/>
      <w:szCs w:val="24"/>
      <w:lang w:eastAsia="uk-U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3095</Words>
  <Characters>3182</Characters>
  <Lines>30</Lines>
  <Paragraphs>8</Paragraphs>
  <TotalTime>41</TotalTime>
  <ScaleCrop>false</ScaleCrop>
  <LinksUpToDate>false</LinksUpToDate>
  <CharactersWithSpaces>3221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2025-03-14T09:12:00Z</dcterms:created>
  <dc:creator>欣欣大人</dc:creator>
  <cp:lastModifiedBy>Administrator</cp:lastModifiedBy>
  <cp:lastPrinted>2026-04-16T08:13:47Z</cp:lastPrinted>
  <dcterms:modified xsi:type="dcterms:W3CDTF">2026-04-16T08:13:49Z</dcterms:modified>
  <dc:title>附件3：</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96934721B1514D3FBAA28020338CE855_12</vt:lpwstr>
  </property>
</Properties>
</file>