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040D3">
      <w:pPr>
        <w:keepNext w:val="0"/>
        <w:keepLines w:val="0"/>
        <w:pageBreakBefore w:val="0"/>
        <w:kinsoku/>
        <w:wordWrap/>
        <w:overflowPunct/>
        <w:topLinePunct w:val="0"/>
        <w:autoSpaceDE/>
        <w:autoSpaceDN/>
        <w:bidi w:val="0"/>
        <w:adjustRightInd w:val="0"/>
        <w:snapToGrid w:val="0"/>
        <w:spacing w:line="240" w:lineRule="auto"/>
        <w:ind w:firstLine="640" w:firstLineChars="200"/>
        <w:textAlignment w:val="auto"/>
        <w:rPr>
          <w:rFonts w:ascii="仿宋_GB2312" w:eastAsia="仿宋_GB2312"/>
          <w:sz w:val="32"/>
          <w:szCs w:val="32"/>
        </w:rPr>
      </w:pPr>
      <w:r>
        <w:rPr>
          <w:rFonts w:hint="eastAsia" w:ascii="仿宋_GB2312" w:eastAsia="仿宋_GB2312"/>
          <w:sz w:val="32"/>
          <w:szCs w:val="32"/>
        </w:rPr>
        <w:t>附件4</w:t>
      </w:r>
    </w:p>
    <w:p w14:paraId="7AB5BDEE">
      <w:pPr>
        <w:keepNext w:val="0"/>
        <w:keepLines w:val="0"/>
        <w:pageBreakBefore w:val="0"/>
        <w:kinsoku/>
        <w:wordWrap/>
        <w:overflowPunct/>
        <w:topLinePunct w:val="0"/>
        <w:autoSpaceDE/>
        <w:autoSpaceDN/>
        <w:bidi w:val="0"/>
        <w:spacing w:line="240" w:lineRule="auto"/>
        <w:ind w:firstLine="883" w:firstLineChars="200"/>
        <w:jc w:val="both"/>
        <w:textAlignment w:val="auto"/>
        <w:rPr>
          <w:rFonts w:ascii="宋体" w:hAnsi="宋体" w:cs="宋体"/>
          <w:b/>
          <w:bCs/>
          <w:sz w:val="44"/>
          <w:szCs w:val="44"/>
        </w:rPr>
      </w:pPr>
    </w:p>
    <w:p w14:paraId="532E628C">
      <w:pPr>
        <w:keepNext w:val="0"/>
        <w:keepLines w:val="0"/>
        <w:pageBreakBefore w:val="0"/>
        <w:widowControl/>
        <w:kinsoku/>
        <w:wordWrap/>
        <w:overflowPunct/>
        <w:topLinePunct w:val="0"/>
        <w:autoSpaceDE/>
        <w:autoSpaceDN/>
        <w:bidi w:val="0"/>
        <w:spacing w:line="240" w:lineRule="auto"/>
        <w:ind w:firstLine="880" w:firstLineChars="200"/>
        <w:jc w:val="center"/>
        <w:textAlignment w:val="auto"/>
        <w:rPr>
          <w:rFonts w:hint="eastAsia" w:ascii="方正小标宋简体" w:hAnsi="方正小标宋简体" w:eastAsia="方正小标宋简体" w:cs="方正小标宋简体"/>
          <w:kern w:val="0"/>
          <w:sz w:val="44"/>
          <w:szCs w:val="22"/>
          <w:lang w:eastAsia="zh-CN"/>
        </w:rPr>
      </w:pPr>
      <w:r>
        <w:rPr>
          <w:rFonts w:hint="eastAsia" w:ascii="方正小标宋简体" w:hAnsi="方正小标宋简体" w:eastAsia="方正小标宋简体" w:cs="方正小标宋简体"/>
          <w:kern w:val="0"/>
          <w:sz w:val="44"/>
          <w:szCs w:val="22"/>
          <w:lang w:eastAsia="zh-CN"/>
        </w:rPr>
        <w:t>石家庄市纪委监委</w:t>
      </w:r>
    </w:p>
    <w:p w14:paraId="053B4BEE">
      <w:pPr>
        <w:keepNext w:val="0"/>
        <w:keepLines w:val="0"/>
        <w:pageBreakBefore w:val="0"/>
        <w:widowControl/>
        <w:kinsoku/>
        <w:wordWrap/>
        <w:overflowPunct/>
        <w:topLinePunct w:val="0"/>
        <w:autoSpaceDE/>
        <w:autoSpaceDN/>
        <w:bidi w:val="0"/>
        <w:spacing w:line="240" w:lineRule="auto"/>
        <w:ind w:firstLine="880" w:firstLineChars="200"/>
        <w:jc w:val="center"/>
        <w:textAlignment w:val="auto"/>
        <w:rPr>
          <w:rFonts w:hint="eastAsia" w:ascii="方正小标宋简体" w:hAnsi="方正小标宋简体" w:eastAsia="方正小标宋简体" w:cs="方正小标宋简体"/>
          <w:kern w:val="0"/>
          <w:sz w:val="44"/>
          <w:szCs w:val="22"/>
          <w:lang w:eastAsia="en-US"/>
        </w:rPr>
      </w:pPr>
      <w:r>
        <w:rPr>
          <w:rFonts w:hint="eastAsia" w:ascii="方正小标宋简体" w:hAnsi="方正小标宋简体" w:eastAsia="方正小标宋简体" w:cs="方正小标宋简体"/>
          <w:kern w:val="0"/>
          <w:sz w:val="44"/>
          <w:szCs w:val="22"/>
          <w:lang w:val="en-US" w:eastAsia="zh-CN"/>
        </w:rPr>
        <w:t>2023</w:t>
      </w:r>
      <w:r>
        <w:rPr>
          <w:rFonts w:hint="eastAsia" w:ascii="方正小标宋简体" w:hAnsi="方正小标宋简体" w:eastAsia="方正小标宋简体" w:cs="方正小标宋简体"/>
          <w:kern w:val="0"/>
          <w:sz w:val="44"/>
          <w:szCs w:val="22"/>
          <w:lang w:eastAsia="en-US"/>
        </w:rPr>
        <w:t>年度整体支出绩效自评报告</w:t>
      </w:r>
    </w:p>
    <w:p w14:paraId="152BA6E2">
      <w:pPr>
        <w:keepNext w:val="0"/>
        <w:keepLines w:val="0"/>
        <w:pageBreakBefore w:val="0"/>
        <w:widowControl/>
        <w:kinsoku/>
        <w:wordWrap/>
        <w:overflowPunct/>
        <w:topLinePunct w:val="0"/>
        <w:autoSpaceDE/>
        <w:autoSpaceDN/>
        <w:bidi w:val="0"/>
        <w:spacing w:before="249" w:after="0" w:line="240" w:lineRule="auto"/>
        <w:ind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为</w:t>
      </w:r>
      <w:r>
        <w:rPr>
          <w:rFonts w:hint="eastAsia" w:ascii="仿宋" w:hAnsi="仿宋" w:eastAsia="仿宋" w:cs="仿宋"/>
          <w:color w:val="000000"/>
          <w:spacing w:val="4"/>
          <w:kern w:val="0"/>
          <w:sz w:val="32"/>
          <w:szCs w:val="32"/>
          <w:lang w:eastAsia="en-US"/>
        </w:rPr>
        <w:t>贯彻落实市委市政府《关于全面落实预算绩效管理的实施意见》（石发﹝2019﹞8号）文件精神，遵循“科学性、规范性、客观性和公正性”的原则，对</w:t>
      </w:r>
      <w:r>
        <w:rPr>
          <w:rFonts w:hint="eastAsia" w:ascii="仿宋" w:hAnsi="仿宋" w:eastAsia="仿宋" w:cs="仿宋"/>
          <w:color w:val="000000"/>
          <w:spacing w:val="4"/>
          <w:kern w:val="0"/>
          <w:sz w:val="32"/>
          <w:szCs w:val="32"/>
          <w:lang w:eastAsia="zh-CN"/>
        </w:rPr>
        <w:t>石家庄市纪委监委</w:t>
      </w:r>
      <w:r>
        <w:rPr>
          <w:rFonts w:hint="eastAsia" w:ascii="仿宋" w:hAnsi="仿宋" w:eastAsia="仿宋" w:cs="仿宋"/>
          <w:color w:val="000000"/>
          <w:spacing w:val="4"/>
          <w:kern w:val="0"/>
          <w:sz w:val="32"/>
          <w:szCs w:val="32"/>
          <w:lang w:eastAsia="en-US"/>
        </w:rPr>
        <w:t>202</w:t>
      </w:r>
      <w:r>
        <w:rPr>
          <w:rFonts w:hint="eastAsia" w:ascii="仿宋" w:hAnsi="仿宋" w:eastAsia="仿宋" w:cs="仿宋"/>
          <w:color w:val="000000"/>
          <w:spacing w:val="4"/>
          <w:kern w:val="0"/>
          <w:sz w:val="32"/>
          <w:szCs w:val="32"/>
          <w:lang w:val="en-US" w:eastAsia="zh-CN"/>
        </w:rPr>
        <w:t>3</w:t>
      </w:r>
      <w:r>
        <w:rPr>
          <w:rFonts w:hint="eastAsia" w:ascii="仿宋" w:hAnsi="仿宋" w:eastAsia="仿宋" w:cs="仿宋"/>
          <w:color w:val="000000"/>
          <w:spacing w:val="4"/>
          <w:kern w:val="0"/>
          <w:sz w:val="32"/>
          <w:szCs w:val="32"/>
          <w:lang w:eastAsia="en-US"/>
        </w:rPr>
        <w:t>年整体支出情况实施了财政支出绩效自评价，形成本评价报告。</w:t>
      </w:r>
    </w:p>
    <w:p w14:paraId="72327F35">
      <w:pPr>
        <w:keepNext w:val="0"/>
        <w:keepLines w:val="0"/>
        <w:pageBreakBefore w:val="0"/>
        <w:widowControl/>
        <w:kinsoku/>
        <w:wordWrap/>
        <w:overflowPunct/>
        <w:topLinePunct w:val="0"/>
        <w:autoSpaceDE/>
        <w:autoSpaceDN/>
        <w:bidi w:val="0"/>
        <w:spacing w:before="249" w:after="0" w:line="240" w:lineRule="auto"/>
        <w:ind w:right="0" w:firstLine="739" w:firstLineChars="200"/>
        <w:jc w:val="left"/>
        <w:textAlignment w:val="auto"/>
        <w:rPr>
          <w:rFonts w:ascii="WWWULM+FangSong_GB2312" w:hAnsi="WWWULM+FangSong_GB2312" w:cs="WWWULM+FangSong_GB2312" w:eastAsiaTheme="minorEastAsia"/>
          <w:b/>
          <w:bCs/>
          <w:color w:val="000000"/>
          <w:spacing w:val="4"/>
          <w:kern w:val="0"/>
          <w:sz w:val="36"/>
          <w:lang w:eastAsia="en-US"/>
        </w:rPr>
      </w:pPr>
      <w:r>
        <w:rPr>
          <w:rFonts w:hint="eastAsia" w:ascii="WWWULM+FangSong_GB2312" w:hAnsi="WWWULM+FangSong_GB2312" w:cs="WWWULM+FangSong_GB2312" w:eastAsiaTheme="minorEastAsia"/>
          <w:b/>
          <w:bCs/>
          <w:color w:val="000000"/>
          <w:spacing w:val="4"/>
          <w:kern w:val="0"/>
          <w:sz w:val="36"/>
          <w:lang w:eastAsia="en-US"/>
        </w:rPr>
        <w:t>一、部门基本情况</w:t>
      </w:r>
    </w:p>
    <w:p w14:paraId="7806F4D9">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en-US"/>
        </w:rPr>
        <w:t>（一）</w:t>
      </w:r>
      <w:r>
        <w:rPr>
          <w:rFonts w:hint="eastAsia" w:ascii="仿宋" w:hAnsi="仿宋" w:eastAsia="仿宋" w:cs="仿宋"/>
          <w:color w:val="000000"/>
          <w:spacing w:val="4"/>
          <w:kern w:val="0"/>
          <w:sz w:val="32"/>
          <w:szCs w:val="32"/>
          <w:lang w:eastAsia="zh-CN"/>
        </w:rPr>
        <w:t>部门概述</w:t>
      </w:r>
    </w:p>
    <w:p w14:paraId="0B24B65A">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中国共产党</w:t>
      </w:r>
      <w:r>
        <w:rPr>
          <w:rFonts w:hint="eastAsia" w:ascii="仿宋" w:hAnsi="仿宋" w:eastAsia="仿宋" w:cs="仿宋"/>
          <w:color w:val="000000"/>
          <w:spacing w:val="4"/>
          <w:kern w:val="0"/>
          <w:sz w:val="32"/>
          <w:szCs w:val="32"/>
          <w:lang w:eastAsia="zh-CN"/>
        </w:rPr>
        <w:t>石家庄市纪律检查委员会石家庄市监察委员会</w:t>
      </w:r>
      <w:r>
        <w:rPr>
          <w:rFonts w:hint="eastAsia" w:ascii="仿宋" w:hAnsi="仿宋" w:eastAsia="仿宋" w:cs="仿宋"/>
          <w:color w:val="000000"/>
          <w:spacing w:val="4"/>
          <w:kern w:val="0"/>
          <w:sz w:val="32"/>
          <w:szCs w:val="32"/>
          <w:lang w:eastAsia="en-US"/>
        </w:rPr>
        <w:t>的主要职责是：</w:t>
      </w:r>
    </w:p>
    <w:p w14:paraId="4DE12C92">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1.</w:t>
      </w:r>
      <w:r>
        <w:rPr>
          <w:rFonts w:hint="eastAsia" w:ascii="仿宋" w:hAnsi="仿宋" w:eastAsia="仿宋" w:cs="仿宋"/>
          <w:color w:val="000000"/>
          <w:spacing w:val="4"/>
          <w:kern w:val="0"/>
          <w:sz w:val="32"/>
          <w:szCs w:val="32"/>
          <w:lang w:eastAsia="en-US"/>
        </w:rPr>
        <w:t>负责全市党的纪律检查工作。</w:t>
      </w:r>
    </w:p>
    <w:p w14:paraId="5350405C">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2.</w:t>
      </w:r>
      <w:r>
        <w:rPr>
          <w:rFonts w:hint="eastAsia" w:ascii="仿宋" w:hAnsi="仿宋" w:eastAsia="仿宋" w:cs="仿宋"/>
          <w:color w:val="000000"/>
          <w:spacing w:val="4"/>
          <w:kern w:val="0"/>
          <w:sz w:val="32"/>
          <w:szCs w:val="32"/>
          <w:lang w:eastAsia="en-US"/>
        </w:rPr>
        <w:t>依照党的章程和其他党内法规履行监督、执纪、问责职责。</w:t>
      </w:r>
    </w:p>
    <w:p w14:paraId="2531609D">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3.</w:t>
      </w:r>
      <w:r>
        <w:rPr>
          <w:rFonts w:hint="eastAsia" w:ascii="仿宋" w:hAnsi="仿宋" w:eastAsia="仿宋" w:cs="仿宋"/>
          <w:color w:val="000000"/>
          <w:spacing w:val="4"/>
          <w:kern w:val="0"/>
          <w:sz w:val="32"/>
          <w:szCs w:val="32"/>
          <w:lang w:eastAsia="en-US"/>
        </w:rPr>
        <w:t>支持配合巡视、巡察工作。</w:t>
      </w:r>
    </w:p>
    <w:p w14:paraId="3A820CB4">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4.</w:t>
      </w:r>
      <w:r>
        <w:rPr>
          <w:rFonts w:hint="eastAsia" w:ascii="仿宋" w:hAnsi="仿宋" w:eastAsia="仿宋" w:cs="仿宋"/>
          <w:color w:val="000000"/>
          <w:spacing w:val="4"/>
          <w:kern w:val="0"/>
          <w:sz w:val="32"/>
          <w:szCs w:val="32"/>
          <w:lang w:eastAsia="en-US"/>
        </w:rPr>
        <w:t>负责全市监察工作。</w:t>
      </w:r>
    </w:p>
    <w:p w14:paraId="267C732C">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5.</w:t>
      </w:r>
      <w:r>
        <w:rPr>
          <w:rFonts w:hint="eastAsia" w:ascii="仿宋" w:hAnsi="仿宋" w:eastAsia="仿宋" w:cs="仿宋"/>
          <w:color w:val="000000"/>
          <w:spacing w:val="4"/>
          <w:kern w:val="0"/>
          <w:sz w:val="32"/>
          <w:szCs w:val="32"/>
          <w:lang w:eastAsia="en-US"/>
        </w:rPr>
        <w:t>依照法律规定履行监督、调查、处置职责。</w:t>
      </w:r>
    </w:p>
    <w:p w14:paraId="5F182EF0">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6.</w:t>
      </w:r>
      <w:r>
        <w:rPr>
          <w:rFonts w:hint="eastAsia" w:ascii="仿宋" w:hAnsi="仿宋" w:eastAsia="仿宋" w:cs="仿宋"/>
          <w:color w:val="000000"/>
          <w:spacing w:val="4"/>
          <w:kern w:val="0"/>
          <w:sz w:val="32"/>
          <w:szCs w:val="32"/>
          <w:lang w:eastAsia="en-US"/>
        </w:rPr>
        <w:t>负责组织协调全面从严治党、党风廉政建设和反腐败宣传教育工作。</w:t>
      </w:r>
    </w:p>
    <w:p w14:paraId="462751F3">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7.</w:t>
      </w:r>
      <w:r>
        <w:rPr>
          <w:rFonts w:hint="eastAsia" w:ascii="仿宋" w:hAnsi="仿宋" w:eastAsia="仿宋" w:cs="仿宋"/>
          <w:color w:val="000000"/>
          <w:spacing w:val="4"/>
          <w:kern w:val="0"/>
          <w:sz w:val="32"/>
          <w:szCs w:val="32"/>
          <w:lang w:eastAsia="en-US"/>
        </w:rPr>
        <w:t>负责综合分析全面从严治党、党风廉政建设和反腐败工作情况，对纪检监察工作重要理论及实践问题进行调查研究；制定或者修改全市纪检监察法规制度，参与起草有关法律、法规和规范性文件。</w:t>
      </w:r>
    </w:p>
    <w:p w14:paraId="217DEF5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8.</w:t>
      </w:r>
      <w:r>
        <w:rPr>
          <w:rFonts w:hint="eastAsia" w:ascii="仿宋" w:hAnsi="仿宋" w:eastAsia="仿宋" w:cs="仿宋"/>
          <w:color w:val="000000"/>
          <w:spacing w:val="4"/>
          <w:kern w:val="0"/>
          <w:sz w:val="32"/>
          <w:szCs w:val="32"/>
          <w:lang w:eastAsia="en-US"/>
        </w:rPr>
        <w:t>负责组织协调全市反腐败追逃追赃和防逃工作，督促有关单位做好相关工作。</w:t>
      </w:r>
    </w:p>
    <w:p w14:paraId="55D92197">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zh-CN"/>
        </w:rPr>
        <w:t>9.</w:t>
      </w:r>
      <w:r>
        <w:rPr>
          <w:rFonts w:hint="eastAsia" w:ascii="仿宋" w:hAnsi="仿宋" w:eastAsia="仿宋" w:cs="仿宋"/>
          <w:color w:val="000000"/>
          <w:spacing w:val="4"/>
          <w:kern w:val="0"/>
          <w:sz w:val="32"/>
          <w:szCs w:val="32"/>
          <w:lang w:eastAsia="en-US"/>
        </w:rPr>
        <w:t>根据干部管理权限，负责全市纪检监察系统领导班子建设、干部队伍建设和组织建设的综合规划、政策研究、制度建设和业务指导。</w:t>
      </w:r>
    </w:p>
    <w:p w14:paraId="6C086459">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val="en-US" w:eastAsia="zh-CN"/>
        </w:rPr>
        <w:t>10.</w:t>
      </w:r>
      <w:r>
        <w:rPr>
          <w:rFonts w:hint="eastAsia" w:ascii="仿宋" w:hAnsi="仿宋" w:eastAsia="仿宋" w:cs="仿宋"/>
          <w:color w:val="000000"/>
          <w:spacing w:val="4"/>
          <w:kern w:val="0"/>
          <w:sz w:val="32"/>
          <w:szCs w:val="32"/>
          <w:lang w:eastAsia="en-US"/>
        </w:rPr>
        <w:t>完成省纪委监委、市委交办的其他任务</w:t>
      </w:r>
      <w:r>
        <w:rPr>
          <w:rFonts w:hint="eastAsia" w:ascii="仿宋" w:hAnsi="仿宋" w:eastAsia="仿宋" w:cs="仿宋"/>
          <w:color w:val="000000"/>
          <w:spacing w:val="4"/>
          <w:kern w:val="0"/>
          <w:sz w:val="32"/>
          <w:szCs w:val="32"/>
          <w:lang w:eastAsia="zh-CN"/>
        </w:rPr>
        <w:t>。</w:t>
      </w:r>
    </w:p>
    <w:p w14:paraId="3B9EAC9F">
      <w:pPr>
        <w:pStyle w:val="2"/>
        <w:keepNext w:val="0"/>
        <w:keepLines w:val="0"/>
        <w:pageBreakBefore w:val="0"/>
        <w:kinsoku/>
        <w:wordWrap/>
        <w:overflowPunct/>
        <w:topLinePunct w:val="0"/>
        <w:autoSpaceDE/>
        <w:autoSpaceDN/>
        <w:bidi w:val="0"/>
        <w:spacing w:line="240" w:lineRule="auto"/>
        <w:ind w:firstLine="656" w:firstLineChars="200"/>
        <w:textAlignment w:val="auto"/>
        <w:rPr>
          <w:rFonts w:hint="eastAsia" w:ascii="仿宋" w:hAnsi="仿宋" w:eastAsia="仿宋" w:cs="仿宋"/>
          <w:b w:val="0"/>
          <w:color w:val="000000"/>
          <w:spacing w:val="4"/>
          <w:kern w:val="0"/>
          <w:sz w:val="32"/>
          <w:szCs w:val="32"/>
          <w:lang w:val="en-US" w:eastAsia="en-US" w:bidi="ar-SA"/>
        </w:rPr>
      </w:pPr>
      <w:r>
        <w:rPr>
          <w:rFonts w:hint="eastAsia" w:ascii="仿宋" w:hAnsi="仿宋" w:eastAsia="仿宋" w:cs="仿宋"/>
          <w:b w:val="0"/>
          <w:color w:val="000000"/>
          <w:spacing w:val="4"/>
          <w:kern w:val="0"/>
          <w:sz w:val="32"/>
          <w:szCs w:val="32"/>
          <w:lang w:val="en-US" w:eastAsia="zh-CN" w:bidi="ar-SA"/>
        </w:rPr>
        <w:t>（二）人员组成</w:t>
      </w:r>
    </w:p>
    <w:p w14:paraId="526D530D">
      <w:pPr>
        <w:pStyle w:val="2"/>
        <w:keepNext w:val="0"/>
        <w:keepLines w:val="0"/>
        <w:pageBreakBefore w:val="0"/>
        <w:kinsoku/>
        <w:wordWrap/>
        <w:overflowPunct/>
        <w:topLinePunct w:val="0"/>
        <w:autoSpaceDE/>
        <w:autoSpaceDN/>
        <w:bidi w:val="0"/>
        <w:spacing w:line="240" w:lineRule="auto"/>
        <w:ind w:firstLine="656" w:firstLineChars="200"/>
        <w:textAlignment w:val="auto"/>
        <w:rPr>
          <w:rFonts w:hint="eastAsia" w:ascii="仿宋" w:hAnsi="仿宋" w:eastAsia="仿宋" w:cs="仿宋"/>
          <w:b w:val="0"/>
          <w:color w:val="000000"/>
          <w:spacing w:val="4"/>
          <w:kern w:val="0"/>
          <w:sz w:val="32"/>
          <w:szCs w:val="32"/>
          <w:lang w:val="en-US" w:eastAsia="en-US" w:bidi="ar-SA"/>
        </w:rPr>
      </w:pPr>
      <w:r>
        <w:rPr>
          <w:rFonts w:hint="eastAsia" w:ascii="仿宋" w:hAnsi="仿宋" w:eastAsia="仿宋" w:cs="仿宋"/>
          <w:b w:val="0"/>
          <w:color w:val="000000"/>
          <w:spacing w:val="4"/>
          <w:kern w:val="0"/>
          <w:sz w:val="32"/>
          <w:szCs w:val="32"/>
          <w:lang w:val="en-US" w:eastAsia="zh-CN" w:bidi="ar-SA"/>
        </w:rPr>
        <w:t>市纪委监委</w:t>
      </w:r>
      <w:r>
        <w:rPr>
          <w:rFonts w:hint="eastAsia" w:ascii="仿宋" w:hAnsi="仿宋" w:eastAsia="仿宋" w:cs="仿宋"/>
          <w:b w:val="0"/>
          <w:color w:val="000000"/>
          <w:spacing w:val="4"/>
          <w:kern w:val="0"/>
          <w:sz w:val="32"/>
          <w:szCs w:val="32"/>
          <w:lang w:val="en-US" w:eastAsia="en-US" w:bidi="ar-SA"/>
        </w:rPr>
        <w:t>是财政拨款的行政单位，</w:t>
      </w:r>
      <w:r>
        <w:rPr>
          <w:rFonts w:hint="eastAsia" w:ascii="仿宋" w:hAnsi="仿宋" w:eastAsia="仿宋" w:cs="仿宋"/>
          <w:b w:val="0"/>
          <w:color w:val="000000"/>
          <w:spacing w:val="4"/>
          <w:kern w:val="0"/>
          <w:sz w:val="32"/>
          <w:szCs w:val="32"/>
          <w:lang w:val="en-US" w:eastAsia="zh-CN" w:bidi="ar-SA"/>
        </w:rPr>
        <w:t>市纪委监委2023</w:t>
      </w:r>
      <w:r>
        <w:rPr>
          <w:rFonts w:hint="eastAsia" w:ascii="仿宋" w:hAnsi="仿宋" w:eastAsia="仿宋" w:cs="仿宋"/>
          <w:b w:val="0"/>
          <w:color w:val="000000"/>
          <w:spacing w:val="4"/>
          <w:kern w:val="0"/>
          <w:sz w:val="32"/>
          <w:szCs w:val="32"/>
          <w:lang w:val="en-US" w:eastAsia="en-US" w:bidi="ar-SA"/>
        </w:rPr>
        <w:t>年年末实有人数</w:t>
      </w:r>
      <w:r>
        <w:rPr>
          <w:rFonts w:hint="eastAsia" w:ascii="仿宋" w:hAnsi="仿宋" w:eastAsia="仿宋" w:cs="仿宋"/>
          <w:b w:val="0"/>
          <w:color w:val="000000"/>
          <w:spacing w:val="4"/>
          <w:kern w:val="0"/>
          <w:sz w:val="32"/>
          <w:szCs w:val="32"/>
          <w:lang w:val="en-US" w:eastAsia="zh-CN" w:bidi="ar-SA"/>
        </w:rPr>
        <w:t>411</w:t>
      </w:r>
      <w:r>
        <w:rPr>
          <w:rFonts w:hint="eastAsia" w:ascii="仿宋" w:hAnsi="仿宋" w:eastAsia="仿宋" w:cs="仿宋"/>
          <w:b w:val="0"/>
          <w:color w:val="000000"/>
          <w:spacing w:val="4"/>
          <w:kern w:val="0"/>
          <w:sz w:val="32"/>
          <w:szCs w:val="32"/>
          <w:lang w:val="en-US" w:eastAsia="en-US" w:bidi="ar-SA"/>
        </w:rPr>
        <w:t>人，其中：行政人员</w:t>
      </w:r>
      <w:r>
        <w:rPr>
          <w:rFonts w:hint="eastAsia" w:ascii="仿宋" w:hAnsi="仿宋" w:eastAsia="仿宋" w:cs="仿宋"/>
          <w:b w:val="0"/>
          <w:color w:val="000000"/>
          <w:spacing w:val="4"/>
          <w:kern w:val="0"/>
          <w:sz w:val="32"/>
          <w:szCs w:val="32"/>
          <w:lang w:val="en-US" w:eastAsia="zh-CN" w:bidi="ar-SA"/>
        </w:rPr>
        <w:t>400</w:t>
      </w:r>
      <w:r>
        <w:rPr>
          <w:rFonts w:hint="eastAsia" w:ascii="仿宋" w:hAnsi="仿宋" w:eastAsia="仿宋" w:cs="仿宋"/>
          <w:b w:val="0"/>
          <w:color w:val="000000"/>
          <w:spacing w:val="4"/>
          <w:kern w:val="0"/>
          <w:sz w:val="32"/>
          <w:szCs w:val="32"/>
          <w:lang w:val="en-US" w:eastAsia="en-US" w:bidi="ar-SA"/>
        </w:rPr>
        <w:t>人，非参公事业单位人员</w:t>
      </w:r>
      <w:r>
        <w:rPr>
          <w:rFonts w:hint="eastAsia" w:ascii="仿宋" w:hAnsi="仿宋" w:eastAsia="仿宋" w:cs="仿宋"/>
          <w:b w:val="0"/>
          <w:color w:val="000000"/>
          <w:spacing w:val="4"/>
          <w:kern w:val="0"/>
          <w:sz w:val="32"/>
          <w:szCs w:val="32"/>
          <w:lang w:val="en-US" w:eastAsia="zh-CN" w:bidi="ar-SA"/>
        </w:rPr>
        <w:t>11</w:t>
      </w:r>
      <w:r>
        <w:rPr>
          <w:rFonts w:hint="eastAsia" w:ascii="仿宋" w:hAnsi="仿宋" w:eastAsia="仿宋" w:cs="仿宋"/>
          <w:b w:val="0"/>
          <w:color w:val="000000"/>
          <w:spacing w:val="4"/>
          <w:kern w:val="0"/>
          <w:sz w:val="32"/>
          <w:szCs w:val="32"/>
          <w:lang w:val="en-US" w:eastAsia="en-US" w:bidi="ar-SA"/>
        </w:rPr>
        <w:t>人。</w:t>
      </w:r>
    </w:p>
    <w:p w14:paraId="66709867">
      <w:pPr>
        <w:pStyle w:val="2"/>
        <w:keepNext w:val="0"/>
        <w:keepLines w:val="0"/>
        <w:pageBreakBefore w:val="0"/>
        <w:kinsoku/>
        <w:wordWrap/>
        <w:overflowPunct/>
        <w:topLinePunct w:val="0"/>
        <w:autoSpaceDE/>
        <w:autoSpaceDN/>
        <w:bidi w:val="0"/>
        <w:spacing w:line="240" w:lineRule="auto"/>
        <w:ind w:firstLine="656" w:firstLineChars="200"/>
        <w:textAlignment w:val="auto"/>
        <w:rPr>
          <w:rFonts w:hint="eastAsia"/>
          <w:lang w:eastAsia="zh-CN"/>
        </w:rPr>
      </w:pPr>
      <w:r>
        <w:rPr>
          <w:rFonts w:hint="eastAsia" w:ascii="仿宋" w:hAnsi="仿宋" w:eastAsia="仿宋" w:cs="仿宋"/>
          <w:b w:val="0"/>
          <w:color w:val="000000"/>
          <w:spacing w:val="4"/>
          <w:kern w:val="0"/>
          <w:sz w:val="32"/>
          <w:szCs w:val="32"/>
          <w:lang w:val="en-US" w:eastAsia="zh-CN" w:bidi="ar-SA"/>
        </w:rPr>
        <w:t>（三）资产情况</w:t>
      </w:r>
    </w:p>
    <w:p w14:paraId="0038AC28">
      <w:pPr>
        <w:pStyle w:val="2"/>
        <w:keepNext w:val="0"/>
        <w:keepLines w:val="0"/>
        <w:pageBreakBefore w:val="0"/>
        <w:kinsoku/>
        <w:wordWrap/>
        <w:overflowPunct/>
        <w:topLinePunct w:val="0"/>
        <w:autoSpaceDE/>
        <w:autoSpaceDN/>
        <w:bidi w:val="0"/>
        <w:spacing w:line="240" w:lineRule="auto"/>
        <w:textAlignment w:val="auto"/>
        <w:rPr>
          <w:rFonts w:hint="eastAsia"/>
          <w:lang w:eastAsia="en-US"/>
        </w:rPr>
      </w:pPr>
    </w:p>
    <w:p w14:paraId="65FCA4A4">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val="en-US" w:eastAsia="zh-CN"/>
        </w:rPr>
        <w:t>我部门资产管理</w:t>
      </w:r>
      <w:r>
        <w:rPr>
          <w:rFonts w:hint="eastAsia" w:ascii="仿宋" w:hAnsi="仿宋" w:eastAsia="仿宋" w:cs="仿宋"/>
          <w:color w:val="000000"/>
          <w:spacing w:val="4"/>
          <w:kern w:val="0"/>
          <w:sz w:val="32"/>
          <w:szCs w:val="32"/>
          <w:lang w:eastAsia="zh-CN"/>
        </w:rPr>
        <w:t>依照政府采购目录进行政府采购，加强固定资产登记、使用和报废处置管理，做到支出合理，物尽其用。</w:t>
      </w:r>
    </w:p>
    <w:p w14:paraId="3A5AD0B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_GB2312" w:hAnsi="仿宋" w:eastAsia="仿宋_GB2312"/>
          <w:sz w:val="32"/>
          <w:szCs w:val="32"/>
          <w:highlight w:val="none"/>
          <w:shd w:val="clear" w:color="auto" w:fill="auto"/>
          <w:lang w:val="en-US" w:eastAsia="zh-CN"/>
        </w:rPr>
      </w:pPr>
      <w:r>
        <w:rPr>
          <w:rFonts w:hint="eastAsia" w:ascii="仿宋" w:hAnsi="仿宋" w:eastAsia="仿宋" w:cs="仿宋"/>
          <w:color w:val="000000"/>
          <w:spacing w:val="4"/>
          <w:kern w:val="0"/>
          <w:sz w:val="32"/>
          <w:szCs w:val="32"/>
          <w:lang w:eastAsia="en-US"/>
        </w:rPr>
        <w:t>“房屋”价值</w:t>
      </w:r>
      <w:r>
        <w:rPr>
          <w:rFonts w:hint="eastAsia" w:ascii="仿宋" w:hAnsi="仿宋" w:eastAsia="仿宋" w:cs="仿宋"/>
          <w:color w:val="000000"/>
          <w:spacing w:val="4"/>
          <w:kern w:val="0"/>
          <w:sz w:val="32"/>
          <w:szCs w:val="32"/>
          <w:lang w:val="en-US" w:eastAsia="zh-CN"/>
        </w:rPr>
        <w:t>13529.55</w:t>
      </w:r>
      <w:r>
        <w:rPr>
          <w:rFonts w:hint="eastAsia" w:ascii="仿宋" w:hAnsi="仿宋" w:eastAsia="仿宋" w:cs="仿宋"/>
          <w:color w:val="000000"/>
          <w:spacing w:val="4"/>
          <w:kern w:val="0"/>
          <w:sz w:val="32"/>
          <w:szCs w:val="32"/>
          <w:lang w:eastAsia="en-US"/>
        </w:rPr>
        <w:t>万元；</w:t>
      </w:r>
      <w:r>
        <w:rPr>
          <w:rFonts w:hint="eastAsia" w:ascii="仿宋" w:hAnsi="仿宋" w:eastAsia="仿宋" w:cs="仿宋"/>
          <w:color w:val="000000"/>
          <w:spacing w:val="4"/>
          <w:kern w:val="0"/>
          <w:sz w:val="32"/>
          <w:szCs w:val="32"/>
          <w:lang w:val="en-US" w:eastAsia="zh-CN"/>
        </w:rPr>
        <w:t>与去年相比，增加2506.97万元，原因2023年按最新的评审报告调整了BA831和BA0115基建项目的入账价值。</w:t>
      </w:r>
      <w:r>
        <w:rPr>
          <w:rFonts w:hint="eastAsia" w:ascii="仿宋" w:hAnsi="仿宋" w:eastAsia="仿宋" w:cs="仿宋"/>
          <w:color w:val="000000"/>
          <w:spacing w:val="4"/>
          <w:kern w:val="0"/>
          <w:sz w:val="32"/>
          <w:szCs w:val="32"/>
          <w:lang w:eastAsia="en-US"/>
        </w:rPr>
        <w:t>“车辆”价值</w:t>
      </w:r>
      <w:r>
        <w:rPr>
          <w:rFonts w:hint="eastAsia" w:ascii="仿宋" w:hAnsi="仿宋" w:eastAsia="仿宋" w:cs="仿宋"/>
          <w:color w:val="000000"/>
          <w:spacing w:val="4"/>
          <w:kern w:val="0"/>
          <w:sz w:val="32"/>
          <w:szCs w:val="32"/>
          <w:lang w:val="en-US" w:eastAsia="zh-CN"/>
        </w:rPr>
        <w:t>728.14</w:t>
      </w:r>
      <w:r>
        <w:rPr>
          <w:rFonts w:hint="eastAsia" w:ascii="仿宋" w:hAnsi="仿宋" w:eastAsia="仿宋" w:cs="仿宋"/>
          <w:color w:val="000000"/>
          <w:spacing w:val="4"/>
          <w:kern w:val="0"/>
          <w:sz w:val="32"/>
          <w:szCs w:val="32"/>
          <w:lang w:eastAsia="en-US"/>
        </w:rPr>
        <w:t>万元</w:t>
      </w:r>
      <w:r>
        <w:rPr>
          <w:rFonts w:hint="eastAsia" w:ascii="仿宋" w:hAnsi="仿宋" w:eastAsia="仿宋" w:cs="仿宋"/>
          <w:color w:val="000000"/>
          <w:spacing w:val="4"/>
          <w:kern w:val="0"/>
          <w:sz w:val="32"/>
          <w:szCs w:val="32"/>
          <w:lang w:eastAsia="zh-CN"/>
        </w:rPr>
        <w:t>，</w:t>
      </w:r>
      <w:r>
        <w:rPr>
          <w:rFonts w:hint="eastAsia" w:ascii="仿宋" w:hAnsi="仿宋" w:eastAsia="仿宋" w:cs="仿宋"/>
          <w:color w:val="000000"/>
          <w:spacing w:val="4"/>
          <w:kern w:val="0"/>
          <w:sz w:val="32"/>
          <w:szCs w:val="32"/>
          <w:lang w:val="en-US" w:eastAsia="zh-CN"/>
        </w:rPr>
        <w:t>与上一年增加20.5，原因是新购置两辆办案车辆并报废一辆。</w:t>
      </w:r>
    </w:p>
    <w:p w14:paraId="69F4D6BE">
      <w:pPr>
        <w:keepNext w:val="0"/>
        <w:keepLines w:val="0"/>
        <w:pageBreakBefore w:val="0"/>
        <w:widowControl/>
        <w:kinsoku/>
        <w:wordWrap/>
        <w:overflowPunct/>
        <w:topLinePunct w:val="0"/>
        <w:autoSpaceDE/>
        <w:autoSpaceDN/>
        <w:bidi w:val="0"/>
        <w:spacing w:before="249" w:after="0" w:line="240" w:lineRule="auto"/>
        <w:ind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（四）</w:t>
      </w:r>
      <w:r>
        <w:rPr>
          <w:rFonts w:hint="eastAsia" w:ascii="仿宋" w:hAnsi="仿宋" w:eastAsia="仿宋" w:cs="仿宋"/>
          <w:color w:val="000000"/>
          <w:spacing w:val="4"/>
          <w:kern w:val="0"/>
          <w:sz w:val="32"/>
          <w:szCs w:val="32"/>
          <w:lang w:eastAsia="en-US"/>
        </w:rPr>
        <w:t>部门收支预决算情况</w:t>
      </w:r>
    </w:p>
    <w:p w14:paraId="7906075B">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ascii="WWWULM+FangSong_GB2312" w:hAnsi="WWWULM+FangSong_GB2312" w:cs="WWWULM+FangSong_GB2312" w:eastAsiaTheme="minorEastAsia"/>
          <w:color w:val="000000"/>
          <w:spacing w:val="4"/>
          <w:kern w:val="0"/>
          <w:sz w:val="36"/>
          <w:lang w:eastAsia="en-US"/>
        </w:rPr>
      </w:pPr>
      <w:r>
        <w:rPr>
          <w:rFonts w:hint="eastAsia" w:ascii="仿宋" w:hAnsi="仿宋" w:eastAsia="仿宋" w:cs="仿宋"/>
          <w:color w:val="000000"/>
          <w:spacing w:val="4"/>
          <w:kern w:val="0"/>
          <w:sz w:val="32"/>
          <w:szCs w:val="32"/>
          <w:lang w:eastAsia="en-US"/>
        </w:rPr>
        <w:t>根据《石家庄市财政局关于批复20</w:t>
      </w:r>
      <w:r>
        <w:rPr>
          <w:rFonts w:hint="eastAsia" w:ascii="仿宋" w:hAnsi="仿宋" w:eastAsia="仿宋" w:cs="仿宋"/>
          <w:color w:val="000000"/>
          <w:spacing w:val="4"/>
          <w:kern w:val="0"/>
          <w:sz w:val="32"/>
          <w:szCs w:val="32"/>
          <w:lang w:val="en-US" w:eastAsia="zh-CN"/>
        </w:rPr>
        <w:t>23</w:t>
      </w:r>
      <w:r>
        <w:rPr>
          <w:rFonts w:hint="eastAsia" w:ascii="仿宋" w:hAnsi="仿宋" w:eastAsia="仿宋" w:cs="仿宋"/>
          <w:color w:val="000000"/>
          <w:spacing w:val="4"/>
          <w:kern w:val="0"/>
          <w:sz w:val="32"/>
          <w:szCs w:val="32"/>
          <w:lang w:eastAsia="en-US"/>
        </w:rPr>
        <w:t>年市直部门预算的通知》文件，预计发放</w:t>
      </w:r>
      <w:r>
        <w:rPr>
          <w:rFonts w:hint="eastAsia" w:ascii="仿宋" w:hAnsi="仿宋" w:eastAsia="仿宋" w:cs="仿宋"/>
          <w:color w:val="000000"/>
          <w:spacing w:val="4"/>
          <w:kern w:val="0"/>
          <w:sz w:val="32"/>
          <w:szCs w:val="32"/>
          <w:lang w:eastAsia="zh-CN"/>
        </w:rPr>
        <w:t>项目</w:t>
      </w:r>
      <w:r>
        <w:rPr>
          <w:rFonts w:hint="eastAsia" w:ascii="仿宋" w:hAnsi="仿宋" w:eastAsia="仿宋" w:cs="仿宋"/>
          <w:color w:val="000000"/>
          <w:spacing w:val="4"/>
          <w:kern w:val="0"/>
          <w:sz w:val="32"/>
          <w:szCs w:val="32"/>
          <w:lang w:eastAsia="en-US"/>
        </w:rPr>
        <w:t>经费</w:t>
      </w:r>
      <w:r>
        <w:rPr>
          <w:rFonts w:hint="eastAsia" w:ascii="仿宋" w:hAnsi="仿宋" w:eastAsia="仿宋" w:cs="仿宋"/>
          <w:color w:val="000000"/>
          <w:spacing w:val="4"/>
          <w:kern w:val="0"/>
          <w:sz w:val="32"/>
          <w:szCs w:val="32"/>
          <w:lang w:val="en-US" w:eastAsia="zh-CN"/>
        </w:rPr>
        <w:t>5202.98</w:t>
      </w:r>
      <w:r>
        <w:rPr>
          <w:rFonts w:hint="eastAsia" w:ascii="仿宋" w:hAnsi="仿宋" w:eastAsia="仿宋" w:cs="仿宋"/>
          <w:color w:val="000000"/>
          <w:spacing w:val="4"/>
          <w:kern w:val="0"/>
          <w:sz w:val="32"/>
          <w:szCs w:val="32"/>
          <w:lang w:eastAsia="en-US"/>
        </w:rPr>
        <w:t>万元，全部为财政拨款。</w:t>
      </w:r>
    </w:p>
    <w:p w14:paraId="4558FE05">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（五）</w:t>
      </w:r>
      <w:r>
        <w:rPr>
          <w:rFonts w:hint="eastAsia" w:ascii="仿宋" w:hAnsi="仿宋" w:eastAsia="仿宋" w:cs="仿宋"/>
          <w:color w:val="000000"/>
          <w:spacing w:val="4"/>
          <w:kern w:val="0"/>
          <w:sz w:val="32"/>
          <w:szCs w:val="32"/>
          <w:lang w:eastAsia="en-US"/>
        </w:rPr>
        <w:t>部门整体支出绩效目标、指标</w:t>
      </w:r>
    </w:p>
    <w:p w14:paraId="1F7616D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en-US"/>
        </w:rPr>
        <w:t>以习近平新时代中国特色社会主义思想为指导，</w:t>
      </w:r>
      <w:r>
        <w:rPr>
          <w:rFonts w:hint="eastAsia" w:ascii="仿宋" w:hAnsi="仿宋" w:eastAsia="仿宋" w:cs="仿宋"/>
          <w:color w:val="000000"/>
          <w:spacing w:val="4"/>
          <w:kern w:val="0"/>
          <w:sz w:val="32"/>
          <w:szCs w:val="32"/>
          <w:lang w:eastAsia="zh-CN"/>
        </w:rPr>
        <w:t>全面贯彻党的二十大和二十届二中全会精神</w:t>
      </w:r>
      <w:r>
        <w:rPr>
          <w:rFonts w:hint="eastAsia" w:ascii="仿宋" w:hAnsi="仿宋" w:eastAsia="仿宋" w:cs="仿宋"/>
          <w:color w:val="000000"/>
          <w:spacing w:val="4"/>
          <w:kern w:val="0"/>
          <w:sz w:val="32"/>
          <w:szCs w:val="32"/>
          <w:lang w:eastAsia="en-US"/>
        </w:rPr>
        <w:t>，坚持稳中求进工作总基调，以党的政治建设为统领，协助党委全面从严治党，一体推进不敢腐、不能腐、不想腐，巩固反腐败斗争压倒性胜利，实现依规治党和依法治国有机统一，</w:t>
      </w:r>
      <w:r>
        <w:rPr>
          <w:rFonts w:hint="eastAsia" w:ascii="仿宋" w:hAnsi="仿宋" w:eastAsia="仿宋" w:cs="仿宋"/>
          <w:color w:val="000000"/>
          <w:spacing w:val="4"/>
          <w:kern w:val="0"/>
          <w:sz w:val="32"/>
          <w:szCs w:val="32"/>
          <w:lang w:eastAsia="zh-CN"/>
        </w:rPr>
        <w:t>自觉增强“四个意识”、坚定“四个自信”、做到“两个维护”，坚持稳中求进的工作总基调，纵深推进正风肃纪反腐，纵深推进新征程纪检监察工作高质量发展，为加快建设现代化、国际化美丽省会提供坚强保障。</w:t>
      </w:r>
    </w:p>
    <w:p w14:paraId="161A3188">
      <w:pPr>
        <w:keepNext w:val="0"/>
        <w:keepLines w:val="0"/>
        <w:pageBreakBefore w:val="0"/>
        <w:widowControl/>
        <w:kinsoku/>
        <w:wordWrap/>
        <w:overflowPunct/>
        <w:topLinePunct w:val="0"/>
        <w:autoSpaceDE/>
        <w:autoSpaceDN/>
        <w:bidi w:val="0"/>
        <w:spacing w:before="249" w:after="0" w:line="240" w:lineRule="auto"/>
        <w:ind w:left="0" w:right="0" w:firstLine="739" w:firstLineChars="200"/>
        <w:jc w:val="left"/>
        <w:textAlignment w:val="auto"/>
        <w:rPr>
          <w:rFonts w:ascii="WWWULM+FangSong_GB2312" w:hAnsi="WWWULM+FangSong_GB2312" w:cs="WWWULM+FangSong_GB2312" w:eastAsiaTheme="minorEastAsia"/>
          <w:b/>
          <w:bCs/>
          <w:color w:val="000000"/>
          <w:spacing w:val="4"/>
          <w:kern w:val="0"/>
          <w:sz w:val="36"/>
          <w:lang w:eastAsia="en-US"/>
        </w:rPr>
      </w:pPr>
      <w:r>
        <w:rPr>
          <w:rFonts w:hint="eastAsia" w:ascii="WWWULM+FangSong_GB2312" w:hAnsi="WWWULM+FangSong_GB2312" w:cs="WWWULM+FangSong_GB2312" w:eastAsiaTheme="minorEastAsia"/>
          <w:b/>
          <w:bCs/>
          <w:color w:val="000000"/>
          <w:spacing w:val="4"/>
          <w:kern w:val="0"/>
          <w:sz w:val="36"/>
          <w:lang w:eastAsia="en-US"/>
        </w:rPr>
        <w:t>二、自评工作开展情况</w:t>
      </w:r>
    </w:p>
    <w:p w14:paraId="15255B52">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（一）自评的组织工作</w:t>
      </w:r>
    </w:p>
    <w:p w14:paraId="741CD3A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市纪委监委</w:t>
      </w:r>
      <w:r>
        <w:rPr>
          <w:rFonts w:hint="eastAsia" w:ascii="仿宋" w:hAnsi="仿宋" w:eastAsia="仿宋" w:cs="仿宋"/>
          <w:color w:val="000000"/>
          <w:spacing w:val="4"/>
          <w:kern w:val="0"/>
          <w:sz w:val="32"/>
          <w:szCs w:val="32"/>
          <w:lang w:eastAsia="en-US"/>
        </w:rPr>
        <w:t>高度重视绩效自评工作，成立了由</w:t>
      </w:r>
      <w:r>
        <w:rPr>
          <w:rFonts w:hint="eastAsia" w:ascii="仿宋" w:hAnsi="仿宋" w:eastAsia="仿宋" w:cs="仿宋"/>
          <w:color w:val="000000"/>
          <w:spacing w:val="4"/>
          <w:kern w:val="0"/>
          <w:sz w:val="32"/>
          <w:szCs w:val="32"/>
          <w:lang w:eastAsia="zh-CN"/>
        </w:rPr>
        <w:t>市纪委监委</w:t>
      </w:r>
      <w:r>
        <w:rPr>
          <w:rFonts w:hint="eastAsia" w:ascii="仿宋" w:hAnsi="仿宋" w:eastAsia="仿宋" w:cs="仿宋"/>
          <w:color w:val="000000"/>
          <w:spacing w:val="4"/>
          <w:kern w:val="0"/>
          <w:sz w:val="32"/>
          <w:szCs w:val="32"/>
          <w:lang w:eastAsia="en-US"/>
        </w:rPr>
        <w:t>常委、秘书长</w:t>
      </w:r>
      <w:r>
        <w:rPr>
          <w:rFonts w:hint="eastAsia" w:ascii="仿宋" w:hAnsi="仿宋" w:eastAsia="仿宋" w:cs="仿宋"/>
          <w:color w:val="000000"/>
          <w:spacing w:val="4"/>
          <w:kern w:val="0"/>
          <w:sz w:val="32"/>
          <w:szCs w:val="32"/>
          <w:lang w:eastAsia="zh-CN"/>
        </w:rPr>
        <w:t>方伟宇</w:t>
      </w:r>
      <w:r>
        <w:rPr>
          <w:rFonts w:hint="eastAsia" w:ascii="仿宋" w:hAnsi="仿宋" w:eastAsia="仿宋" w:cs="仿宋"/>
          <w:color w:val="000000"/>
          <w:spacing w:val="4"/>
          <w:kern w:val="0"/>
          <w:sz w:val="32"/>
          <w:szCs w:val="32"/>
          <w:lang w:eastAsia="en-US"/>
        </w:rPr>
        <w:t>同志任组长，办公室财务负责人、财会人员参加的绩效评价小组，制定自评工作方案，明确了评价内容、评价程序及时间安排。按照“谁申报项目预算，谁负责绩效自评”的原则，分工做好所属项目绩效资金评价工作。办公室负责统筹协调及督导各</w:t>
      </w:r>
      <w:r>
        <w:rPr>
          <w:rFonts w:hint="eastAsia" w:ascii="仿宋" w:hAnsi="仿宋" w:eastAsia="仿宋" w:cs="仿宋"/>
          <w:color w:val="000000"/>
          <w:spacing w:val="4"/>
          <w:kern w:val="0"/>
          <w:sz w:val="32"/>
          <w:szCs w:val="32"/>
          <w:lang w:eastAsia="zh-CN"/>
        </w:rPr>
        <w:t>内设、派驻（出）机构</w:t>
      </w:r>
      <w:r>
        <w:rPr>
          <w:rFonts w:hint="eastAsia" w:ascii="仿宋" w:hAnsi="仿宋" w:eastAsia="仿宋" w:cs="仿宋"/>
          <w:color w:val="000000"/>
          <w:spacing w:val="4"/>
          <w:kern w:val="0"/>
          <w:sz w:val="32"/>
          <w:szCs w:val="32"/>
          <w:lang w:eastAsia="en-US"/>
        </w:rPr>
        <w:t>完成好项目资金绩效自评工作，整体推进部门绩效自评工作高效开展。</w:t>
      </w:r>
    </w:p>
    <w:p w14:paraId="50525043">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（二）</w:t>
      </w:r>
      <w:r>
        <w:rPr>
          <w:rFonts w:hint="eastAsia" w:ascii="仿宋" w:hAnsi="仿宋" w:eastAsia="仿宋" w:cs="仿宋"/>
          <w:color w:val="000000"/>
          <w:spacing w:val="4"/>
          <w:kern w:val="0"/>
          <w:sz w:val="32"/>
          <w:szCs w:val="32"/>
          <w:lang w:eastAsia="en-US"/>
        </w:rPr>
        <w:t>自评的方法和过程</w:t>
      </w:r>
    </w:p>
    <w:p w14:paraId="7A2C5C28">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召开专题会议，组织评价小组成员认真学习相关文件精神，掌握政策要求，做好准备工作。评价小组采用定性分析与定量分析相结合的方法，从预算管理、预算执行、专项资金使用及产生效益等方面，对20</w:t>
      </w:r>
      <w:r>
        <w:rPr>
          <w:rFonts w:hint="eastAsia" w:ascii="仿宋" w:hAnsi="仿宋" w:eastAsia="仿宋" w:cs="仿宋"/>
          <w:color w:val="000000"/>
          <w:spacing w:val="4"/>
          <w:kern w:val="0"/>
          <w:sz w:val="32"/>
          <w:szCs w:val="32"/>
          <w:lang w:val="en-US" w:eastAsia="zh-CN"/>
        </w:rPr>
        <w:t>23</w:t>
      </w:r>
      <w:r>
        <w:rPr>
          <w:rFonts w:hint="eastAsia" w:ascii="仿宋" w:hAnsi="仿宋" w:eastAsia="仿宋" w:cs="仿宋"/>
          <w:color w:val="000000"/>
          <w:spacing w:val="4"/>
          <w:kern w:val="0"/>
          <w:sz w:val="32"/>
          <w:szCs w:val="32"/>
          <w:lang w:eastAsia="en-US"/>
        </w:rPr>
        <w:t>年年初预算确定的</w:t>
      </w:r>
      <w:r>
        <w:rPr>
          <w:rFonts w:hint="eastAsia" w:ascii="仿宋" w:hAnsi="仿宋" w:eastAsia="仿宋" w:cs="仿宋"/>
          <w:color w:val="000000"/>
          <w:spacing w:val="4"/>
          <w:kern w:val="0"/>
          <w:sz w:val="32"/>
          <w:szCs w:val="32"/>
          <w:lang w:eastAsia="zh-CN"/>
        </w:rPr>
        <w:t>19</w:t>
      </w:r>
      <w:r>
        <w:rPr>
          <w:rFonts w:hint="eastAsia" w:ascii="仿宋" w:hAnsi="仿宋" w:eastAsia="仿宋" w:cs="仿宋"/>
          <w:color w:val="000000"/>
          <w:spacing w:val="4"/>
          <w:kern w:val="0"/>
          <w:sz w:val="32"/>
          <w:szCs w:val="32"/>
          <w:lang w:eastAsia="en-US"/>
        </w:rPr>
        <w:t>个项目进行了综合评价，完成了《石家庄市市级部门预算项目绩效自评表》，并对办案专项经费项目进行重点评价，形成了专项资金绩效评价报告。</w:t>
      </w:r>
    </w:p>
    <w:p w14:paraId="25836D3A">
      <w:pPr>
        <w:keepNext w:val="0"/>
        <w:keepLines w:val="0"/>
        <w:pageBreakBefore w:val="0"/>
        <w:widowControl/>
        <w:kinsoku/>
        <w:wordWrap/>
        <w:overflowPunct/>
        <w:topLinePunct w:val="0"/>
        <w:autoSpaceDE/>
        <w:autoSpaceDN/>
        <w:bidi w:val="0"/>
        <w:spacing w:before="249" w:after="0" w:line="240" w:lineRule="auto"/>
        <w:ind w:left="0" w:right="0" w:firstLine="739" w:firstLineChars="200"/>
        <w:jc w:val="left"/>
        <w:textAlignment w:val="auto"/>
        <w:rPr>
          <w:rFonts w:ascii="WWWULM+FangSong_GB2312" w:hAnsi="WWWULM+FangSong_GB2312" w:cs="WWWULM+FangSong_GB2312" w:eastAsiaTheme="minorEastAsia"/>
          <w:color w:val="000000"/>
          <w:spacing w:val="4"/>
          <w:kern w:val="0"/>
          <w:sz w:val="36"/>
          <w:lang w:eastAsia="en-US"/>
        </w:rPr>
      </w:pPr>
      <w:r>
        <w:rPr>
          <w:rFonts w:hint="eastAsia" w:ascii="WWWULM+FangSong_GB2312" w:hAnsi="WWWULM+FangSong_GB2312" w:cs="WWWULM+FangSong_GB2312" w:eastAsiaTheme="minorEastAsia"/>
          <w:b/>
          <w:bCs/>
          <w:color w:val="000000"/>
          <w:spacing w:val="4"/>
          <w:kern w:val="0"/>
          <w:sz w:val="36"/>
          <w:lang w:eastAsia="en-US"/>
        </w:rPr>
        <w:t>三、部门整体支出绩效目标实现情况及指标分析</w:t>
      </w:r>
    </w:p>
    <w:p w14:paraId="45919001">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（一）</w:t>
      </w:r>
      <w:r>
        <w:rPr>
          <w:rFonts w:hint="eastAsia" w:ascii="仿宋" w:hAnsi="仿宋" w:eastAsia="仿宋" w:cs="仿宋"/>
          <w:color w:val="000000"/>
          <w:spacing w:val="4"/>
          <w:kern w:val="0"/>
          <w:sz w:val="32"/>
          <w:szCs w:val="32"/>
          <w:lang w:eastAsia="en-US"/>
        </w:rPr>
        <w:t>总体绩效目标实现情况</w:t>
      </w:r>
    </w:p>
    <w:p w14:paraId="56EC71A0">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以习近平新时代中国特色社会主义思想为指导，全面贯彻新时代党的组织路线，以党的政治建设为统领，监督检查党内法规政策、国家法律法规、党风廉政建设等执行情况；开展党风政风监督专项检查，查处各类违纪违法问题，加大问责力度，促进</w:t>
      </w:r>
      <w:r>
        <w:rPr>
          <w:rFonts w:hint="eastAsia" w:ascii="仿宋" w:hAnsi="仿宋" w:eastAsia="仿宋" w:cs="仿宋"/>
          <w:color w:val="000000"/>
          <w:spacing w:val="4"/>
          <w:kern w:val="0"/>
          <w:sz w:val="32"/>
          <w:szCs w:val="32"/>
          <w:lang w:eastAsia="zh-CN"/>
        </w:rPr>
        <w:t>全面从严治党责任</w:t>
      </w:r>
      <w:r>
        <w:rPr>
          <w:rFonts w:hint="eastAsia" w:ascii="仿宋" w:hAnsi="仿宋" w:eastAsia="仿宋" w:cs="仿宋"/>
          <w:color w:val="000000"/>
          <w:spacing w:val="4"/>
          <w:kern w:val="0"/>
          <w:sz w:val="32"/>
          <w:szCs w:val="32"/>
          <w:lang w:eastAsia="en-US"/>
        </w:rPr>
        <w:t>有效落实。</w:t>
      </w:r>
    </w:p>
    <w:p w14:paraId="536C4EF2">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val="en-US" w:eastAsia="uk-UA"/>
        </w:rPr>
      </w:pPr>
      <w:r>
        <w:rPr>
          <w:rFonts w:hint="eastAsia" w:ascii="仿宋" w:hAnsi="仿宋" w:eastAsia="仿宋" w:cs="仿宋"/>
          <w:color w:val="000000"/>
          <w:spacing w:val="4"/>
          <w:kern w:val="0"/>
          <w:sz w:val="32"/>
          <w:szCs w:val="32"/>
          <w:lang w:eastAsia="zh-CN"/>
        </w:rPr>
        <w:t>（二）</w:t>
      </w:r>
      <w:r>
        <w:rPr>
          <w:rFonts w:hint="eastAsia" w:ascii="仿宋" w:hAnsi="仿宋" w:eastAsia="仿宋" w:cs="仿宋"/>
          <w:color w:val="000000"/>
          <w:spacing w:val="4"/>
          <w:kern w:val="0"/>
          <w:sz w:val="32"/>
          <w:szCs w:val="32"/>
          <w:lang w:eastAsia="en-US"/>
        </w:rPr>
        <w:t>分项绩效目标实现情况及指标分析</w:t>
      </w:r>
    </w:p>
    <w:p w14:paraId="79EAB29E">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zh-CN" w:bidi="ar-SA"/>
        </w:rPr>
        <w:t>1.</w:t>
      </w:r>
      <w:r>
        <w:rPr>
          <w:rFonts w:hint="eastAsia" w:ascii="仿宋" w:hAnsi="仿宋" w:eastAsia="仿宋" w:cs="仿宋"/>
          <w:color w:val="000000"/>
          <w:sz w:val="32"/>
          <w:szCs w:val="32"/>
          <w:lang w:val="en-US" w:eastAsia="uk-UA" w:bidi="ar-SA"/>
        </w:rPr>
        <w:t>加大监督检查和审查调查工作力度</w:t>
      </w:r>
    </w:p>
    <w:p w14:paraId="28464187">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绩效目标：</w:t>
      </w:r>
    </w:p>
    <w:p w14:paraId="4AFA5A0E">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监督检查党内法规政策、国家法律法规、党风廉政建设等执行情况；开展党风政风监督专项检查，查处各类违纪违法问题，加大问责力度，促进全面从严治党责任有效落实。</w:t>
      </w:r>
    </w:p>
    <w:p w14:paraId="16D49686">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绩效指标：</w:t>
      </w:r>
    </w:p>
    <w:p w14:paraId="54F41463">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紧紧围绕监督基本职责，健全完善“四个常态化并制度化”“调研式监督”“双联双网”等机制，着力构建全覆盖、无盲区的大监督格局。保持惩治腐败高压态势，有力遏制增量，有效清除存量，对重点领域腐败，建立专账，分类管理，优先分办查办。加大中央、省交办问题线索办理力度，确保按时办结。开展案件质量评查，着力解决核查不深入，定性量纪不精准问题。深化运用监督执纪“四种形态”，运用第一、二、三种形态处理人次占处理总人数达90%以上。</w:t>
      </w:r>
    </w:p>
    <w:p w14:paraId="2B81D949">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加强对中央八项规定及</w:t>
      </w:r>
      <w:r>
        <w:rPr>
          <w:rFonts w:hint="eastAsia" w:ascii="仿宋" w:hAnsi="仿宋" w:eastAsia="仿宋" w:cs="仿宋"/>
          <w:color w:val="000000"/>
          <w:sz w:val="32"/>
          <w:szCs w:val="32"/>
          <w:lang w:val="en-US" w:eastAsia="zh-CN" w:bidi="ar-SA"/>
        </w:rPr>
        <w:t>其实</w:t>
      </w:r>
      <w:r>
        <w:rPr>
          <w:rFonts w:hint="eastAsia" w:ascii="仿宋" w:hAnsi="仿宋" w:eastAsia="仿宋" w:cs="仿宋"/>
          <w:color w:val="000000"/>
          <w:sz w:val="32"/>
          <w:szCs w:val="32"/>
          <w:lang w:val="en-US" w:eastAsia="uk-UA" w:bidi="ar-SA"/>
        </w:rPr>
        <w:t>施细则精神执行情况的监督检查，扎实开展纠正“四风”和作风纪律专项整治，坚决整治群众身边腐败问题，让人民群众的获得感幸福感安全感更加充实、更有保障、更可持续。</w:t>
      </w:r>
    </w:p>
    <w:p w14:paraId="162BC8D4">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zh-CN" w:bidi="ar-SA"/>
        </w:rPr>
        <w:t>2.</w:t>
      </w:r>
      <w:r>
        <w:rPr>
          <w:rFonts w:hint="eastAsia" w:ascii="仿宋" w:hAnsi="仿宋" w:eastAsia="仿宋" w:cs="仿宋"/>
          <w:color w:val="000000"/>
          <w:sz w:val="32"/>
          <w:szCs w:val="32"/>
          <w:lang w:val="en-US" w:eastAsia="uk-UA" w:bidi="ar-SA"/>
        </w:rPr>
        <w:t>巡视巡察监督常态化、全覆盖</w:t>
      </w:r>
      <w:bookmarkStart w:id="3" w:name="_GoBack"/>
      <w:bookmarkEnd w:id="3"/>
    </w:p>
    <w:p w14:paraId="2164EC61">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绩效目标：</w:t>
      </w:r>
    </w:p>
    <w:p w14:paraId="76C58670">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做好省委巡视组、市委巡视工作联络组的保障工作，深化市委提级巡察、县级统筹交叉巡察，加强巡察监督与其他监督贯通融合、协作配合，探索工作规律，发现工作问题，提出改进措施，发挥党内监督利剑和联系群众纽带作用。</w:t>
      </w:r>
    </w:p>
    <w:p w14:paraId="5CD1D4AD">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color w:val="000000"/>
          <w:sz w:val="32"/>
          <w:szCs w:val="32"/>
          <w:lang w:val="en-US" w:eastAsia="uk-UA" w:bidi="ar-SA"/>
        </w:rPr>
      </w:pPr>
      <w:r>
        <w:rPr>
          <w:rFonts w:hint="eastAsia" w:ascii="仿宋" w:hAnsi="仿宋" w:eastAsia="仿宋" w:cs="仿宋"/>
          <w:color w:val="000000"/>
          <w:sz w:val="32"/>
          <w:szCs w:val="32"/>
          <w:lang w:val="en-US" w:eastAsia="uk-UA" w:bidi="ar-SA"/>
        </w:rPr>
        <w:t>绩效指标：</w:t>
      </w:r>
    </w:p>
    <w:p w14:paraId="32F8A9F8">
      <w:pPr>
        <w:pStyle w:val="9"/>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32"/>
          <w:szCs w:val="32"/>
          <w:lang w:eastAsia="en-US"/>
        </w:rPr>
      </w:pPr>
      <w:r>
        <w:rPr>
          <w:rFonts w:hint="eastAsia" w:ascii="仿宋" w:hAnsi="仿宋" w:eastAsia="仿宋" w:cs="仿宋"/>
          <w:color w:val="000000"/>
          <w:sz w:val="32"/>
          <w:szCs w:val="32"/>
          <w:lang w:val="en-US" w:eastAsia="uk-UA" w:bidi="ar-SA"/>
        </w:rPr>
        <w:t>严格落实巡察工作五年规划，科学有序推进巡察全覆盖任务，合理安排常规巡察，有针对性地开展专项巡察、“机动式”巡察和“回头看”。进一步强化市县巡察上下联动，市委巡察同步开展提级巡察、统筹交叉巡察，指导好对村（社区）巡察工作，着力破解县级巡察监督难题。巩固“市级巡察机构在上下联动中更好发挥作用”试点工作成果，制定完善相关制度机制，全面提升市县两级巡察工作质效。健全完善常态化包联机制，加强对县（市、区）巡察工作的日常指导督导。定期开展对各县（市、区）巡察工作专项检查，查找突出问题，督促抓好整改。</w:t>
      </w:r>
    </w:p>
    <w:p w14:paraId="1B1F6FA0">
      <w:pPr>
        <w:keepNext w:val="0"/>
        <w:keepLines w:val="0"/>
        <w:pageBreakBefore w:val="0"/>
        <w:widowControl/>
        <w:kinsoku/>
        <w:wordWrap/>
        <w:overflowPunct/>
        <w:topLinePunct w:val="0"/>
        <w:autoSpaceDE/>
        <w:autoSpaceDN/>
        <w:bidi w:val="0"/>
        <w:spacing w:before="249" w:after="0" w:line="240" w:lineRule="auto"/>
        <w:ind w:left="0" w:right="0" w:firstLine="739" w:firstLineChars="200"/>
        <w:jc w:val="left"/>
        <w:textAlignment w:val="auto"/>
        <w:rPr>
          <w:rFonts w:ascii="WWWULM+FangSong_GB2312" w:hAnsi="WWWULM+FangSong_GB2312" w:cs="WWWULM+FangSong_GB2312" w:eastAsiaTheme="minorEastAsia"/>
          <w:b/>
          <w:bCs/>
          <w:color w:val="000000"/>
          <w:spacing w:val="4"/>
          <w:kern w:val="0"/>
          <w:sz w:val="36"/>
          <w:lang w:eastAsia="en-US"/>
        </w:rPr>
      </w:pPr>
      <w:r>
        <w:rPr>
          <w:rFonts w:hint="eastAsia" w:ascii="WWWULM+FangSong_GB2312" w:hAnsi="WWWULM+FangSong_GB2312" w:cs="WWWULM+FangSong_GB2312" w:eastAsiaTheme="minorEastAsia"/>
          <w:b/>
          <w:bCs/>
          <w:color w:val="000000"/>
          <w:spacing w:val="4"/>
          <w:kern w:val="0"/>
          <w:sz w:val="36"/>
          <w:lang w:eastAsia="en-US"/>
        </w:rPr>
        <w:t>四、评价结论和评价等级</w:t>
      </w:r>
    </w:p>
    <w:p w14:paraId="6CDB2859">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部门整体支出综合绩效评价分为 4 个等级：</w:t>
      </w:r>
    </w:p>
    <w:p w14:paraId="13E55FBD">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得分≥85 分为优秀；75≤得分＜85 分为良好；60≤得分＜75分为一般；得分＜60 分为较差。</w:t>
      </w:r>
    </w:p>
    <w:p w14:paraId="26A155D5">
      <w:pPr>
        <w:keepNext w:val="0"/>
        <w:keepLines w:val="0"/>
        <w:pageBreakBefore w:val="0"/>
        <w:kinsoku/>
        <w:wordWrap/>
        <w:overflowPunct/>
        <w:topLinePunct w:val="0"/>
        <w:autoSpaceDE/>
        <w:autoSpaceDN/>
        <w:bidi w:val="0"/>
        <w:spacing w:line="240" w:lineRule="auto"/>
        <w:ind w:firstLine="640" w:firstLineChars="200"/>
        <w:jc w:val="both"/>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 w:hAnsi="仿宋" w:eastAsia="仿宋"/>
          <w:sz w:val="32"/>
          <w:szCs w:val="32"/>
          <w:highlight w:val="none"/>
          <w:shd w:val="clear" w:color="auto" w:fill="auto"/>
          <w:lang w:val="en-US" w:eastAsia="zh-CN"/>
        </w:rPr>
        <w:t>经过整体评价，</w:t>
      </w:r>
      <w:r>
        <w:rPr>
          <w:rFonts w:hint="eastAsia" w:ascii="仿宋_GB2312" w:hAnsi="仿宋_GB2312" w:eastAsia="仿宋_GB2312" w:cs="仿宋_GB2312"/>
          <w:sz w:val="32"/>
          <w:szCs w:val="32"/>
          <w:highlight w:val="none"/>
          <w:shd w:val="clear" w:color="auto" w:fill="auto"/>
          <w:lang w:val="en-US" w:eastAsia="zh-CN"/>
        </w:rPr>
        <w:t>我委</w:t>
      </w:r>
      <w:r>
        <w:rPr>
          <w:rFonts w:hint="eastAsia" w:ascii="仿宋_GB2312" w:hAnsi="仿宋_GB2312" w:eastAsia="仿宋_GB2312" w:cs="仿宋_GB2312"/>
          <w:sz w:val="32"/>
          <w:szCs w:val="32"/>
          <w:highlight w:val="none"/>
          <w:shd w:val="clear" w:color="auto" w:fill="auto"/>
        </w:rPr>
        <w:t>根据20</w:t>
      </w:r>
      <w:r>
        <w:rPr>
          <w:rFonts w:hint="eastAsia" w:ascii="仿宋_GB2312" w:hAnsi="仿宋_GB2312" w:eastAsia="仿宋_GB2312" w:cs="仿宋_GB2312"/>
          <w:sz w:val="32"/>
          <w:szCs w:val="32"/>
          <w:highlight w:val="none"/>
          <w:shd w:val="clear" w:color="auto" w:fill="auto"/>
          <w:lang w:val="en-US" w:eastAsia="zh-CN"/>
        </w:rPr>
        <w:t>23</w:t>
      </w:r>
      <w:r>
        <w:rPr>
          <w:rFonts w:hint="eastAsia" w:ascii="仿宋_GB2312" w:hAnsi="仿宋_GB2312" w:eastAsia="仿宋_GB2312" w:cs="仿宋_GB2312"/>
          <w:sz w:val="32"/>
          <w:szCs w:val="32"/>
          <w:highlight w:val="none"/>
          <w:shd w:val="clear" w:color="auto" w:fill="auto"/>
        </w:rPr>
        <w:t>年工作计划，</w:t>
      </w:r>
      <w:r>
        <w:rPr>
          <w:rFonts w:hint="eastAsia" w:ascii="仿宋_GB2312" w:hAnsi="仿宋_GB2312" w:eastAsia="仿宋_GB2312" w:cs="仿宋_GB2312"/>
          <w:sz w:val="32"/>
          <w:szCs w:val="32"/>
          <w:highlight w:val="none"/>
          <w:shd w:val="clear" w:color="auto" w:fill="auto"/>
          <w:lang w:eastAsia="zh-CN"/>
        </w:rPr>
        <w:t>深入学习贯彻习近平总书记重要讲话精神和习近平总书记关于党的自我革命的重要思想，坚定拥护“两个确立”、坚决做到“两个维护”。以更高的标准、更严的要求打造一支忠诚干净担当的纪检监察铁军。</w:t>
      </w:r>
    </w:p>
    <w:p w14:paraId="772B38FF">
      <w:pPr>
        <w:keepNext w:val="0"/>
        <w:keepLines w:val="0"/>
        <w:pageBreakBefore w:val="0"/>
        <w:kinsoku/>
        <w:wordWrap/>
        <w:overflowPunct/>
        <w:topLinePunct w:val="0"/>
        <w:autoSpaceDE/>
        <w:autoSpaceDN/>
        <w:bidi w:val="0"/>
        <w:spacing w:line="240" w:lineRule="auto"/>
        <w:ind w:firstLine="656" w:firstLineChars="200"/>
        <w:jc w:val="both"/>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经自评，</w:t>
      </w:r>
      <w:r>
        <w:rPr>
          <w:rFonts w:hint="eastAsia" w:ascii="仿宋" w:hAnsi="仿宋" w:eastAsia="仿宋" w:cs="仿宋"/>
          <w:color w:val="000000"/>
          <w:spacing w:val="4"/>
          <w:kern w:val="0"/>
          <w:sz w:val="32"/>
          <w:szCs w:val="32"/>
          <w:lang w:eastAsia="zh-CN"/>
        </w:rPr>
        <w:t>我委</w:t>
      </w:r>
      <w:r>
        <w:rPr>
          <w:rFonts w:hint="eastAsia" w:ascii="仿宋" w:hAnsi="仿宋" w:eastAsia="仿宋" w:cs="仿宋"/>
          <w:color w:val="000000"/>
          <w:spacing w:val="4"/>
          <w:kern w:val="0"/>
          <w:sz w:val="32"/>
          <w:szCs w:val="32"/>
          <w:lang w:val="en-US" w:eastAsia="zh-CN"/>
        </w:rPr>
        <w:t>19</w:t>
      </w:r>
      <w:r>
        <w:rPr>
          <w:rFonts w:hint="eastAsia" w:ascii="仿宋" w:hAnsi="仿宋" w:eastAsia="仿宋" w:cs="仿宋"/>
          <w:color w:val="000000"/>
          <w:spacing w:val="4"/>
          <w:kern w:val="0"/>
          <w:sz w:val="32"/>
          <w:szCs w:val="32"/>
          <w:lang w:eastAsia="en-US"/>
        </w:rPr>
        <w:t>个项目平均得分</w:t>
      </w:r>
      <w:r>
        <w:rPr>
          <w:rFonts w:hint="eastAsia" w:ascii="仿宋" w:hAnsi="仿宋" w:eastAsia="仿宋" w:cs="仿宋"/>
          <w:color w:val="000000"/>
          <w:spacing w:val="4"/>
          <w:kern w:val="0"/>
          <w:sz w:val="32"/>
          <w:szCs w:val="32"/>
          <w:lang w:val="en-US" w:eastAsia="zh-CN"/>
        </w:rPr>
        <w:t>98.2</w:t>
      </w:r>
      <w:r>
        <w:rPr>
          <w:rFonts w:hint="eastAsia" w:ascii="仿宋" w:hAnsi="仿宋" w:eastAsia="仿宋" w:cs="仿宋"/>
          <w:color w:val="000000"/>
          <w:spacing w:val="4"/>
          <w:kern w:val="0"/>
          <w:sz w:val="32"/>
          <w:szCs w:val="32"/>
          <w:lang w:eastAsia="en-US"/>
        </w:rPr>
        <w:t>分，根据部门职责定位和各项工作履职情况进行综合评价，得出综合绩效评价等级为优秀。</w:t>
      </w:r>
    </w:p>
    <w:p w14:paraId="49835E82">
      <w:pPr>
        <w:keepNext w:val="0"/>
        <w:keepLines w:val="0"/>
        <w:pageBreakBefore w:val="0"/>
        <w:widowControl/>
        <w:kinsoku/>
        <w:wordWrap/>
        <w:overflowPunct/>
        <w:topLinePunct w:val="0"/>
        <w:autoSpaceDE/>
        <w:autoSpaceDN/>
        <w:bidi w:val="0"/>
        <w:spacing w:before="249" w:after="0" w:line="240" w:lineRule="auto"/>
        <w:ind w:left="0" w:right="0" w:firstLine="739" w:firstLineChars="200"/>
        <w:jc w:val="left"/>
        <w:textAlignment w:val="auto"/>
        <w:rPr>
          <w:rFonts w:ascii="WWWULM+FangSong_GB2312" w:hAnsi="WWWULM+FangSong_GB2312" w:cs="WWWULM+FangSong_GB2312" w:eastAsiaTheme="minorEastAsia"/>
          <w:b/>
          <w:bCs/>
          <w:color w:val="000000"/>
          <w:spacing w:val="4"/>
          <w:kern w:val="0"/>
          <w:sz w:val="36"/>
          <w:lang w:eastAsia="en-US"/>
        </w:rPr>
      </w:pPr>
      <w:r>
        <w:rPr>
          <w:rFonts w:hint="eastAsia" w:ascii="WWWULM+FangSong_GB2312" w:hAnsi="WWWULM+FangSong_GB2312" w:cs="WWWULM+FangSong_GB2312" w:eastAsiaTheme="minorEastAsia"/>
          <w:b/>
          <w:bCs/>
          <w:color w:val="000000"/>
          <w:spacing w:val="4"/>
          <w:kern w:val="0"/>
          <w:sz w:val="36"/>
          <w:lang w:eastAsia="en-US"/>
        </w:rPr>
        <w:t>五、存在的问题及改进措施</w:t>
      </w:r>
    </w:p>
    <w:p w14:paraId="3F97F1F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通过本次项目绩效评价，虽然取得了较好的社会效益，但同时也</w:t>
      </w:r>
      <w:r>
        <w:rPr>
          <w:rFonts w:hint="eastAsia" w:ascii="仿宋" w:hAnsi="仿宋" w:eastAsia="仿宋" w:cs="仿宋"/>
          <w:color w:val="000000"/>
          <w:spacing w:val="4"/>
          <w:kern w:val="0"/>
          <w:sz w:val="32"/>
          <w:szCs w:val="32"/>
          <w:lang w:eastAsia="zh-CN"/>
        </w:rPr>
        <w:t>存在</w:t>
      </w:r>
      <w:r>
        <w:rPr>
          <w:rFonts w:hint="eastAsia" w:ascii="仿宋" w:hAnsi="仿宋" w:eastAsia="仿宋" w:cs="仿宋"/>
          <w:color w:val="000000"/>
          <w:spacing w:val="4"/>
          <w:kern w:val="0"/>
          <w:sz w:val="32"/>
          <w:szCs w:val="32"/>
          <w:lang w:eastAsia="en-US"/>
        </w:rPr>
        <w:t>绩效指标设置和支出进度等问题，具体整改措施如下：</w:t>
      </w:r>
    </w:p>
    <w:p w14:paraId="38B8B756">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val="en-US" w:eastAsia="zh-CN"/>
        </w:rPr>
      </w:pPr>
      <w:r>
        <w:rPr>
          <w:rFonts w:hint="eastAsia" w:ascii="仿宋" w:hAnsi="仿宋" w:eastAsia="仿宋" w:cs="仿宋"/>
          <w:color w:val="000000"/>
          <w:spacing w:val="4"/>
          <w:kern w:val="0"/>
          <w:sz w:val="32"/>
          <w:szCs w:val="32"/>
          <w:lang w:eastAsia="en-US"/>
        </w:rPr>
        <w:t>一是科学合理编报绩效。</w:t>
      </w:r>
      <w:r>
        <w:rPr>
          <w:rFonts w:hint="eastAsia" w:ascii="仿宋" w:hAnsi="仿宋" w:eastAsia="仿宋" w:cs="仿宋"/>
          <w:color w:val="000000"/>
          <w:spacing w:val="4"/>
          <w:kern w:val="0"/>
          <w:sz w:val="32"/>
          <w:szCs w:val="32"/>
          <w:lang w:val="en-US" w:eastAsia="zh-CN"/>
        </w:rPr>
        <w:t>加强绩效目标的设定，将绩效目标做实，做到项目绩效目标全覆盖，最终实现部门整体绩效目标全覆盖，同时在设定绩效指标值注意细化量化，便于对项目进行监控和考核。在实际操作中，应建立全面规范的绩效指标体系，依据部门职责和年度工作重点，设定科学、合理、可行的年度绩效目标、绩效指标。</w:t>
      </w:r>
    </w:p>
    <w:p w14:paraId="21872C7A">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二是加快支出进度。按照各</w:t>
      </w:r>
      <w:r>
        <w:rPr>
          <w:rFonts w:hint="eastAsia" w:ascii="仿宋" w:hAnsi="仿宋" w:eastAsia="仿宋" w:cs="仿宋"/>
          <w:color w:val="000000"/>
          <w:spacing w:val="4"/>
          <w:kern w:val="0"/>
          <w:sz w:val="32"/>
          <w:szCs w:val="32"/>
          <w:lang w:eastAsia="zh-CN"/>
        </w:rPr>
        <w:t>内设、派驻（出）机构</w:t>
      </w:r>
      <w:r>
        <w:rPr>
          <w:rFonts w:hint="eastAsia" w:ascii="仿宋" w:hAnsi="仿宋" w:eastAsia="仿宋" w:cs="仿宋"/>
          <w:color w:val="000000"/>
          <w:spacing w:val="4"/>
          <w:kern w:val="0"/>
          <w:sz w:val="32"/>
          <w:szCs w:val="32"/>
          <w:lang w:eastAsia="en-US"/>
        </w:rPr>
        <w:t>的年度支出计划和签署的承诺书，加快支出进度，争取 6 月份达到 60%，十月份达到 90%。</w:t>
      </w:r>
    </w:p>
    <w:p w14:paraId="71ED7174">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三是加强业务培训。加强针对《预算法》、《政府会</w:t>
      </w:r>
    </w:p>
    <w:p w14:paraId="275FF492">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en-US"/>
        </w:rPr>
        <w:t>计制度》等内容培训，切实提高部门预算收支管理水平、项目立项管理水平和绩效目标管理水平。</w:t>
      </w:r>
    </w:p>
    <w:p w14:paraId="16BA36F3">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val="en-US" w:eastAsia="en-US"/>
        </w:rPr>
      </w:pPr>
      <w:bookmarkStart w:id="0" w:name="_Toc70582285"/>
      <w:bookmarkStart w:id="1" w:name="_Toc18475"/>
      <w:bookmarkStart w:id="2" w:name="_Toc8286"/>
      <w:r>
        <w:rPr>
          <w:rFonts w:hint="eastAsia" w:ascii="仿宋" w:hAnsi="仿宋" w:eastAsia="仿宋" w:cs="仿宋"/>
          <w:color w:val="000000"/>
          <w:spacing w:val="4"/>
          <w:kern w:val="0"/>
          <w:sz w:val="32"/>
          <w:szCs w:val="32"/>
          <w:lang w:val="en-US" w:eastAsia="zh-CN"/>
        </w:rPr>
        <w:t>四</w:t>
      </w:r>
      <w:r>
        <w:rPr>
          <w:rFonts w:hint="eastAsia" w:ascii="仿宋" w:hAnsi="仿宋" w:eastAsia="仿宋" w:cs="仿宋"/>
          <w:color w:val="000000"/>
          <w:spacing w:val="4"/>
          <w:kern w:val="0"/>
          <w:sz w:val="32"/>
          <w:szCs w:val="32"/>
          <w:lang w:val="en-US" w:eastAsia="en-US"/>
        </w:rPr>
        <w:t>是加强项目管理，完善项目监督工作</w:t>
      </w:r>
      <w:bookmarkEnd w:id="0"/>
      <w:bookmarkEnd w:id="1"/>
      <w:bookmarkEnd w:id="2"/>
      <w:r>
        <w:rPr>
          <w:rFonts w:hint="eastAsia" w:ascii="仿宋" w:hAnsi="仿宋" w:eastAsia="仿宋" w:cs="仿宋"/>
          <w:color w:val="000000"/>
          <w:spacing w:val="4"/>
          <w:kern w:val="0"/>
          <w:sz w:val="32"/>
          <w:szCs w:val="32"/>
          <w:lang w:val="en-US" w:eastAsia="zh-CN"/>
        </w:rPr>
        <w:t>。部门</w:t>
      </w:r>
      <w:r>
        <w:rPr>
          <w:rFonts w:hint="eastAsia" w:ascii="仿宋" w:hAnsi="仿宋" w:eastAsia="仿宋" w:cs="仿宋"/>
          <w:color w:val="000000"/>
          <w:spacing w:val="4"/>
          <w:kern w:val="0"/>
          <w:sz w:val="32"/>
          <w:szCs w:val="32"/>
          <w:lang w:val="en-US" w:eastAsia="en-US"/>
        </w:rPr>
        <w:t>应进一步加强对项目实施的管理，加强对项目实施全过程的监管，做到事前计划合理、事中执行监管有力、事后评价及时有效反馈。同时建立项目责任体系，落实执行责任制，督促、指导各</w:t>
      </w:r>
      <w:r>
        <w:rPr>
          <w:rFonts w:hint="eastAsia" w:ascii="仿宋" w:hAnsi="仿宋" w:eastAsia="仿宋" w:cs="仿宋"/>
          <w:color w:val="000000"/>
          <w:spacing w:val="4"/>
          <w:kern w:val="0"/>
          <w:sz w:val="32"/>
          <w:szCs w:val="32"/>
          <w:lang w:eastAsia="zh-CN"/>
        </w:rPr>
        <w:t>内设、派驻（出）机构</w:t>
      </w:r>
      <w:r>
        <w:rPr>
          <w:rFonts w:hint="eastAsia" w:ascii="仿宋" w:hAnsi="仿宋" w:eastAsia="仿宋" w:cs="仿宋"/>
          <w:color w:val="000000"/>
          <w:spacing w:val="4"/>
          <w:kern w:val="0"/>
          <w:sz w:val="32"/>
          <w:szCs w:val="32"/>
          <w:lang w:val="en-US" w:eastAsia="en-US"/>
        </w:rPr>
        <w:t>加强项目监管工作，确定项目的负责人、执行科室、项目建设周期、并制定具体的执行计划，按计划开展项目工作，保证项目的顺利完成。</w:t>
      </w:r>
    </w:p>
    <w:p w14:paraId="4C2FB817">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val="en-US" w:eastAsia="en-US"/>
        </w:rPr>
        <w:t>在项目执行中开展日常监督检查工作，对项目进行有效监控，并对检查过程中发现的问题及时提出督促整改意见，做到项目及时跟踪处理。同时，要加强项目工作规范性，完善工作底稿、检查资料的收集和保存制度，做好资料备份工作，以便对项目情况进行反馈。</w:t>
      </w:r>
    </w:p>
    <w:p w14:paraId="3C4D34C8">
      <w:pPr>
        <w:keepNext w:val="0"/>
        <w:keepLines w:val="0"/>
        <w:pageBreakBefore w:val="0"/>
        <w:widowControl/>
        <w:numPr>
          <w:ilvl w:val="0"/>
          <w:numId w:val="1"/>
        </w:numPr>
        <w:kinsoku/>
        <w:wordWrap/>
        <w:overflowPunct/>
        <w:topLinePunct w:val="0"/>
        <w:autoSpaceDE/>
        <w:autoSpaceDN/>
        <w:bidi w:val="0"/>
        <w:spacing w:before="249" w:after="0" w:line="240" w:lineRule="auto"/>
        <w:ind w:left="0" w:right="0" w:firstLine="739" w:firstLineChars="200"/>
        <w:jc w:val="left"/>
        <w:textAlignment w:val="auto"/>
        <w:rPr>
          <w:rFonts w:hint="eastAsia" w:ascii="WWWULM+FangSong_GB2312" w:hAnsi="WWWULM+FangSong_GB2312" w:cs="WWWULM+FangSong_GB2312" w:eastAsiaTheme="minorEastAsia"/>
          <w:b/>
          <w:bCs/>
          <w:color w:val="000000"/>
          <w:spacing w:val="4"/>
          <w:kern w:val="0"/>
          <w:sz w:val="36"/>
          <w:lang w:eastAsia="en-US"/>
        </w:rPr>
      </w:pPr>
      <w:r>
        <w:rPr>
          <w:rFonts w:hint="eastAsia" w:ascii="WWWULM+FangSong_GB2312" w:hAnsi="WWWULM+FangSong_GB2312" w:cs="WWWULM+FangSong_GB2312" w:eastAsiaTheme="minorEastAsia"/>
          <w:b/>
          <w:bCs/>
          <w:color w:val="000000"/>
          <w:spacing w:val="4"/>
          <w:kern w:val="0"/>
          <w:sz w:val="36"/>
          <w:lang w:eastAsia="en-US"/>
        </w:rPr>
        <w:t>评价工作组人员名单及签字</w:t>
      </w:r>
    </w:p>
    <w:p w14:paraId="0806395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2345"/>
        <w:gridCol w:w="4116"/>
      </w:tblGrid>
      <w:tr w14:paraId="0590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trPr>
        <w:tc>
          <w:tcPr>
            <w:tcW w:w="2074" w:type="dxa"/>
            <w:vAlign w:val="top"/>
          </w:tcPr>
          <w:p w14:paraId="5CF9214E">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姓名</w:t>
            </w:r>
          </w:p>
        </w:tc>
        <w:tc>
          <w:tcPr>
            <w:tcW w:w="2362" w:type="dxa"/>
            <w:vAlign w:val="top"/>
          </w:tcPr>
          <w:p w14:paraId="062510C7">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工作单位</w:t>
            </w:r>
          </w:p>
        </w:tc>
        <w:tc>
          <w:tcPr>
            <w:tcW w:w="4150" w:type="dxa"/>
            <w:vAlign w:val="top"/>
          </w:tcPr>
          <w:p w14:paraId="1912B730">
            <w:pPr>
              <w:keepNext w:val="0"/>
              <w:keepLines w:val="0"/>
              <w:pageBreakBefore w:val="0"/>
              <w:widowControl/>
              <w:kinsoku/>
              <w:wordWrap/>
              <w:overflowPunct/>
              <w:topLinePunct w:val="0"/>
              <w:autoSpaceDE/>
              <w:autoSpaceDN/>
              <w:bidi w:val="0"/>
              <w:spacing w:before="249" w:after="0" w:line="240" w:lineRule="auto"/>
              <w:ind w:left="0" w:right="0" w:firstLine="1312" w:firstLineChars="4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职务</w:t>
            </w:r>
          </w:p>
        </w:tc>
      </w:tr>
      <w:tr w14:paraId="79A1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trPr>
        <w:tc>
          <w:tcPr>
            <w:tcW w:w="2074" w:type="dxa"/>
            <w:vAlign w:val="top"/>
          </w:tcPr>
          <w:p w14:paraId="2D7489A1">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方伟宇</w:t>
            </w:r>
          </w:p>
        </w:tc>
        <w:tc>
          <w:tcPr>
            <w:tcW w:w="2362" w:type="dxa"/>
            <w:vAlign w:val="top"/>
          </w:tcPr>
          <w:p w14:paraId="26312626">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市纪委监委监委</w:t>
            </w:r>
          </w:p>
        </w:tc>
        <w:tc>
          <w:tcPr>
            <w:tcW w:w="4150" w:type="dxa"/>
            <w:vAlign w:val="top"/>
          </w:tcPr>
          <w:p w14:paraId="7FD3465E">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常委、秘书长</w:t>
            </w:r>
          </w:p>
        </w:tc>
      </w:tr>
      <w:tr w14:paraId="65D2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trPr>
        <w:tc>
          <w:tcPr>
            <w:tcW w:w="2074" w:type="dxa"/>
            <w:vAlign w:val="top"/>
          </w:tcPr>
          <w:p w14:paraId="55F8F6D7">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赵昕</w:t>
            </w:r>
          </w:p>
        </w:tc>
        <w:tc>
          <w:tcPr>
            <w:tcW w:w="2362" w:type="dxa"/>
            <w:vAlign w:val="top"/>
          </w:tcPr>
          <w:p w14:paraId="3CA614CA">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市纪委监委监委</w:t>
            </w:r>
          </w:p>
        </w:tc>
        <w:tc>
          <w:tcPr>
            <w:tcW w:w="4150" w:type="dxa"/>
            <w:vAlign w:val="top"/>
          </w:tcPr>
          <w:p w14:paraId="477FED0F">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办公室副主任</w:t>
            </w:r>
          </w:p>
        </w:tc>
      </w:tr>
      <w:tr w14:paraId="487F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2074" w:type="dxa"/>
            <w:vAlign w:val="top"/>
          </w:tcPr>
          <w:p w14:paraId="0B2446A4">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张丽霞</w:t>
            </w:r>
          </w:p>
        </w:tc>
        <w:tc>
          <w:tcPr>
            <w:tcW w:w="2362" w:type="dxa"/>
            <w:vAlign w:val="top"/>
          </w:tcPr>
          <w:p w14:paraId="304567AE">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市纪委监委监委</w:t>
            </w:r>
          </w:p>
        </w:tc>
        <w:tc>
          <w:tcPr>
            <w:tcW w:w="4150" w:type="dxa"/>
            <w:vAlign w:val="top"/>
          </w:tcPr>
          <w:p w14:paraId="7EB1974B">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三级主任科员</w:t>
            </w:r>
          </w:p>
        </w:tc>
      </w:tr>
      <w:tr w14:paraId="4667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exact"/>
        </w:trPr>
        <w:tc>
          <w:tcPr>
            <w:tcW w:w="2074" w:type="dxa"/>
            <w:vAlign w:val="top"/>
          </w:tcPr>
          <w:p w14:paraId="32AE5948">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赵星</w:t>
            </w:r>
          </w:p>
        </w:tc>
        <w:tc>
          <w:tcPr>
            <w:tcW w:w="2362" w:type="dxa"/>
            <w:vAlign w:val="top"/>
          </w:tcPr>
          <w:p w14:paraId="626AAFCA">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r>
              <w:rPr>
                <w:rFonts w:hint="eastAsia" w:ascii="仿宋" w:hAnsi="仿宋" w:eastAsia="仿宋" w:cs="仿宋"/>
                <w:color w:val="000000"/>
                <w:spacing w:val="4"/>
                <w:kern w:val="0"/>
                <w:sz w:val="32"/>
                <w:szCs w:val="32"/>
                <w:lang w:eastAsia="zh-CN"/>
              </w:rPr>
              <w:t>市纪委监委监委</w:t>
            </w:r>
          </w:p>
        </w:tc>
        <w:tc>
          <w:tcPr>
            <w:tcW w:w="4150" w:type="dxa"/>
            <w:vAlign w:val="top"/>
          </w:tcPr>
          <w:p w14:paraId="6986234A">
            <w:pPr>
              <w:keepNext w:val="0"/>
              <w:keepLines w:val="0"/>
              <w:pageBreakBefore w:val="0"/>
              <w:widowControl/>
              <w:kinsoku/>
              <w:wordWrap/>
              <w:overflowPunct/>
              <w:topLinePunct w:val="0"/>
              <w:autoSpaceDE/>
              <w:autoSpaceDN/>
              <w:bidi w:val="0"/>
              <w:spacing w:before="249" w:after="0" w:line="240" w:lineRule="auto"/>
              <w:ind w:left="0" w:right="0" w:firstLine="1312" w:firstLineChars="400"/>
              <w:jc w:val="left"/>
              <w:textAlignment w:val="auto"/>
              <w:rPr>
                <w:rFonts w:hint="eastAsia" w:ascii="仿宋" w:hAnsi="仿宋" w:eastAsia="仿宋" w:cs="仿宋"/>
                <w:color w:val="000000"/>
                <w:spacing w:val="4"/>
                <w:kern w:val="0"/>
                <w:sz w:val="32"/>
                <w:szCs w:val="32"/>
                <w:lang w:eastAsia="zh-CN"/>
              </w:rPr>
            </w:pPr>
            <w:r>
              <w:rPr>
                <w:rFonts w:hint="eastAsia" w:ascii="仿宋" w:hAnsi="仿宋" w:eastAsia="仿宋" w:cs="仿宋"/>
                <w:color w:val="000000"/>
                <w:spacing w:val="4"/>
                <w:kern w:val="0"/>
                <w:sz w:val="32"/>
                <w:szCs w:val="32"/>
                <w:lang w:eastAsia="zh-CN"/>
              </w:rPr>
              <w:t>事</w:t>
            </w:r>
            <w:r>
              <w:rPr>
                <w:rFonts w:hint="eastAsia" w:ascii="仿宋" w:hAnsi="仿宋" w:eastAsia="仿宋" w:cs="仿宋"/>
                <w:color w:val="000000"/>
                <w:spacing w:val="4"/>
                <w:kern w:val="0"/>
                <w:sz w:val="32"/>
                <w:szCs w:val="32"/>
                <w:lang w:val="en-US" w:eastAsia="zh-CN"/>
              </w:rPr>
              <w:t xml:space="preserve"> </w:t>
            </w:r>
            <w:r>
              <w:rPr>
                <w:rFonts w:hint="eastAsia" w:ascii="仿宋" w:hAnsi="仿宋" w:eastAsia="仿宋" w:cs="仿宋"/>
                <w:color w:val="000000"/>
                <w:spacing w:val="4"/>
                <w:kern w:val="0"/>
                <w:sz w:val="32"/>
                <w:szCs w:val="32"/>
                <w:lang w:eastAsia="zh-CN"/>
              </w:rPr>
              <w:t>业</w:t>
            </w:r>
          </w:p>
        </w:tc>
      </w:tr>
    </w:tbl>
    <w:p w14:paraId="50832C1A">
      <w:pPr>
        <w:keepNext w:val="0"/>
        <w:keepLines w:val="0"/>
        <w:pageBreakBefore w:val="0"/>
        <w:widowControl/>
        <w:kinsoku/>
        <w:wordWrap/>
        <w:overflowPunct/>
        <w:topLinePunct w:val="0"/>
        <w:autoSpaceDE/>
        <w:autoSpaceDN/>
        <w:bidi w:val="0"/>
        <w:spacing w:before="249" w:after="0" w:line="240" w:lineRule="auto"/>
        <w:ind w:left="0" w:right="0" w:firstLine="656" w:firstLineChars="200"/>
        <w:jc w:val="left"/>
        <w:textAlignment w:val="auto"/>
        <w:rPr>
          <w:rFonts w:hint="eastAsia" w:ascii="仿宋" w:hAnsi="仿宋" w:eastAsia="仿宋" w:cs="仿宋"/>
          <w:color w:val="000000"/>
          <w:spacing w:val="4"/>
          <w:kern w:val="0"/>
          <w:sz w:val="32"/>
          <w:szCs w:val="32"/>
          <w:lang w:eastAsia="en-US"/>
        </w:rPr>
      </w:pPr>
    </w:p>
    <w:p w14:paraId="3C3EBA5D">
      <w:pPr>
        <w:keepNext w:val="0"/>
        <w:keepLines w:val="0"/>
        <w:pageBreakBefore w:val="0"/>
        <w:kinsoku/>
        <w:wordWrap/>
        <w:overflowPunct/>
        <w:topLinePunct w:val="0"/>
        <w:autoSpaceDE/>
        <w:autoSpaceDN/>
        <w:bidi w:val="0"/>
        <w:spacing w:line="240" w:lineRule="auto"/>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WWULM+FangSong_GB2312">
    <w:altName w:val="Vrinda"/>
    <w:panose1 w:val="02000500000000000000"/>
    <w:charset w:val="01"/>
    <w:family w:val="auto"/>
    <w:pitch w:val="default"/>
    <w:sig w:usb0="00000000" w:usb1="00000000" w:usb2="00000000" w:usb3="00000000" w:csb0="00000000" w:csb1="00000000"/>
  </w:font>
  <w:font w:name="Vrinda">
    <w:panose1 w:val="020B0502040204020203"/>
    <w:charset w:val="00"/>
    <w:family w:val="auto"/>
    <w:pitch w:val="default"/>
    <w:sig w:usb0="0001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A1BB1"/>
    <w:multiLevelType w:val="singleLevel"/>
    <w:tmpl w:val="B93A1BB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AB65C2"/>
    <w:rsid w:val="060163C4"/>
    <w:rsid w:val="070638C7"/>
    <w:rsid w:val="07B341D2"/>
    <w:rsid w:val="0CFE34C2"/>
    <w:rsid w:val="0D0716AB"/>
    <w:rsid w:val="0F563D71"/>
    <w:rsid w:val="1020103A"/>
    <w:rsid w:val="10304425"/>
    <w:rsid w:val="15A120FD"/>
    <w:rsid w:val="1A1B3305"/>
    <w:rsid w:val="1A9461DD"/>
    <w:rsid w:val="20F71F25"/>
    <w:rsid w:val="216C799C"/>
    <w:rsid w:val="25D746DE"/>
    <w:rsid w:val="2BFB19CD"/>
    <w:rsid w:val="2E1C4DF4"/>
    <w:rsid w:val="2E4D4DDE"/>
    <w:rsid w:val="31E822B6"/>
    <w:rsid w:val="34FF407A"/>
    <w:rsid w:val="36837170"/>
    <w:rsid w:val="37C850FB"/>
    <w:rsid w:val="3C5D3094"/>
    <w:rsid w:val="3CA147AD"/>
    <w:rsid w:val="3CB02FE2"/>
    <w:rsid w:val="413E0ECB"/>
    <w:rsid w:val="42414A20"/>
    <w:rsid w:val="45B73488"/>
    <w:rsid w:val="46422249"/>
    <w:rsid w:val="482B39E4"/>
    <w:rsid w:val="48914DFB"/>
    <w:rsid w:val="4D700292"/>
    <w:rsid w:val="4DAF6A02"/>
    <w:rsid w:val="4FB71CC9"/>
    <w:rsid w:val="539B3C3A"/>
    <w:rsid w:val="55AF26C6"/>
    <w:rsid w:val="57C4793F"/>
    <w:rsid w:val="58F10F83"/>
    <w:rsid w:val="5C8E1049"/>
    <w:rsid w:val="5DEF5970"/>
    <w:rsid w:val="6273521F"/>
    <w:rsid w:val="645B1C35"/>
    <w:rsid w:val="65007ECD"/>
    <w:rsid w:val="6A4308D4"/>
    <w:rsid w:val="6E950454"/>
    <w:rsid w:val="70B679FB"/>
    <w:rsid w:val="79AB65C2"/>
    <w:rsid w:val="7DAA1FB3"/>
    <w:rsid w:val="7DFC4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Lines="0" w:beforeAutospacing="1" w:after="100" w:afterLines="0" w:afterAutospacing="1"/>
      <w:jc w:val="left"/>
      <w:outlineLvl w:val="1"/>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Char"/>
    <w:basedOn w:val="1"/>
    <w:qFormat/>
    <w:uiPriority w:val="0"/>
    <w:pPr>
      <w:spacing w:line="360" w:lineRule="auto"/>
      <w:ind w:firstLine="200" w:firstLineChars="200"/>
    </w:pPr>
    <w:rPr>
      <w:rFonts w:ascii="宋体" w:hAnsi="宋体" w:eastAsia="宋体" w:cs="宋体"/>
      <w:sz w:val="24"/>
    </w:rPr>
  </w:style>
  <w:style w:type="paragraph" w:customStyle="1" w:styleId="8">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9">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3249</Words>
  <Characters>3344</Characters>
  <Lines>0</Lines>
  <Paragraphs>0</Paragraphs>
  <TotalTime>73</TotalTime>
  <ScaleCrop>false</ScaleCrop>
  <LinksUpToDate>false</LinksUpToDate>
  <CharactersWithSpaces>3354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2024-03-29T03:34:00Z</dcterms:created>
  <dc:creator>Administrator</dc:creator>
  <cp:lastModifiedBy>一花 一世界</cp:lastModifiedBy>
  <dcterms:modified xsi:type="dcterms:W3CDTF">2026-05-27T02:28:50Z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B7B6DE5DAD86401E96ADE1FA8EA9E872_13</vt:lpwstr>
  </property>
  <property fmtid="{D5CDD505-2E9C-101B-9397-08002B2CF9AE}" pid="4" name="KSOTemplateDocerSaveRecord">
    <vt:lpwstr>eyJoZGlkIjoiNjU4ZjQ2MzBkMTczNWE2NDAwN2FkODY1MmY4MDQ0NmQiLCJ1c2VySWQiOiIxMTU2ODAwMzYzIn0=</vt:lpwstr>
  </property>
</Properties>
</file>