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750B74">
      <w:pPr>
        <w:adjustRightInd w:val="0"/>
        <w:snapToGrid w:val="0"/>
        <w:spacing w:line="560" w:lineRule="exact"/>
        <w:rPr>
          <w:rFonts w:hint="default"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p>
    <w:p w14:paraId="2065F2B4">
      <w:pPr>
        <w:spacing w:line="560" w:lineRule="exact"/>
        <w:jc w:val="center"/>
        <w:rPr>
          <w:rFonts w:ascii="宋体" w:hAnsi="宋体" w:cs="宋体"/>
          <w:b/>
          <w:bCs/>
          <w:sz w:val="44"/>
          <w:szCs w:val="44"/>
        </w:rPr>
      </w:pPr>
    </w:p>
    <w:p w14:paraId="4D309E0C">
      <w:pPr>
        <w:spacing w:line="560" w:lineRule="exact"/>
        <w:jc w:val="center"/>
        <w:rPr>
          <w:rFonts w:ascii="宋体" w:hAnsi="宋体" w:eastAsia="宋体" w:cs="宋体"/>
          <w:b/>
          <w:bCs/>
          <w:sz w:val="44"/>
          <w:szCs w:val="44"/>
        </w:rPr>
      </w:pPr>
    </w:p>
    <w:p w14:paraId="08F99A22">
      <w:pPr>
        <w:spacing w:line="560" w:lineRule="exact"/>
        <w:jc w:val="center"/>
        <w:rPr>
          <w:rFonts w:hint="eastAsia" w:ascii="宋体" w:hAnsi="宋体" w:eastAsia="宋体" w:cs="宋体"/>
          <w:b/>
          <w:bCs/>
          <w:sz w:val="44"/>
          <w:szCs w:val="44"/>
          <w:lang w:eastAsia="zh-CN"/>
        </w:rPr>
      </w:pPr>
      <w:r>
        <w:rPr>
          <w:rFonts w:hint="eastAsia" w:ascii="宋体" w:hAnsi="宋体" w:eastAsia="宋体" w:cs="宋体"/>
          <w:b/>
          <w:bCs/>
          <w:sz w:val="44"/>
          <w:szCs w:val="44"/>
          <w:lang w:eastAsia="zh-CN"/>
        </w:rPr>
        <w:t>中共石家庄市委金融委员会办公室</w:t>
      </w:r>
    </w:p>
    <w:p w14:paraId="03ED4E1B">
      <w:pPr>
        <w:spacing w:line="560" w:lineRule="exact"/>
        <w:jc w:val="center"/>
        <w:rPr>
          <w:rFonts w:ascii="宋体" w:hAnsi="宋体" w:eastAsia="宋体" w:cs="宋体"/>
          <w:b/>
          <w:bCs/>
          <w:sz w:val="44"/>
          <w:szCs w:val="44"/>
        </w:rPr>
      </w:pPr>
      <w:r>
        <w:rPr>
          <w:rFonts w:hint="eastAsia" w:ascii="宋体" w:hAnsi="宋体" w:eastAsia="宋体" w:cs="宋体"/>
          <w:b/>
          <w:bCs/>
          <w:sz w:val="44"/>
          <w:szCs w:val="44"/>
        </w:rPr>
        <w:t>202</w:t>
      </w:r>
      <w:r>
        <w:rPr>
          <w:rFonts w:hint="eastAsia" w:ascii="宋体" w:hAnsi="宋体" w:eastAsia="宋体" w:cs="宋体"/>
          <w:b/>
          <w:bCs/>
          <w:sz w:val="44"/>
          <w:szCs w:val="44"/>
          <w:lang w:val="en-US" w:eastAsia="zh-CN"/>
        </w:rPr>
        <w:t>5</w:t>
      </w:r>
      <w:r>
        <w:rPr>
          <w:rFonts w:hint="eastAsia" w:ascii="宋体" w:hAnsi="宋体" w:eastAsia="宋体" w:cs="宋体"/>
          <w:b/>
          <w:bCs/>
          <w:sz w:val="44"/>
          <w:szCs w:val="44"/>
        </w:rPr>
        <w:t>年度整体支出绩效自评报告</w:t>
      </w:r>
    </w:p>
    <w:p w14:paraId="6E154399">
      <w:pPr>
        <w:spacing w:line="560" w:lineRule="exact"/>
        <w:jc w:val="center"/>
        <w:rPr>
          <w:rFonts w:ascii="华文楷体" w:eastAsia="华文楷体"/>
          <w:sz w:val="32"/>
          <w:szCs w:val="32"/>
        </w:rPr>
      </w:pPr>
    </w:p>
    <w:p w14:paraId="60EB5EDD">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贯彻落实市委市政府《关于全面落实预算绩效管理的实施意见》（石发﹝2019﹞8号）文件精神，遵循“科学性、规范性、客观性和公正性”的原则，对</w:t>
      </w:r>
      <w:r>
        <w:rPr>
          <w:rFonts w:hint="eastAsia" w:ascii="仿宋" w:hAnsi="仿宋" w:eastAsia="仿宋"/>
          <w:sz w:val="32"/>
          <w:szCs w:val="32"/>
          <w:lang w:eastAsia="zh-CN"/>
        </w:rPr>
        <w:t>中共石家庄市委金融委员会办公室（以下简称“我办”）</w:t>
      </w:r>
      <w:r>
        <w:rPr>
          <w:rFonts w:hint="eastAsia" w:ascii="仿宋" w:hAnsi="仿宋" w:eastAsia="仿宋"/>
          <w:sz w:val="32"/>
          <w:szCs w:val="32"/>
        </w:rPr>
        <w:t>202</w:t>
      </w:r>
      <w:r>
        <w:rPr>
          <w:rFonts w:hint="eastAsia" w:ascii="仿宋" w:hAnsi="仿宋" w:eastAsia="仿宋"/>
          <w:sz w:val="32"/>
          <w:szCs w:val="32"/>
          <w:lang w:val="en-US" w:eastAsia="zh-CN"/>
        </w:rPr>
        <w:t>5</w:t>
      </w:r>
      <w:r>
        <w:rPr>
          <w:rFonts w:hint="eastAsia" w:ascii="仿宋" w:hAnsi="仿宋" w:eastAsia="仿宋"/>
          <w:sz w:val="32"/>
          <w:szCs w:val="32"/>
        </w:rPr>
        <w:t>年整体支出情况实施了财政支出绩效自评价，形成本评价报告。</w:t>
      </w:r>
    </w:p>
    <w:p w14:paraId="1FEA54DD">
      <w:pPr>
        <w:adjustRightInd w:val="0"/>
        <w:snapToGrid w:val="0"/>
        <w:spacing w:line="560" w:lineRule="exact"/>
        <w:rPr>
          <w:rFonts w:ascii="黑体" w:hAnsi="黑体" w:eastAsia="黑体"/>
          <w:b/>
          <w:bCs/>
          <w:sz w:val="32"/>
          <w:szCs w:val="36"/>
        </w:rPr>
      </w:pPr>
      <w:r>
        <w:rPr>
          <w:rFonts w:hint="eastAsia" w:ascii="黑体" w:hAnsi="黑体" w:eastAsia="黑体"/>
          <w:sz w:val="32"/>
          <w:szCs w:val="32"/>
        </w:rPr>
        <w:t xml:space="preserve">     一、部门</w:t>
      </w:r>
      <w:r>
        <w:rPr>
          <w:rFonts w:hint="eastAsia" w:ascii="黑体" w:hAnsi="黑体" w:eastAsia="黑体"/>
          <w:sz w:val="32"/>
          <w:szCs w:val="36"/>
        </w:rPr>
        <w:t>基本情况</w:t>
      </w:r>
    </w:p>
    <w:p w14:paraId="17720B65">
      <w:pPr>
        <w:adjustRightInd w:val="0"/>
        <w:snapToGrid w:val="0"/>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（一）部门概况</w:t>
      </w:r>
    </w:p>
    <w:p w14:paraId="20D72B0A">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我办负责贯彻落实党中央关于金融工作的方针政策和决策部署，落实省委、市委工作安排，把坚持和加强党中央对金融工作的集中统一领导落实到履行职责过程中。主要职责是:统筹协调辖区内金融相关工作，牵头开展全市金融安全稳定和改革发展的规划、政策、问题等研究；协调组织全市金融风险防范和处置化解，推动各县（市、区）落实属地责任，配合上级金融管理部门做好重大金融风险处置工作；负责全市地方金融组织市场准入审核、监督管理和风险处置工作；协调推进全市营造健康优质的金融环境；协调开展全市金融领域重点工作落实情况督查；贯彻落实党中央关于金融系统党的建设的方针政策和决策部署等</w:t>
      </w:r>
      <w:r>
        <w:rPr>
          <w:rFonts w:hint="eastAsia" w:ascii="仿宋" w:hAnsi="仿宋" w:eastAsia="仿宋"/>
          <w:sz w:val="32"/>
          <w:szCs w:val="32"/>
          <w:lang w:eastAsia="zh-CN"/>
        </w:rPr>
        <w:t>；</w:t>
      </w:r>
      <w:r>
        <w:rPr>
          <w:rFonts w:hint="eastAsia" w:ascii="仿宋" w:hAnsi="仿宋" w:eastAsia="仿宋"/>
          <w:sz w:val="32"/>
          <w:szCs w:val="32"/>
        </w:rPr>
        <w:t>完成市委、市政府交办的其他任务。</w:t>
      </w:r>
    </w:p>
    <w:p w14:paraId="2B675F2E">
      <w:pPr>
        <w:numPr>
          <w:ilvl w:val="0"/>
          <w:numId w:val="1"/>
        </w:numPr>
        <w:adjustRightInd w:val="0"/>
        <w:snapToGrid w:val="0"/>
        <w:spacing w:line="560" w:lineRule="exact"/>
        <w:ind w:firstLine="640" w:firstLineChars="200"/>
        <w:rPr>
          <w:rFonts w:hint="eastAsia" w:ascii="楷体" w:hAnsi="楷体" w:eastAsia="楷体" w:cs="楷体_GB2312"/>
          <w:bCs/>
          <w:sz w:val="32"/>
          <w:szCs w:val="32"/>
        </w:rPr>
      </w:pPr>
      <w:r>
        <w:rPr>
          <w:rFonts w:hint="eastAsia" w:ascii="楷体" w:hAnsi="楷体" w:eastAsia="楷体" w:cs="楷体_GB2312"/>
          <w:bCs/>
          <w:sz w:val="32"/>
          <w:szCs w:val="32"/>
        </w:rPr>
        <w:t>部门收支预决算情况</w:t>
      </w:r>
    </w:p>
    <w:p w14:paraId="65854AC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420" w:firstLineChars="200"/>
        <w:textAlignment w:val="auto"/>
        <w:rPr>
          <w:rFonts w:hint="default" w:ascii="CESI仿宋-GB2312" w:hAnsi="CESI仿宋-GB2312" w:eastAsia="CESI仿宋-GB2312" w:cs="CESI仿宋-GB2312"/>
          <w:bCs/>
          <w:sz w:val="32"/>
          <w:szCs w:val="32"/>
          <w:highlight w:val="none"/>
          <w:lang w:val="en-US" w:eastAsia="zh-CN"/>
        </w:rPr>
      </w:pPr>
      <w:r>
        <w:rPr>
          <w:rFonts w:hint="eastAsia"/>
          <w:lang w:val="en-US" w:eastAsia="zh-CN"/>
        </w:rPr>
        <w:t xml:space="preserve">   </w:t>
      </w:r>
      <w:r>
        <w:rPr>
          <w:rFonts w:hint="eastAsia"/>
          <w:highlight w:val="none"/>
          <w:lang w:val="en-US" w:eastAsia="zh-CN"/>
        </w:rPr>
        <w:t xml:space="preserve"> </w:t>
      </w:r>
      <w:r>
        <w:rPr>
          <w:rFonts w:hint="eastAsia" w:ascii="CESI仿宋-GB2312" w:hAnsi="CESI仿宋-GB2312" w:eastAsia="CESI仿宋-GB2312" w:cs="CESI仿宋-GB2312"/>
          <w:bCs/>
          <w:sz w:val="32"/>
          <w:szCs w:val="32"/>
          <w:highlight w:val="none"/>
          <w:lang w:val="en-US" w:eastAsia="zh-CN"/>
        </w:rPr>
        <w:t>1.预算安排情况</w:t>
      </w:r>
    </w:p>
    <w:p w14:paraId="05632DE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CESI仿宋-GB2312" w:hAnsi="CESI仿宋-GB2312" w:eastAsia="CESI仿宋-GB2312" w:cs="CESI仿宋-GB2312"/>
          <w:bCs/>
          <w:sz w:val="32"/>
          <w:szCs w:val="32"/>
          <w:highlight w:val="none"/>
        </w:rPr>
      </w:pPr>
      <w:r>
        <w:rPr>
          <w:rFonts w:hint="eastAsia" w:ascii="CESI仿宋-GB2312" w:hAnsi="CESI仿宋-GB2312" w:eastAsia="CESI仿宋-GB2312" w:cs="CESI仿宋-GB2312"/>
          <w:bCs/>
          <w:sz w:val="32"/>
          <w:szCs w:val="32"/>
          <w:highlight w:val="none"/>
        </w:rPr>
        <w:t>20</w:t>
      </w:r>
      <w:r>
        <w:rPr>
          <w:rFonts w:hint="eastAsia" w:ascii="CESI仿宋-GB2312" w:hAnsi="CESI仿宋-GB2312" w:eastAsia="CESI仿宋-GB2312" w:cs="CESI仿宋-GB2312"/>
          <w:bCs/>
          <w:sz w:val="32"/>
          <w:szCs w:val="32"/>
          <w:highlight w:val="none"/>
          <w:lang w:val="en-US" w:eastAsia="zh-CN"/>
        </w:rPr>
        <w:t>25</w:t>
      </w:r>
      <w:r>
        <w:rPr>
          <w:rFonts w:hint="eastAsia" w:ascii="CESI仿宋-GB2312" w:hAnsi="CESI仿宋-GB2312" w:eastAsia="CESI仿宋-GB2312" w:cs="CESI仿宋-GB2312"/>
          <w:bCs/>
          <w:sz w:val="32"/>
          <w:szCs w:val="32"/>
          <w:highlight w:val="none"/>
        </w:rPr>
        <w:t>年我办预算收入</w:t>
      </w:r>
      <w:r>
        <w:rPr>
          <w:rFonts w:hint="eastAsia" w:ascii="CESI仿宋-GB2312" w:hAnsi="CESI仿宋-GB2312" w:eastAsia="CESI仿宋-GB2312" w:cs="CESI仿宋-GB2312"/>
          <w:bCs/>
          <w:sz w:val="32"/>
          <w:szCs w:val="32"/>
          <w:highlight w:val="none"/>
          <w:lang w:val="en-US" w:eastAsia="zh-CN"/>
        </w:rPr>
        <w:t>1587.31</w:t>
      </w:r>
      <w:r>
        <w:rPr>
          <w:rFonts w:hint="eastAsia" w:ascii="CESI仿宋-GB2312" w:hAnsi="CESI仿宋-GB2312" w:eastAsia="CESI仿宋-GB2312" w:cs="CESI仿宋-GB2312"/>
          <w:bCs/>
          <w:sz w:val="32"/>
          <w:szCs w:val="32"/>
          <w:highlight w:val="none"/>
        </w:rPr>
        <w:t>万元，均为一般公共预算财政拨款收入。</w:t>
      </w:r>
    </w:p>
    <w:p w14:paraId="7495F37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CESI仿宋-GB2312" w:hAnsi="CESI仿宋-GB2312" w:eastAsia="CESI仿宋-GB2312" w:cs="CESI仿宋-GB2312"/>
          <w:bCs/>
          <w:sz w:val="32"/>
          <w:szCs w:val="32"/>
          <w:highlight w:val="none"/>
        </w:rPr>
      </w:pPr>
      <w:r>
        <w:rPr>
          <w:rFonts w:hint="eastAsia" w:ascii="CESI仿宋-GB2312" w:hAnsi="CESI仿宋-GB2312" w:eastAsia="CESI仿宋-GB2312" w:cs="CESI仿宋-GB2312"/>
          <w:bCs/>
          <w:sz w:val="32"/>
          <w:szCs w:val="32"/>
          <w:highlight w:val="none"/>
        </w:rPr>
        <w:t>202</w:t>
      </w:r>
      <w:r>
        <w:rPr>
          <w:rFonts w:hint="eastAsia" w:ascii="CESI仿宋-GB2312" w:hAnsi="CESI仿宋-GB2312" w:eastAsia="CESI仿宋-GB2312" w:cs="CESI仿宋-GB2312"/>
          <w:bCs/>
          <w:sz w:val="32"/>
          <w:szCs w:val="32"/>
          <w:highlight w:val="none"/>
          <w:lang w:val="en-US" w:eastAsia="zh-CN"/>
        </w:rPr>
        <w:t>5</w:t>
      </w:r>
      <w:r>
        <w:rPr>
          <w:rFonts w:hint="eastAsia" w:ascii="CESI仿宋-GB2312" w:hAnsi="CESI仿宋-GB2312" w:eastAsia="CESI仿宋-GB2312" w:cs="CESI仿宋-GB2312"/>
          <w:bCs/>
          <w:sz w:val="32"/>
          <w:szCs w:val="32"/>
          <w:highlight w:val="none"/>
        </w:rPr>
        <w:t>年预算支出</w:t>
      </w:r>
      <w:r>
        <w:rPr>
          <w:rFonts w:hint="eastAsia" w:ascii="CESI仿宋-GB2312" w:hAnsi="CESI仿宋-GB2312" w:eastAsia="CESI仿宋-GB2312" w:cs="CESI仿宋-GB2312"/>
          <w:bCs/>
          <w:sz w:val="32"/>
          <w:szCs w:val="32"/>
          <w:highlight w:val="none"/>
          <w:lang w:val="en-US" w:eastAsia="zh-CN"/>
        </w:rPr>
        <w:t>1587.31</w:t>
      </w:r>
      <w:r>
        <w:rPr>
          <w:rFonts w:hint="eastAsia" w:ascii="CESI仿宋-GB2312" w:hAnsi="CESI仿宋-GB2312" w:eastAsia="CESI仿宋-GB2312" w:cs="CESI仿宋-GB2312"/>
          <w:bCs/>
          <w:sz w:val="32"/>
          <w:szCs w:val="32"/>
          <w:highlight w:val="none"/>
        </w:rPr>
        <w:t>万元，其中：基本支出</w:t>
      </w:r>
      <w:r>
        <w:rPr>
          <w:rFonts w:hint="eastAsia" w:ascii="CESI仿宋-GB2312" w:hAnsi="CESI仿宋-GB2312" w:eastAsia="CESI仿宋-GB2312" w:cs="CESI仿宋-GB2312"/>
          <w:bCs/>
          <w:sz w:val="32"/>
          <w:szCs w:val="32"/>
          <w:highlight w:val="none"/>
          <w:lang w:val="en-US" w:eastAsia="zh-CN"/>
        </w:rPr>
        <w:t>1095.06</w:t>
      </w:r>
      <w:r>
        <w:rPr>
          <w:rFonts w:hint="eastAsia" w:ascii="CESI仿宋-GB2312" w:hAnsi="CESI仿宋-GB2312" w:eastAsia="CESI仿宋-GB2312" w:cs="CESI仿宋-GB2312"/>
          <w:bCs/>
          <w:sz w:val="32"/>
          <w:szCs w:val="32"/>
          <w:highlight w:val="none"/>
        </w:rPr>
        <w:t>万元，包括人员经费</w:t>
      </w:r>
      <w:r>
        <w:rPr>
          <w:rFonts w:hint="eastAsia" w:ascii="CESI仿宋-GB2312" w:hAnsi="CESI仿宋-GB2312" w:eastAsia="CESI仿宋-GB2312" w:cs="CESI仿宋-GB2312"/>
          <w:bCs/>
          <w:sz w:val="32"/>
          <w:szCs w:val="32"/>
          <w:highlight w:val="none"/>
          <w:lang w:val="en-US" w:eastAsia="zh-CN"/>
        </w:rPr>
        <w:t>970.31</w:t>
      </w:r>
      <w:r>
        <w:rPr>
          <w:rFonts w:hint="eastAsia" w:ascii="CESI仿宋-GB2312" w:hAnsi="CESI仿宋-GB2312" w:eastAsia="CESI仿宋-GB2312" w:cs="CESI仿宋-GB2312"/>
          <w:bCs/>
          <w:sz w:val="32"/>
          <w:szCs w:val="32"/>
          <w:highlight w:val="none"/>
        </w:rPr>
        <w:t>万元和公用经费</w:t>
      </w:r>
      <w:r>
        <w:rPr>
          <w:rFonts w:hint="eastAsia" w:ascii="CESI仿宋-GB2312" w:hAnsi="CESI仿宋-GB2312" w:eastAsia="CESI仿宋-GB2312" w:cs="CESI仿宋-GB2312"/>
          <w:bCs/>
          <w:sz w:val="32"/>
          <w:szCs w:val="32"/>
          <w:highlight w:val="none"/>
          <w:lang w:val="en-US" w:eastAsia="zh-CN"/>
        </w:rPr>
        <w:t>124.75</w:t>
      </w:r>
      <w:r>
        <w:rPr>
          <w:rFonts w:hint="eastAsia" w:ascii="CESI仿宋-GB2312" w:hAnsi="CESI仿宋-GB2312" w:eastAsia="CESI仿宋-GB2312" w:cs="CESI仿宋-GB2312"/>
          <w:bCs/>
          <w:sz w:val="32"/>
          <w:szCs w:val="32"/>
          <w:highlight w:val="none"/>
        </w:rPr>
        <w:t>万元；项目支出</w:t>
      </w:r>
      <w:r>
        <w:rPr>
          <w:rFonts w:hint="eastAsia" w:ascii="CESI仿宋-GB2312" w:hAnsi="CESI仿宋-GB2312" w:eastAsia="CESI仿宋-GB2312" w:cs="CESI仿宋-GB2312"/>
          <w:bCs/>
          <w:sz w:val="32"/>
          <w:szCs w:val="32"/>
          <w:highlight w:val="none"/>
          <w:lang w:val="en-US" w:eastAsia="zh-CN"/>
        </w:rPr>
        <w:t>492.25</w:t>
      </w:r>
      <w:r>
        <w:rPr>
          <w:rFonts w:hint="eastAsia" w:ascii="CESI仿宋-GB2312" w:hAnsi="CESI仿宋-GB2312" w:eastAsia="CESI仿宋-GB2312" w:cs="CESI仿宋-GB2312"/>
          <w:bCs/>
          <w:sz w:val="32"/>
          <w:szCs w:val="32"/>
          <w:highlight w:val="none"/>
        </w:rPr>
        <w:t>万元。</w:t>
      </w:r>
    </w:p>
    <w:p w14:paraId="32C98F5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CESI仿宋-GB2312" w:hAnsi="CESI仿宋-GB2312" w:eastAsia="CESI仿宋-GB2312" w:cs="CESI仿宋-GB2312"/>
          <w:bCs/>
          <w:sz w:val="32"/>
          <w:szCs w:val="32"/>
          <w:highlight w:val="none"/>
          <w:lang w:val="en-US" w:eastAsia="zh-CN"/>
        </w:rPr>
      </w:pPr>
      <w:r>
        <w:rPr>
          <w:rFonts w:hint="eastAsia" w:ascii="CESI仿宋-GB2312" w:hAnsi="CESI仿宋-GB2312" w:eastAsia="CESI仿宋-GB2312" w:cs="CESI仿宋-GB2312"/>
          <w:bCs/>
          <w:sz w:val="32"/>
          <w:szCs w:val="32"/>
          <w:highlight w:val="none"/>
          <w:lang w:val="en-US" w:eastAsia="zh-CN"/>
        </w:rPr>
        <w:t>2.决算情况</w:t>
      </w:r>
    </w:p>
    <w:p w14:paraId="503337F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CESI仿宋-GB2312" w:hAnsi="CESI仿宋-GB2312" w:eastAsia="CESI仿宋-GB2312" w:cs="CESI仿宋-GB2312"/>
          <w:bCs/>
          <w:color w:val="auto"/>
          <w:sz w:val="32"/>
          <w:szCs w:val="32"/>
          <w:highlight w:val="none"/>
          <w:shd w:val="clear" w:color="FFFFFF" w:fill="D9D9D9"/>
          <w:lang w:val="en-US" w:eastAsia="zh-CN"/>
        </w:rPr>
      </w:pPr>
      <w:r>
        <w:rPr>
          <w:rFonts w:hint="default" w:ascii="CESI仿宋-GB2312" w:hAnsi="CESI仿宋-GB2312" w:eastAsia="CESI仿宋-GB2312" w:cs="CESI仿宋-GB2312"/>
          <w:bCs/>
          <w:color w:val="auto"/>
          <w:sz w:val="32"/>
          <w:szCs w:val="32"/>
          <w:highlight w:val="none"/>
          <w:shd w:val="clear" w:color="FFFFFF" w:fill="D9D9D9"/>
          <w:lang w:val="en-US" w:eastAsia="zh-CN"/>
        </w:rPr>
        <w:t>202</w:t>
      </w:r>
      <w:r>
        <w:rPr>
          <w:rFonts w:hint="eastAsia" w:ascii="CESI仿宋-GB2312" w:hAnsi="CESI仿宋-GB2312" w:eastAsia="CESI仿宋-GB2312" w:cs="CESI仿宋-GB2312"/>
          <w:bCs/>
          <w:color w:val="auto"/>
          <w:sz w:val="32"/>
          <w:szCs w:val="32"/>
          <w:highlight w:val="none"/>
          <w:shd w:val="clear" w:color="FFFFFF" w:fill="D9D9D9"/>
          <w:lang w:val="en-US" w:eastAsia="zh-CN"/>
        </w:rPr>
        <w:t>5</w:t>
      </w:r>
      <w:r>
        <w:rPr>
          <w:rFonts w:hint="default" w:ascii="CESI仿宋-GB2312" w:hAnsi="CESI仿宋-GB2312" w:eastAsia="CESI仿宋-GB2312" w:cs="CESI仿宋-GB2312"/>
          <w:bCs/>
          <w:color w:val="auto"/>
          <w:sz w:val="32"/>
          <w:szCs w:val="32"/>
          <w:highlight w:val="none"/>
          <w:shd w:val="clear" w:color="FFFFFF" w:fill="D9D9D9"/>
          <w:lang w:val="en-US" w:eastAsia="zh-CN"/>
        </w:rPr>
        <w:t>年我办收入决算</w:t>
      </w:r>
      <w:r>
        <w:rPr>
          <w:rFonts w:hint="eastAsia" w:ascii="CESI仿宋-GB2312" w:hAnsi="CESI仿宋-GB2312" w:eastAsia="CESI仿宋-GB2312" w:cs="CESI仿宋-GB2312"/>
          <w:bCs/>
          <w:color w:val="auto"/>
          <w:sz w:val="32"/>
          <w:szCs w:val="32"/>
          <w:highlight w:val="none"/>
          <w:shd w:val="clear" w:color="FFFFFF" w:fill="D9D9D9"/>
          <w:lang w:val="en-US" w:eastAsia="zh-CN"/>
        </w:rPr>
        <w:t>2699.20</w:t>
      </w:r>
      <w:r>
        <w:rPr>
          <w:rFonts w:hint="default" w:ascii="CESI仿宋-GB2312" w:hAnsi="CESI仿宋-GB2312" w:eastAsia="CESI仿宋-GB2312" w:cs="CESI仿宋-GB2312"/>
          <w:bCs/>
          <w:color w:val="auto"/>
          <w:sz w:val="32"/>
          <w:szCs w:val="32"/>
          <w:highlight w:val="none"/>
          <w:shd w:val="clear" w:color="FFFFFF" w:fill="D9D9D9"/>
          <w:lang w:val="en-US" w:eastAsia="zh-CN"/>
        </w:rPr>
        <w:t>万元，其中：一般公共预算财政拨款收入</w:t>
      </w:r>
      <w:r>
        <w:rPr>
          <w:rFonts w:hint="eastAsia" w:ascii="CESI仿宋-GB2312" w:hAnsi="CESI仿宋-GB2312" w:eastAsia="CESI仿宋-GB2312" w:cs="CESI仿宋-GB2312"/>
          <w:bCs/>
          <w:color w:val="auto"/>
          <w:sz w:val="32"/>
          <w:szCs w:val="32"/>
          <w:highlight w:val="none"/>
          <w:shd w:val="clear" w:color="FFFFFF" w:fill="D9D9D9"/>
          <w:lang w:val="en-US" w:eastAsia="zh-CN"/>
        </w:rPr>
        <w:t>2699.20</w:t>
      </w:r>
      <w:r>
        <w:rPr>
          <w:rFonts w:hint="default" w:ascii="CESI仿宋-GB2312" w:hAnsi="CESI仿宋-GB2312" w:eastAsia="CESI仿宋-GB2312" w:cs="CESI仿宋-GB2312"/>
          <w:bCs/>
          <w:color w:val="auto"/>
          <w:sz w:val="32"/>
          <w:szCs w:val="32"/>
          <w:highlight w:val="none"/>
          <w:shd w:val="clear" w:color="FFFFFF" w:fill="D9D9D9"/>
          <w:lang w:val="en-US" w:eastAsia="zh-CN"/>
        </w:rPr>
        <w:t>万元。</w:t>
      </w:r>
    </w:p>
    <w:p w14:paraId="731576A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eastAsia="宋体"/>
          <w:highlight w:val="none"/>
          <w:lang w:val="en-US" w:eastAsia="zh-CN"/>
        </w:rPr>
      </w:pPr>
      <w:r>
        <w:rPr>
          <w:rFonts w:hint="default" w:ascii="CESI仿宋-GB2312" w:hAnsi="CESI仿宋-GB2312" w:eastAsia="CESI仿宋-GB2312" w:cs="CESI仿宋-GB2312"/>
          <w:bCs/>
          <w:sz w:val="32"/>
          <w:szCs w:val="32"/>
          <w:highlight w:val="none"/>
          <w:lang w:val="en-US" w:eastAsia="zh-CN"/>
        </w:rPr>
        <w:t>202</w:t>
      </w:r>
      <w:r>
        <w:rPr>
          <w:rFonts w:hint="eastAsia" w:ascii="CESI仿宋-GB2312" w:hAnsi="CESI仿宋-GB2312" w:eastAsia="CESI仿宋-GB2312" w:cs="CESI仿宋-GB2312"/>
          <w:bCs/>
          <w:sz w:val="32"/>
          <w:szCs w:val="32"/>
          <w:highlight w:val="none"/>
          <w:lang w:val="en-US" w:eastAsia="zh-CN"/>
        </w:rPr>
        <w:t>5</w:t>
      </w:r>
      <w:r>
        <w:rPr>
          <w:rFonts w:hint="default" w:ascii="CESI仿宋-GB2312" w:hAnsi="CESI仿宋-GB2312" w:eastAsia="CESI仿宋-GB2312" w:cs="CESI仿宋-GB2312"/>
          <w:bCs/>
          <w:sz w:val="32"/>
          <w:szCs w:val="32"/>
          <w:highlight w:val="none"/>
          <w:lang w:val="en-US" w:eastAsia="zh-CN"/>
        </w:rPr>
        <w:t>年支出决算</w:t>
      </w:r>
      <w:r>
        <w:rPr>
          <w:rFonts w:hint="eastAsia" w:ascii="CESI仿宋-GB2312" w:hAnsi="CESI仿宋-GB2312" w:eastAsia="CESI仿宋-GB2312" w:cs="CESI仿宋-GB2312"/>
          <w:bCs/>
          <w:sz w:val="32"/>
          <w:szCs w:val="32"/>
          <w:highlight w:val="none"/>
          <w:lang w:val="en-US" w:eastAsia="zh-CN"/>
        </w:rPr>
        <w:t>2699.20</w:t>
      </w:r>
      <w:r>
        <w:rPr>
          <w:rFonts w:hint="default" w:ascii="CESI仿宋-GB2312" w:hAnsi="CESI仿宋-GB2312" w:eastAsia="CESI仿宋-GB2312" w:cs="CESI仿宋-GB2312"/>
          <w:bCs/>
          <w:sz w:val="32"/>
          <w:szCs w:val="32"/>
          <w:highlight w:val="none"/>
          <w:lang w:val="en-US" w:eastAsia="zh-CN"/>
        </w:rPr>
        <w:t>万元，其中：基本支出</w:t>
      </w:r>
      <w:r>
        <w:rPr>
          <w:rFonts w:hint="eastAsia" w:ascii="CESI仿宋-GB2312" w:hAnsi="CESI仿宋-GB2312" w:eastAsia="CESI仿宋-GB2312" w:cs="CESI仿宋-GB2312"/>
          <w:bCs/>
          <w:sz w:val="32"/>
          <w:szCs w:val="32"/>
          <w:highlight w:val="none"/>
          <w:lang w:val="en-US" w:eastAsia="zh-CN"/>
        </w:rPr>
        <w:t>1063.03</w:t>
      </w:r>
      <w:r>
        <w:rPr>
          <w:rFonts w:hint="default" w:ascii="CESI仿宋-GB2312" w:hAnsi="CESI仿宋-GB2312" w:eastAsia="CESI仿宋-GB2312" w:cs="CESI仿宋-GB2312"/>
          <w:bCs/>
          <w:sz w:val="32"/>
          <w:szCs w:val="32"/>
          <w:highlight w:val="none"/>
          <w:lang w:val="en-US" w:eastAsia="zh-CN"/>
        </w:rPr>
        <w:t>万元，包括人员经费</w:t>
      </w:r>
      <w:r>
        <w:rPr>
          <w:rFonts w:hint="eastAsia" w:ascii="CESI仿宋-GB2312" w:hAnsi="CESI仿宋-GB2312" w:eastAsia="CESI仿宋-GB2312" w:cs="CESI仿宋-GB2312"/>
          <w:bCs/>
          <w:sz w:val="32"/>
          <w:szCs w:val="32"/>
          <w:highlight w:val="none"/>
          <w:lang w:val="en-US" w:eastAsia="zh-CN"/>
        </w:rPr>
        <w:t>949.80</w:t>
      </w:r>
      <w:r>
        <w:rPr>
          <w:rFonts w:hint="default" w:ascii="CESI仿宋-GB2312" w:hAnsi="CESI仿宋-GB2312" w:eastAsia="CESI仿宋-GB2312" w:cs="CESI仿宋-GB2312"/>
          <w:bCs/>
          <w:sz w:val="32"/>
          <w:szCs w:val="32"/>
          <w:highlight w:val="none"/>
          <w:lang w:val="en-US" w:eastAsia="zh-CN"/>
        </w:rPr>
        <w:t>万元和公用经费</w:t>
      </w:r>
      <w:r>
        <w:rPr>
          <w:rFonts w:hint="eastAsia" w:ascii="CESI仿宋-GB2312" w:hAnsi="CESI仿宋-GB2312" w:eastAsia="CESI仿宋-GB2312" w:cs="CESI仿宋-GB2312"/>
          <w:bCs/>
          <w:sz w:val="32"/>
          <w:szCs w:val="32"/>
          <w:highlight w:val="none"/>
          <w:lang w:val="en-US" w:eastAsia="zh-CN"/>
        </w:rPr>
        <w:t>113.23</w:t>
      </w:r>
      <w:r>
        <w:rPr>
          <w:rFonts w:hint="default" w:ascii="CESI仿宋-GB2312" w:hAnsi="CESI仿宋-GB2312" w:eastAsia="CESI仿宋-GB2312" w:cs="CESI仿宋-GB2312"/>
          <w:bCs/>
          <w:sz w:val="32"/>
          <w:szCs w:val="32"/>
          <w:highlight w:val="none"/>
          <w:lang w:val="en-US" w:eastAsia="zh-CN"/>
        </w:rPr>
        <w:t>万元；项目支出</w:t>
      </w:r>
      <w:r>
        <w:rPr>
          <w:rFonts w:hint="eastAsia" w:ascii="CESI仿宋-GB2312" w:hAnsi="CESI仿宋-GB2312" w:eastAsia="CESI仿宋-GB2312" w:cs="CESI仿宋-GB2312"/>
          <w:bCs/>
          <w:sz w:val="32"/>
          <w:szCs w:val="32"/>
          <w:highlight w:val="none"/>
          <w:lang w:val="en-US" w:eastAsia="zh-CN"/>
        </w:rPr>
        <w:t>1636.18</w:t>
      </w:r>
      <w:r>
        <w:rPr>
          <w:rFonts w:hint="default" w:ascii="CESI仿宋-GB2312" w:hAnsi="CESI仿宋-GB2312" w:eastAsia="CESI仿宋-GB2312" w:cs="CESI仿宋-GB2312"/>
          <w:bCs/>
          <w:sz w:val="32"/>
          <w:szCs w:val="32"/>
          <w:highlight w:val="none"/>
          <w:lang w:val="en-US" w:eastAsia="zh-CN"/>
        </w:rPr>
        <w:t>万元。</w:t>
      </w:r>
    </w:p>
    <w:p w14:paraId="59DD00EA">
      <w:pPr>
        <w:adjustRightInd w:val="0"/>
        <w:snapToGrid w:val="0"/>
        <w:spacing w:line="560" w:lineRule="exact"/>
        <w:ind w:firstLine="640" w:firstLineChars="200"/>
        <w:rPr>
          <w:rFonts w:ascii="楷体" w:hAnsi="楷体" w:eastAsia="楷体" w:cs="楷体_GB2312"/>
          <w:bCs/>
          <w:sz w:val="32"/>
          <w:szCs w:val="32"/>
          <w:highlight w:val="none"/>
        </w:rPr>
      </w:pPr>
      <w:r>
        <w:rPr>
          <w:rFonts w:hint="eastAsia" w:ascii="楷体" w:hAnsi="楷体" w:eastAsia="楷体" w:cs="楷体_GB2312"/>
          <w:bCs/>
          <w:sz w:val="32"/>
          <w:szCs w:val="32"/>
          <w:highlight w:val="none"/>
        </w:rPr>
        <w:t>（三）部门整体支出绩效目标、指标</w:t>
      </w:r>
    </w:p>
    <w:p w14:paraId="09AC2F0B">
      <w:pPr>
        <w:adjustRightInd w:val="0"/>
        <w:snapToGrid w:val="0"/>
        <w:spacing w:line="560" w:lineRule="exact"/>
        <w:ind w:firstLine="643" w:firstLineChars="200"/>
        <w:rPr>
          <w:rFonts w:hint="eastAsia" w:ascii="仿宋" w:hAnsi="仿宋" w:eastAsia="仿宋"/>
          <w:b/>
          <w:bCs/>
          <w:sz w:val="32"/>
          <w:szCs w:val="32"/>
          <w:highlight w:val="none"/>
        </w:rPr>
      </w:pPr>
      <w:r>
        <w:rPr>
          <w:rFonts w:hint="eastAsia" w:ascii="仿宋" w:hAnsi="仿宋" w:eastAsia="仿宋"/>
          <w:b/>
          <w:bCs/>
          <w:sz w:val="32"/>
          <w:szCs w:val="32"/>
          <w:highlight w:val="none"/>
          <w:lang w:val="en-US" w:eastAsia="zh-CN"/>
        </w:rPr>
        <w:t>1.总体</w:t>
      </w:r>
      <w:r>
        <w:rPr>
          <w:rFonts w:hint="eastAsia" w:ascii="仿宋" w:hAnsi="仿宋" w:eastAsia="仿宋"/>
          <w:b/>
          <w:bCs/>
          <w:sz w:val="32"/>
          <w:szCs w:val="32"/>
          <w:highlight w:val="none"/>
        </w:rPr>
        <w:t>绩效目标</w:t>
      </w:r>
    </w:p>
    <w:p w14:paraId="77C752E7">
      <w:pPr>
        <w:pStyle w:val="7"/>
        <w:rPr>
          <w:rFonts w:hint="eastAsia" w:ascii="CESI仿宋-GB2312" w:hAnsi="CESI仿宋-GB2312" w:eastAsia="CESI仿宋-GB2312" w:cs="CESI仿宋-GB2312"/>
          <w:sz w:val="32"/>
          <w:szCs w:val="32"/>
          <w:highlight w:val="none"/>
        </w:rPr>
      </w:pPr>
      <w:r>
        <w:rPr>
          <w:rFonts w:hint="eastAsia" w:ascii="CESI仿宋-GB2312" w:hAnsi="CESI仿宋-GB2312" w:eastAsia="CESI仿宋-GB2312" w:cs="CESI仿宋-GB2312"/>
          <w:sz w:val="32"/>
          <w:szCs w:val="32"/>
          <w:highlight w:val="none"/>
        </w:rPr>
        <w:t>2025年，我办紧扣“防风险、强监管、促发展”工作主线，继续统筹推进服务实体经济、防控金融风险、强化地方金融监管等工作，凝聚全市金融力量，完善扶持政策，优化金融资源配置，激发金融机构主体活力，推动金融服务提质、监管提效、产业提级，解决发展不平衡不充分问题，为推动高质量发展提供更加坚实有力的金融支撑，助力加快建设现代化国际化美丽省会城市。</w:t>
      </w:r>
    </w:p>
    <w:p w14:paraId="3A2A2CF9">
      <w:pPr>
        <w:adjustRightInd w:val="0"/>
        <w:snapToGrid w:val="0"/>
        <w:spacing w:line="560" w:lineRule="exact"/>
        <w:ind w:firstLine="643" w:firstLineChars="200"/>
        <w:rPr>
          <w:rFonts w:hint="eastAsia" w:ascii="仿宋" w:hAnsi="仿宋" w:eastAsia="仿宋"/>
          <w:b/>
          <w:bCs/>
          <w:sz w:val="32"/>
          <w:szCs w:val="32"/>
          <w:highlight w:val="none"/>
          <w:lang w:eastAsia="zh-CN"/>
        </w:rPr>
      </w:pPr>
      <w:r>
        <w:rPr>
          <w:rFonts w:hint="eastAsia" w:ascii="仿宋" w:hAnsi="仿宋" w:eastAsia="仿宋"/>
          <w:b/>
          <w:bCs/>
          <w:sz w:val="32"/>
          <w:szCs w:val="32"/>
          <w:highlight w:val="none"/>
          <w:lang w:val="en-US" w:eastAsia="zh-CN"/>
        </w:rPr>
        <w:t>2.</w:t>
      </w:r>
      <w:r>
        <w:rPr>
          <w:rFonts w:hint="eastAsia" w:ascii="仿宋" w:hAnsi="仿宋" w:eastAsia="仿宋"/>
          <w:b/>
          <w:bCs/>
          <w:sz w:val="32"/>
          <w:szCs w:val="32"/>
          <w:highlight w:val="none"/>
          <w:lang w:eastAsia="zh-CN"/>
        </w:rPr>
        <w:t>分项绩效目标</w:t>
      </w:r>
    </w:p>
    <w:p w14:paraId="77699D43">
      <w:pPr>
        <w:pStyle w:val="8"/>
        <w:rPr>
          <w:rFonts w:hint="eastAsia" w:ascii="CESI仿宋-GB2312" w:hAnsi="CESI仿宋-GB2312" w:eastAsia="CESI仿宋-GB2312" w:cs="CESI仿宋-GB2312"/>
          <w:sz w:val="32"/>
          <w:szCs w:val="32"/>
          <w:highlight w:val="none"/>
        </w:rPr>
      </w:pPr>
      <w:r>
        <w:rPr>
          <w:rFonts w:hint="eastAsia" w:ascii="CESI仿宋-GB2312" w:hAnsi="CESI仿宋-GB2312" w:eastAsia="CESI仿宋-GB2312" w:cs="CESI仿宋-GB2312"/>
          <w:sz w:val="32"/>
          <w:szCs w:val="32"/>
          <w:highlight w:val="none"/>
        </w:rPr>
        <w:t>1.推进金融服务实体经济</w:t>
      </w:r>
    </w:p>
    <w:p w14:paraId="36FBB8F7">
      <w:pPr>
        <w:pStyle w:val="8"/>
        <w:rPr>
          <w:rFonts w:hint="eastAsia" w:ascii="CESI仿宋-GB2312" w:hAnsi="CESI仿宋-GB2312" w:eastAsia="CESI仿宋-GB2312" w:cs="CESI仿宋-GB2312"/>
          <w:sz w:val="32"/>
          <w:szCs w:val="32"/>
          <w:highlight w:val="none"/>
        </w:rPr>
      </w:pPr>
      <w:r>
        <w:rPr>
          <w:rFonts w:hint="eastAsia" w:ascii="CESI仿宋-GB2312" w:hAnsi="CESI仿宋-GB2312" w:eastAsia="CESI仿宋-GB2312" w:cs="CESI仿宋-GB2312"/>
          <w:sz w:val="32"/>
          <w:szCs w:val="32"/>
          <w:highlight w:val="none"/>
        </w:rPr>
        <w:t>绩效目标：深入贯彻落实各项政策措施，通过落实融资担保等奖补政策，引导金融机构扩大信贷投放，强化金融服务实体经济功能。</w:t>
      </w:r>
    </w:p>
    <w:p w14:paraId="0F541F51">
      <w:pPr>
        <w:pStyle w:val="8"/>
        <w:rPr>
          <w:rFonts w:hint="eastAsia" w:ascii="CESI仿宋-GB2312" w:hAnsi="CESI仿宋-GB2312" w:eastAsia="CESI仿宋-GB2312" w:cs="CESI仿宋-GB2312"/>
          <w:sz w:val="32"/>
          <w:szCs w:val="32"/>
          <w:highlight w:val="none"/>
        </w:rPr>
      </w:pPr>
      <w:r>
        <w:rPr>
          <w:rFonts w:hint="eastAsia" w:ascii="CESI仿宋-GB2312" w:hAnsi="CESI仿宋-GB2312" w:eastAsia="CESI仿宋-GB2312" w:cs="CESI仿宋-GB2312"/>
          <w:sz w:val="32"/>
          <w:szCs w:val="32"/>
          <w:highlight w:val="none"/>
        </w:rPr>
        <w:t>绩效指标：奖补企业数量不少于3家，新增服务小微企业和“三农”主体融资担保户数不少于50户。</w:t>
      </w:r>
    </w:p>
    <w:p w14:paraId="0B5C06FB">
      <w:pPr>
        <w:pStyle w:val="8"/>
        <w:rPr>
          <w:rFonts w:hint="eastAsia" w:ascii="CESI仿宋-GB2312" w:hAnsi="CESI仿宋-GB2312" w:eastAsia="CESI仿宋-GB2312" w:cs="CESI仿宋-GB2312"/>
          <w:sz w:val="32"/>
          <w:szCs w:val="32"/>
          <w:highlight w:val="none"/>
        </w:rPr>
      </w:pPr>
      <w:r>
        <w:rPr>
          <w:rFonts w:hint="eastAsia" w:ascii="CESI仿宋-GB2312" w:hAnsi="CESI仿宋-GB2312" w:eastAsia="CESI仿宋-GB2312" w:cs="CESI仿宋-GB2312"/>
          <w:sz w:val="32"/>
          <w:szCs w:val="32"/>
          <w:highlight w:val="none"/>
        </w:rPr>
        <w:t>2.加强地方金融监管工作</w:t>
      </w:r>
    </w:p>
    <w:p w14:paraId="57268C12">
      <w:pPr>
        <w:pStyle w:val="8"/>
        <w:rPr>
          <w:rFonts w:hint="eastAsia" w:ascii="CESI仿宋-GB2312" w:hAnsi="CESI仿宋-GB2312" w:eastAsia="CESI仿宋-GB2312" w:cs="CESI仿宋-GB2312"/>
          <w:sz w:val="32"/>
          <w:szCs w:val="32"/>
          <w:highlight w:val="none"/>
        </w:rPr>
      </w:pPr>
      <w:r>
        <w:rPr>
          <w:rFonts w:hint="eastAsia" w:ascii="CESI仿宋-GB2312" w:hAnsi="CESI仿宋-GB2312" w:eastAsia="CESI仿宋-GB2312" w:cs="CESI仿宋-GB2312"/>
          <w:sz w:val="32"/>
          <w:szCs w:val="32"/>
          <w:highlight w:val="none"/>
        </w:rPr>
        <w:t>绩效目标：进一步做好典当行、小额贷款公司等地方金融组织的年审工作，积极开展 “双随机、一公开”现场检查，引导督促地方金融组织合法合规经营；规范地方金融组织行业发展，有序清理不合规企业。</w:t>
      </w:r>
    </w:p>
    <w:p w14:paraId="6EF92BE6">
      <w:pPr>
        <w:pStyle w:val="8"/>
        <w:rPr>
          <w:rFonts w:hint="eastAsia" w:ascii="CESI仿宋-GB2312" w:hAnsi="CESI仿宋-GB2312" w:eastAsia="CESI仿宋-GB2312" w:cs="CESI仿宋-GB2312"/>
          <w:sz w:val="32"/>
          <w:szCs w:val="32"/>
          <w:highlight w:val="none"/>
        </w:rPr>
      </w:pPr>
      <w:r>
        <w:rPr>
          <w:rFonts w:hint="eastAsia" w:ascii="CESI仿宋-GB2312" w:hAnsi="CESI仿宋-GB2312" w:eastAsia="CESI仿宋-GB2312" w:cs="CESI仿宋-GB2312"/>
          <w:sz w:val="32"/>
          <w:szCs w:val="32"/>
          <w:highlight w:val="none"/>
        </w:rPr>
        <w:t>绩效指标： 按照“双随机、一公开”行政执法检查要求，审计检查融资担保机构、融资租赁公司、典当行、小额贷款公司不少于20家，有序清理不合规企业不少于2家。</w:t>
      </w:r>
    </w:p>
    <w:p w14:paraId="0BDC73C4">
      <w:pPr>
        <w:pStyle w:val="8"/>
        <w:rPr>
          <w:rFonts w:hint="eastAsia" w:ascii="CESI仿宋-GB2312" w:hAnsi="CESI仿宋-GB2312" w:eastAsia="CESI仿宋-GB2312" w:cs="CESI仿宋-GB2312"/>
          <w:sz w:val="32"/>
          <w:szCs w:val="32"/>
          <w:highlight w:val="none"/>
        </w:rPr>
      </w:pPr>
      <w:r>
        <w:rPr>
          <w:rFonts w:hint="eastAsia" w:ascii="CESI仿宋-GB2312" w:hAnsi="CESI仿宋-GB2312" w:eastAsia="CESI仿宋-GB2312" w:cs="CESI仿宋-GB2312"/>
          <w:sz w:val="32"/>
          <w:szCs w:val="32"/>
          <w:highlight w:val="none"/>
        </w:rPr>
        <w:t>3.加大金融风险防范化解力度</w:t>
      </w:r>
    </w:p>
    <w:p w14:paraId="146887B4">
      <w:pPr>
        <w:pStyle w:val="8"/>
        <w:rPr>
          <w:rFonts w:hint="eastAsia" w:ascii="CESI仿宋-GB2312" w:hAnsi="CESI仿宋-GB2312" w:eastAsia="CESI仿宋-GB2312" w:cs="CESI仿宋-GB2312"/>
          <w:sz w:val="32"/>
          <w:szCs w:val="32"/>
          <w:highlight w:val="none"/>
        </w:rPr>
      </w:pPr>
      <w:r>
        <w:rPr>
          <w:rFonts w:hint="eastAsia" w:ascii="CESI仿宋-GB2312" w:hAnsi="CESI仿宋-GB2312" w:eastAsia="CESI仿宋-GB2312" w:cs="CESI仿宋-GB2312"/>
          <w:sz w:val="32"/>
          <w:szCs w:val="32"/>
          <w:highlight w:val="none"/>
        </w:rPr>
        <w:t>绩效目标：做好防范非法集资宣传工作，营造抵制非法集资的舆论氛围，加大金融风险防范化解力度，做好非法集资案件处置、东旭集团风险化解、其他金融风险及非法集资案件化解工作，及时有效处置金融风险，维护全市金融稳定。同时，继续做好12346防范非法金融活动专线、防范非法集资预警平台等相关工作。</w:t>
      </w:r>
    </w:p>
    <w:p w14:paraId="5F644BD5">
      <w:pPr>
        <w:pStyle w:val="8"/>
        <w:rPr>
          <w:rFonts w:hint="eastAsia" w:ascii="CESI仿宋-GB2312" w:hAnsi="CESI仿宋-GB2312" w:eastAsia="CESI仿宋-GB2312" w:cs="CESI仿宋-GB2312"/>
          <w:sz w:val="32"/>
          <w:szCs w:val="32"/>
          <w:highlight w:val="none"/>
        </w:rPr>
      </w:pPr>
      <w:r>
        <w:rPr>
          <w:rFonts w:hint="eastAsia" w:ascii="CESI仿宋-GB2312" w:hAnsi="CESI仿宋-GB2312" w:eastAsia="CESI仿宋-GB2312" w:cs="CESI仿宋-GB2312"/>
          <w:sz w:val="32"/>
          <w:szCs w:val="32"/>
          <w:highlight w:val="none"/>
        </w:rPr>
        <w:t>绩效指标：组织开展集中宣传活动不少于1次，公交专车、地铁宣传车次不少于27车次。</w:t>
      </w:r>
    </w:p>
    <w:p w14:paraId="45E789F0">
      <w:pPr>
        <w:pStyle w:val="8"/>
        <w:rPr>
          <w:rFonts w:hint="eastAsia" w:ascii="CESI仿宋-GB2312" w:hAnsi="CESI仿宋-GB2312" w:eastAsia="CESI仿宋-GB2312" w:cs="CESI仿宋-GB2312"/>
          <w:sz w:val="32"/>
          <w:szCs w:val="32"/>
          <w:highlight w:val="none"/>
        </w:rPr>
      </w:pPr>
      <w:r>
        <w:rPr>
          <w:rFonts w:hint="eastAsia" w:ascii="CESI仿宋-GB2312" w:hAnsi="CESI仿宋-GB2312" w:eastAsia="CESI仿宋-GB2312" w:cs="CESI仿宋-GB2312"/>
          <w:sz w:val="32"/>
          <w:szCs w:val="32"/>
          <w:highlight w:val="none"/>
        </w:rPr>
        <w:t>4.加大金融宣传教育力度</w:t>
      </w:r>
    </w:p>
    <w:p w14:paraId="29279F00">
      <w:pPr>
        <w:pStyle w:val="8"/>
        <w:rPr>
          <w:rFonts w:hint="eastAsia" w:ascii="CESI仿宋-GB2312" w:hAnsi="CESI仿宋-GB2312" w:eastAsia="CESI仿宋-GB2312" w:cs="CESI仿宋-GB2312"/>
          <w:sz w:val="32"/>
          <w:szCs w:val="32"/>
          <w:highlight w:val="none"/>
        </w:rPr>
      </w:pPr>
      <w:r>
        <w:rPr>
          <w:rFonts w:hint="eastAsia" w:ascii="CESI仿宋-GB2312" w:hAnsi="CESI仿宋-GB2312" w:eastAsia="CESI仿宋-GB2312" w:cs="CESI仿宋-GB2312"/>
          <w:sz w:val="32"/>
          <w:szCs w:val="32"/>
          <w:highlight w:val="none"/>
        </w:rPr>
        <w:t>绩效目标：注重与新闻媒体的沟通协作，在市电视台开设了财经类节目《金融界》，形成了多媒体矩阵，积极宣传金融工作，普及金融知识，进一步提升广大市民金融素养。</w:t>
      </w:r>
    </w:p>
    <w:p w14:paraId="032AB2B8">
      <w:pPr>
        <w:pStyle w:val="8"/>
        <w:rPr>
          <w:rFonts w:hint="eastAsia" w:ascii="CESI仿宋-GB2312" w:hAnsi="CESI仿宋-GB2312" w:eastAsia="CESI仿宋-GB2312" w:cs="CESI仿宋-GB2312"/>
          <w:sz w:val="32"/>
          <w:szCs w:val="32"/>
          <w:highlight w:val="none"/>
        </w:rPr>
      </w:pPr>
      <w:r>
        <w:rPr>
          <w:rFonts w:hint="eastAsia" w:ascii="CESI仿宋-GB2312" w:hAnsi="CESI仿宋-GB2312" w:eastAsia="CESI仿宋-GB2312" w:cs="CESI仿宋-GB2312"/>
          <w:sz w:val="32"/>
          <w:szCs w:val="32"/>
          <w:highlight w:val="none"/>
        </w:rPr>
        <w:t>绩效指标：打造成为石家庄电视台品牌节目，实现金融类节目收视率全市前三；按照每周播放三次，节目投放时间不少于120天。</w:t>
      </w:r>
    </w:p>
    <w:p w14:paraId="66173E90">
      <w:pPr>
        <w:pStyle w:val="2"/>
        <w:rPr>
          <w:rFonts w:hint="eastAsia"/>
          <w:highlight w:val="none"/>
        </w:rPr>
      </w:pPr>
    </w:p>
    <w:p w14:paraId="043A12A7">
      <w:pPr>
        <w:adjustRightInd w:val="0"/>
        <w:snapToGrid w:val="0"/>
        <w:spacing w:line="560" w:lineRule="exact"/>
        <w:ind w:firstLine="640" w:firstLineChars="200"/>
        <w:rPr>
          <w:rFonts w:ascii="黑体" w:hAnsi="黑体" w:eastAsia="黑体"/>
          <w:sz w:val="32"/>
          <w:szCs w:val="32"/>
          <w:highlight w:val="none"/>
        </w:rPr>
      </w:pPr>
      <w:r>
        <w:rPr>
          <w:rFonts w:hint="eastAsia" w:ascii="黑体" w:hAnsi="黑体" w:eastAsia="黑体"/>
          <w:sz w:val="32"/>
          <w:szCs w:val="32"/>
          <w:highlight w:val="none"/>
        </w:rPr>
        <w:t>二、自评工作开展情况</w:t>
      </w:r>
    </w:p>
    <w:p w14:paraId="3151C450">
      <w:pPr>
        <w:spacing w:line="560" w:lineRule="exact"/>
        <w:rPr>
          <w:rFonts w:ascii="楷体" w:hAnsi="楷体" w:eastAsia="楷体" w:cs="楷体_GB2312"/>
          <w:sz w:val="32"/>
          <w:szCs w:val="32"/>
          <w:highlight w:val="none"/>
        </w:rPr>
      </w:pPr>
      <w:r>
        <w:rPr>
          <w:rFonts w:hint="eastAsia" w:ascii="仿宋" w:hAnsi="仿宋" w:eastAsia="仿宋" w:cs="楷体_GB2312"/>
          <w:b/>
          <w:bCs/>
          <w:sz w:val="32"/>
          <w:szCs w:val="32"/>
          <w:highlight w:val="none"/>
        </w:rPr>
        <w:t xml:space="preserve">    </w:t>
      </w:r>
      <w:r>
        <w:rPr>
          <w:rFonts w:hint="eastAsia" w:ascii="楷体" w:hAnsi="楷体" w:eastAsia="楷体" w:cs="楷体_GB2312"/>
          <w:bCs/>
          <w:sz w:val="32"/>
          <w:szCs w:val="32"/>
          <w:highlight w:val="none"/>
        </w:rPr>
        <w:t>（一）自评的组织工作</w:t>
      </w:r>
    </w:p>
    <w:p w14:paraId="5D7778B6">
      <w:pPr>
        <w:spacing w:line="560" w:lineRule="exact"/>
        <w:rPr>
          <w:rFonts w:hint="eastAsia" w:ascii="仿宋" w:hAnsi="仿宋" w:eastAsia="仿宋"/>
          <w:sz w:val="32"/>
          <w:szCs w:val="32"/>
          <w:highlight w:val="none"/>
        </w:rPr>
      </w:pPr>
      <w:r>
        <w:rPr>
          <w:rFonts w:hint="eastAsia" w:ascii="仿宋" w:hAnsi="仿宋" w:eastAsia="仿宋"/>
          <w:sz w:val="32"/>
          <w:szCs w:val="32"/>
          <w:highlight w:val="none"/>
        </w:rPr>
        <w:t xml:space="preserve">     </w:t>
      </w:r>
      <w:r>
        <w:rPr>
          <w:rFonts w:hint="eastAsia" w:ascii="仿宋" w:hAnsi="仿宋" w:eastAsia="仿宋"/>
          <w:sz w:val="32"/>
          <w:szCs w:val="32"/>
          <w:highlight w:val="none"/>
          <w:lang w:val="en-US" w:eastAsia="zh-CN"/>
        </w:rPr>
        <w:t>1.</w:t>
      </w:r>
      <w:r>
        <w:rPr>
          <w:rFonts w:hint="eastAsia" w:ascii="仿宋" w:hAnsi="仿宋" w:eastAsia="仿宋"/>
          <w:sz w:val="32"/>
          <w:szCs w:val="32"/>
          <w:highlight w:val="none"/>
        </w:rPr>
        <w:t>评价资料收集</w:t>
      </w:r>
    </w:p>
    <w:p w14:paraId="511FE1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highlight w:val="none"/>
        </w:rPr>
      </w:pPr>
      <w:r>
        <w:rPr>
          <w:rFonts w:hint="eastAsia" w:ascii="仿宋" w:hAnsi="仿宋" w:eastAsia="仿宋"/>
          <w:sz w:val="32"/>
          <w:szCs w:val="32"/>
          <w:highlight w:val="none"/>
        </w:rPr>
        <w:t>我</w:t>
      </w:r>
      <w:r>
        <w:rPr>
          <w:rFonts w:hint="eastAsia" w:ascii="仿宋" w:hAnsi="仿宋" w:eastAsia="仿宋"/>
          <w:sz w:val="32"/>
          <w:szCs w:val="32"/>
          <w:highlight w:val="none"/>
          <w:lang w:eastAsia="zh-CN"/>
        </w:rPr>
        <w:t>办</w:t>
      </w:r>
      <w:r>
        <w:rPr>
          <w:rFonts w:hint="eastAsia" w:ascii="仿宋" w:hAnsi="仿宋" w:eastAsia="仿宋"/>
          <w:sz w:val="32"/>
          <w:szCs w:val="32"/>
          <w:highlight w:val="none"/>
        </w:rPr>
        <w:t>为推进本年度预算绩效评价工作，成立绩效工作组，</w:t>
      </w:r>
      <w:r>
        <w:rPr>
          <w:rFonts w:hint="eastAsia" w:ascii="仿宋" w:hAnsi="仿宋" w:eastAsia="仿宋"/>
          <w:sz w:val="32"/>
          <w:szCs w:val="32"/>
          <w:highlight w:val="none"/>
          <w:lang w:val="en-US" w:eastAsia="zh-CN"/>
        </w:rPr>
        <w:t>分管财务</w:t>
      </w:r>
      <w:r>
        <w:rPr>
          <w:rFonts w:hint="eastAsia" w:ascii="仿宋" w:hAnsi="仿宋" w:eastAsia="仿宋"/>
          <w:sz w:val="32"/>
          <w:szCs w:val="32"/>
          <w:highlight w:val="none"/>
        </w:rPr>
        <w:t>副主任任组长，</w:t>
      </w:r>
      <w:r>
        <w:rPr>
          <w:rFonts w:hint="eastAsia" w:ascii="仿宋" w:hAnsi="仿宋" w:eastAsia="仿宋"/>
          <w:sz w:val="32"/>
          <w:szCs w:val="32"/>
          <w:highlight w:val="none"/>
          <w:lang w:val="en-US" w:eastAsia="zh-CN"/>
        </w:rPr>
        <w:t>各科室科长及业务工作人员</w:t>
      </w:r>
      <w:r>
        <w:rPr>
          <w:rFonts w:hint="eastAsia" w:ascii="仿宋" w:hAnsi="仿宋" w:eastAsia="仿宋"/>
          <w:sz w:val="32"/>
          <w:szCs w:val="32"/>
          <w:highlight w:val="none"/>
        </w:rPr>
        <w:t>为成员，负责绩效评价的组织管理和实施工作。按照通知要求，评价工作组制定自评工作方案，明确评价内容、评价程序及时间安排。组织相关人员召开专题会议，传达自评价工作要求和部署各项工作安排。全面收集评价所需基础信息资料并对资料进行分类整理、审查和分析自评的方法和过程。</w:t>
      </w:r>
    </w:p>
    <w:p w14:paraId="65DC4A06">
      <w:pPr>
        <w:spacing w:line="560" w:lineRule="exact"/>
        <w:ind w:firstLine="640" w:firstLineChars="200"/>
        <w:rPr>
          <w:rFonts w:hint="eastAsia" w:ascii="仿宋" w:hAnsi="仿宋" w:eastAsia="仿宋"/>
          <w:sz w:val="32"/>
          <w:szCs w:val="32"/>
          <w:highlight w:val="none"/>
        </w:rPr>
      </w:pPr>
      <w:r>
        <w:rPr>
          <w:rFonts w:hint="eastAsia" w:ascii="仿宋" w:hAnsi="仿宋" w:eastAsia="仿宋"/>
          <w:sz w:val="32"/>
          <w:szCs w:val="32"/>
          <w:highlight w:val="none"/>
          <w:lang w:val="en-US" w:eastAsia="zh-CN"/>
        </w:rPr>
        <w:t>2.</w:t>
      </w:r>
      <w:r>
        <w:rPr>
          <w:rFonts w:hint="eastAsia" w:ascii="仿宋" w:hAnsi="仿宋" w:eastAsia="仿宋"/>
          <w:sz w:val="32"/>
          <w:szCs w:val="32"/>
          <w:highlight w:val="none"/>
        </w:rPr>
        <w:t>评价过程</w:t>
      </w:r>
    </w:p>
    <w:p w14:paraId="1DAFD53D">
      <w:pPr>
        <w:spacing w:line="560" w:lineRule="exact"/>
        <w:ind w:firstLine="640" w:firstLineChars="200"/>
        <w:rPr>
          <w:rFonts w:hint="eastAsia" w:ascii="仿宋" w:hAnsi="仿宋" w:eastAsia="仿宋"/>
          <w:sz w:val="32"/>
          <w:szCs w:val="32"/>
          <w:highlight w:val="none"/>
        </w:rPr>
      </w:pPr>
      <w:r>
        <w:rPr>
          <w:rFonts w:hint="eastAsia" w:ascii="仿宋" w:hAnsi="仿宋" w:eastAsia="仿宋"/>
          <w:sz w:val="32"/>
          <w:szCs w:val="32"/>
          <w:highlight w:val="none"/>
        </w:rPr>
        <w:t>按照绩效评价工作要求，明确绩效评价的内容和范围，初步制定绩效评价工作方案。对我办各预算项目单独进行打分自评，在资料搜集、信息核实、现场调研、访谈沟通等工作的基础上，挖掘绩效数据，拟定项目产出、项目执行、项目效益等指标体系，准确地计量和评判各项目实施后产生的社会效益和可持续影响，最终形成评价结论。</w:t>
      </w:r>
      <w:r>
        <w:rPr>
          <w:rFonts w:hint="eastAsia" w:ascii="仿宋" w:hAnsi="仿宋" w:eastAsia="仿宋"/>
          <w:sz w:val="32"/>
          <w:szCs w:val="32"/>
          <w:highlight w:val="none"/>
          <w:lang w:eastAsia="zh-CN"/>
        </w:rPr>
        <w:t>综合科</w:t>
      </w:r>
      <w:r>
        <w:rPr>
          <w:rFonts w:hint="eastAsia" w:ascii="仿宋" w:hAnsi="仿宋" w:eastAsia="仿宋"/>
          <w:sz w:val="32"/>
          <w:szCs w:val="32"/>
          <w:highlight w:val="none"/>
        </w:rPr>
        <w:t>对绩效的相关资料进行收集、梳理。一是通过分析、核实，确保所收集数据、资料的真实、可靠。二是逐一梳理各项目文件内容，形成资料清单，并对存在的问题及时进行标注。三是与项目负责人沟通，直接对照资料清单进行核实，随时处理标注的问题，确保已提交及需补充的资料能准确反映项目绩效目标实现情况。</w:t>
      </w:r>
      <w:r>
        <w:rPr>
          <w:rFonts w:hint="eastAsia" w:ascii="仿宋" w:hAnsi="仿宋" w:eastAsia="仿宋"/>
          <w:sz w:val="32"/>
          <w:szCs w:val="32"/>
          <w:highlight w:val="none"/>
          <w:lang w:eastAsia="zh-CN"/>
        </w:rPr>
        <w:t>综合科</w:t>
      </w:r>
      <w:r>
        <w:rPr>
          <w:rFonts w:hint="eastAsia" w:ascii="仿宋" w:hAnsi="仿宋" w:eastAsia="仿宋"/>
          <w:sz w:val="32"/>
          <w:szCs w:val="32"/>
          <w:highlight w:val="none"/>
        </w:rPr>
        <w:t>在对收集到的项目数据、资料进行核对、比较、计算的基础上，对比年初项目绩效目标，形成评价结论；根据结论，撰写项目绩效自评表及重点项目绩效评价报告，并提交领导小组审定。</w:t>
      </w:r>
    </w:p>
    <w:p w14:paraId="0059C0A7">
      <w:pPr>
        <w:spacing w:line="560" w:lineRule="exact"/>
        <w:ind w:firstLine="640" w:firstLineChars="200"/>
        <w:rPr>
          <w:rFonts w:hint="eastAsia" w:ascii="仿宋" w:hAnsi="仿宋" w:eastAsia="仿宋"/>
          <w:sz w:val="32"/>
          <w:szCs w:val="32"/>
          <w:highlight w:val="none"/>
        </w:rPr>
      </w:pPr>
      <w:r>
        <w:rPr>
          <w:rFonts w:hint="eastAsia" w:ascii="仿宋" w:hAnsi="仿宋" w:eastAsia="仿宋"/>
          <w:sz w:val="32"/>
          <w:szCs w:val="32"/>
          <w:highlight w:val="none"/>
          <w:lang w:val="en-US" w:eastAsia="zh-CN"/>
        </w:rPr>
        <w:t>3.</w:t>
      </w:r>
      <w:r>
        <w:rPr>
          <w:rFonts w:hint="eastAsia" w:ascii="仿宋" w:hAnsi="仿宋" w:eastAsia="仿宋"/>
          <w:sz w:val="32"/>
          <w:szCs w:val="32"/>
          <w:highlight w:val="none"/>
        </w:rPr>
        <w:t>评价工作管理</w:t>
      </w:r>
    </w:p>
    <w:p w14:paraId="349D8322">
      <w:pPr>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本次绩效自评结合我</w:t>
      </w:r>
      <w:r>
        <w:rPr>
          <w:rFonts w:hint="eastAsia" w:ascii="仿宋" w:hAnsi="仿宋" w:eastAsia="仿宋"/>
          <w:sz w:val="32"/>
          <w:szCs w:val="32"/>
          <w:highlight w:val="none"/>
          <w:lang w:eastAsia="zh-CN"/>
        </w:rPr>
        <w:t>办</w:t>
      </w:r>
      <w:r>
        <w:rPr>
          <w:rFonts w:hint="eastAsia" w:ascii="仿宋" w:hAnsi="仿宋" w:eastAsia="仿宋"/>
          <w:sz w:val="32"/>
          <w:szCs w:val="32"/>
          <w:highlight w:val="none"/>
        </w:rPr>
        <w:t>202</w:t>
      </w:r>
      <w:r>
        <w:rPr>
          <w:rFonts w:hint="eastAsia" w:ascii="仿宋" w:hAnsi="仿宋" w:eastAsia="仿宋"/>
          <w:sz w:val="32"/>
          <w:szCs w:val="32"/>
          <w:highlight w:val="none"/>
          <w:lang w:val="en-US" w:eastAsia="zh-CN"/>
        </w:rPr>
        <w:t>5</w:t>
      </w:r>
      <w:r>
        <w:rPr>
          <w:rFonts w:hint="eastAsia" w:ascii="仿宋" w:hAnsi="仿宋" w:eastAsia="仿宋"/>
          <w:sz w:val="32"/>
          <w:szCs w:val="32"/>
          <w:highlight w:val="none"/>
        </w:rPr>
        <w:t>年度部门整体支出实际情况，运用科学、规范、合理的评价方法，全面、真实、客观地对我</w:t>
      </w:r>
      <w:r>
        <w:rPr>
          <w:rFonts w:hint="eastAsia" w:ascii="仿宋" w:hAnsi="仿宋" w:eastAsia="仿宋"/>
          <w:sz w:val="32"/>
          <w:szCs w:val="32"/>
          <w:highlight w:val="none"/>
          <w:lang w:eastAsia="zh-CN"/>
        </w:rPr>
        <w:t>办</w:t>
      </w:r>
      <w:r>
        <w:rPr>
          <w:rFonts w:hint="eastAsia" w:ascii="仿宋" w:hAnsi="仿宋" w:eastAsia="仿宋"/>
          <w:sz w:val="32"/>
          <w:szCs w:val="32"/>
          <w:highlight w:val="none"/>
          <w:lang w:val="en-US" w:eastAsia="zh-CN"/>
        </w:rPr>
        <w:t>2025</w:t>
      </w:r>
      <w:r>
        <w:rPr>
          <w:rFonts w:hint="eastAsia" w:ascii="仿宋" w:hAnsi="仿宋" w:eastAsia="仿宋"/>
          <w:sz w:val="32"/>
          <w:szCs w:val="32"/>
          <w:highlight w:val="none"/>
        </w:rPr>
        <w:t>年度一般公共预算财政拨款资金支出情况、相关制度健全性、项目完成情况及部门履职效果等内容进行综合评价</w:t>
      </w:r>
      <w:r>
        <w:rPr>
          <w:rFonts w:hint="eastAsia" w:ascii="仿宋" w:hAnsi="仿宋" w:eastAsia="仿宋"/>
          <w:sz w:val="32"/>
          <w:szCs w:val="32"/>
          <w:highlight w:val="none"/>
          <w:lang w:eastAsia="zh-CN"/>
        </w:rPr>
        <w:t>，</w:t>
      </w:r>
      <w:r>
        <w:rPr>
          <w:rFonts w:hint="eastAsia" w:ascii="仿宋" w:hAnsi="仿宋" w:eastAsia="仿宋"/>
          <w:sz w:val="32"/>
          <w:szCs w:val="32"/>
          <w:highlight w:val="none"/>
        </w:rPr>
        <w:t>全面反映财政资金使用成效和部门职能的实现程度，针对评价过程中发现的问题进一步提出相关意见建议，为以后我</w:t>
      </w:r>
      <w:r>
        <w:rPr>
          <w:rFonts w:hint="eastAsia" w:ascii="仿宋" w:hAnsi="仿宋" w:eastAsia="仿宋"/>
          <w:sz w:val="32"/>
          <w:szCs w:val="32"/>
          <w:highlight w:val="none"/>
          <w:lang w:eastAsia="zh-CN"/>
        </w:rPr>
        <w:t>办</w:t>
      </w:r>
      <w:r>
        <w:rPr>
          <w:rFonts w:hint="eastAsia" w:ascii="仿宋" w:hAnsi="仿宋" w:eastAsia="仿宋"/>
          <w:sz w:val="32"/>
          <w:szCs w:val="32"/>
          <w:highlight w:val="none"/>
        </w:rPr>
        <w:t>履行部门职责作出更好的预算管理和资金安排。</w:t>
      </w:r>
    </w:p>
    <w:p w14:paraId="3F197762">
      <w:pPr>
        <w:numPr>
          <w:ilvl w:val="0"/>
          <w:numId w:val="2"/>
        </w:numPr>
        <w:spacing w:line="560" w:lineRule="exact"/>
        <w:rPr>
          <w:rFonts w:ascii="楷体" w:hAnsi="楷体" w:eastAsia="楷体" w:cs="楷体_GB2312"/>
          <w:bCs/>
          <w:sz w:val="32"/>
          <w:szCs w:val="32"/>
          <w:highlight w:val="none"/>
        </w:rPr>
      </w:pPr>
      <w:r>
        <w:rPr>
          <w:rFonts w:hint="eastAsia" w:ascii="楷体" w:hAnsi="楷体" w:eastAsia="楷体" w:cs="楷体_GB2312"/>
          <w:bCs/>
          <w:sz w:val="32"/>
          <w:szCs w:val="32"/>
          <w:highlight w:val="none"/>
        </w:rPr>
        <w:t>自评的方法和过程</w:t>
      </w:r>
    </w:p>
    <w:p w14:paraId="305E2A4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bCs/>
          <w:sz w:val="32"/>
          <w:szCs w:val="32"/>
          <w:highlight w:val="none"/>
        </w:rPr>
      </w:pPr>
      <w:r>
        <w:rPr>
          <w:rFonts w:hint="eastAsia" w:ascii="CESI仿宋-GB2312" w:hAnsi="CESI仿宋-GB2312" w:eastAsia="CESI仿宋-GB2312" w:cs="CESI仿宋-GB2312"/>
          <w:bCs/>
          <w:sz w:val="32"/>
          <w:szCs w:val="32"/>
          <w:highlight w:val="none"/>
        </w:rPr>
        <w:t>此次绩效自评运用科学合理的方法，按照规范的程序，对我</w:t>
      </w:r>
      <w:r>
        <w:rPr>
          <w:rFonts w:hint="eastAsia" w:ascii="CESI仿宋-GB2312" w:hAnsi="CESI仿宋-GB2312" w:eastAsia="CESI仿宋-GB2312" w:cs="CESI仿宋-GB2312"/>
          <w:bCs/>
          <w:sz w:val="32"/>
          <w:szCs w:val="32"/>
          <w:highlight w:val="none"/>
          <w:lang w:eastAsia="zh-CN"/>
        </w:rPr>
        <w:t>办</w:t>
      </w:r>
      <w:r>
        <w:rPr>
          <w:rFonts w:hint="eastAsia" w:ascii="CESI仿宋-GB2312" w:hAnsi="CESI仿宋-GB2312" w:eastAsia="CESI仿宋-GB2312" w:cs="CESI仿宋-GB2312"/>
          <w:bCs/>
          <w:sz w:val="32"/>
          <w:szCs w:val="32"/>
          <w:highlight w:val="none"/>
        </w:rPr>
        <w:t>部门整体预算资金使用绩效进行客观、公正的反映</w:t>
      </w:r>
      <w:r>
        <w:rPr>
          <w:rFonts w:hint="eastAsia" w:ascii="CESI仿宋-GB2312" w:hAnsi="CESI仿宋-GB2312" w:eastAsia="CESI仿宋-GB2312" w:cs="CESI仿宋-GB2312"/>
          <w:bCs/>
          <w:sz w:val="32"/>
          <w:szCs w:val="32"/>
          <w:highlight w:val="none"/>
          <w:lang w:eastAsia="zh-CN"/>
        </w:rPr>
        <w:t>；</w:t>
      </w:r>
      <w:r>
        <w:rPr>
          <w:rFonts w:hint="eastAsia" w:ascii="CESI仿宋-GB2312" w:hAnsi="CESI仿宋-GB2312" w:eastAsia="CESI仿宋-GB2312" w:cs="CESI仿宋-GB2312"/>
          <w:bCs/>
          <w:sz w:val="32"/>
          <w:szCs w:val="32"/>
          <w:highlight w:val="none"/>
        </w:rPr>
        <w:t>绩效自评结果上报财政部门作为财政自评参考依据</w:t>
      </w:r>
      <w:r>
        <w:rPr>
          <w:rFonts w:hint="eastAsia" w:ascii="CESI仿宋-GB2312" w:hAnsi="CESI仿宋-GB2312" w:eastAsia="CESI仿宋-GB2312" w:cs="CESI仿宋-GB2312"/>
          <w:bCs/>
          <w:sz w:val="32"/>
          <w:szCs w:val="32"/>
          <w:highlight w:val="none"/>
          <w:lang w:eastAsia="zh-CN"/>
        </w:rPr>
        <w:t>，</w:t>
      </w:r>
      <w:r>
        <w:rPr>
          <w:rFonts w:hint="eastAsia" w:ascii="CESI仿宋-GB2312" w:hAnsi="CESI仿宋-GB2312" w:eastAsia="CESI仿宋-GB2312" w:cs="CESI仿宋-GB2312"/>
          <w:bCs/>
          <w:sz w:val="32"/>
          <w:szCs w:val="32"/>
          <w:highlight w:val="none"/>
        </w:rPr>
        <w:t>此次绩效自评结果与预算安排、政策调整、改进管理实质性挂钩。</w:t>
      </w:r>
    </w:p>
    <w:p w14:paraId="33BBD6E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highlight w:val="none"/>
        </w:rPr>
      </w:pPr>
      <w:r>
        <w:rPr>
          <w:rFonts w:hint="eastAsia" w:ascii="CESI仿宋-GB2312" w:hAnsi="CESI仿宋-GB2312" w:eastAsia="CESI仿宋-GB2312" w:cs="CESI仿宋-GB2312"/>
          <w:bCs/>
          <w:sz w:val="32"/>
          <w:szCs w:val="32"/>
          <w:highlight w:val="none"/>
          <w:lang w:val="en-US" w:eastAsia="zh-CN"/>
        </w:rPr>
        <w:t>本次绩效自评将资金使用产出及效果与年初指标值相比较，对完成值低于指标值较多的，分析其形成原因，针对评价过程中发现的问题进一步提出相关意见建议，为以后我办履行部门职责作出更好的预算管理和资金安排。</w:t>
      </w:r>
    </w:p>
    <w:p w14:paraId="32BC7DB8">
      <w:pPr>
        <w:spacing w:line="560" w:lineRule="exact"/>
        <w:rPr>
          <w:rFonts w:ascii="黑体" w:hAnsi="黑体" w:eastAsia="黑体"/>
          <w:b/>
          <w:bCs/>
          <w:sz w:val="32"/>
          <w:szCs w:val="32"/>
          <w:highlight w:val="none"/>
        </w:rPr>
      </w:pPr>
      <w:r>
        <w:rPr>
          <w:rFonts w:hint="eastAsia" w:ascii="黑体" w:hAnsi="黑体" w:eastAsia="黑体"/>
          <w:sz w:val="32"/>
          <w:szCs w:val="32"/>
          <w:highlight w:val="none"/>
        </w:rPr>
        <w:t xml:space="preserve">    三、部门整体支出绩效目标实现情况及指标分析</w:t>
      </w:r>
    </w:p>
    <w:p w14:paraId="4097B192">
      <w:pPr>
        <w:numPr>
          <w:ilvl w:val="0"/>
          <w:numId w:val="3"/>
        </w:numPr>
        <w:spacing w:line="560" w:lineRule="exact"/>
        <w:ind w:firstLine="640" w:firstLineChars="200"/>
        <w:rPr>
          <w:rFonts w:ascii="楷体" w:hAnsi="楷体" w:eastAsia="楷体" w:cs="楷体_GB2312"/>
          <w:bCs/>
          <w:sz w:val="32"/>
          <w:szCs w:val="32"/>
          <w:highlight w:val="none"/>
        </w:rPr>
      </w:pPr>
      <w:r>
        <w:rPr>
          <w:rFonts w:hint="eastAsia" w:ascii="楷体" w:hAnsi="楷体" w:eastAsia="楷体" w:cs="楷体_GB2312"/>
          <w:bCs/>
          <w:sz w:val="32"/>
          <w:szCs w:val="32"/>
          <w:highlight w:val="none"/>
        </w:rPr>
        <w:t>总体绩效目标实现情况</w:t>
      </w:r>
    </w:p>
    <w:p w14:paraId="06DAA73A">
      <w:pPr>
        <w:spacing w:line="560" w:lineRule="exact"/>
        <w:ind w:firstLine="960" w:firstLineChars="300"/>
        <w:rPr>
          <w:rFonts w:hint="eastAsia" w:ascii="仿宋" w:hAnsi="仿宋" w:eastAsia="仿宋" w:cs="楷体_GB2312"/>
          <w:b/>
          <w:bCs/>
          <w:sz w:val="32"/>
          <w:szCs w:val="32"/>
          <w:highlight w:val="none"/>
        </w:rPr>
      </w:pPr>
      <w:r>
        <w:rPr>
          <w:rFonts w:hint="eastAsia" w:ascii="仿宋" w:hAnsi="仿宋" w:eastAsia="仿宋"/>
          <w:sz w:val="32"/>
          <w:szCs w:val="32"/>
          <w:highlight w:val="none"/>
        </w:rPr>
        <w:t>2025年，在市委、市政府的坚强领导下，市委金融办（市委金融工委、市地方金融管理局）坚持以习近平新时代中国特色社会主义思想为指导，深入学习贯彻习近平总书记关于金融工作的重要论述，认真落实党中央重大决策和省、市委工作部署，紧扣“防风险、强监管、促高质量发展”工作主线，攻坚克难、锐意进取，圆满完成年度各项目标任务，为全市经济总量稳步提升、发展质效持续优化注入了强劲金融动能。</w:t>
      </w:r>
      <w:r>
        <w:rPr>
          <w:rFonts w:hint="eastAsia" w:ascii="仿宋" w:hAnsi="仿宋" w:eastAsia="仿宋" w:cs="楷体_GB2312"/>
          <w:b/>
          <w:bCs/>
          <w:sz w:val="32"/>
          <w:szCs w:val="32"/>
          <w:highlight w:val="none"/>
        </w:rPr>
        <w:t xml:space="preserve">    </w:t>
      </w:r>
    </w:p>
    <w:p w14:paraId="231EE10A">
      <w:pPr>
        <w:spacing w:line="560" w:lineRule="exact"/>
        <w:ind w:firstLine="640" w:firstLineChars="200"/>
        <w:rPr>
          <w:rFonts w:ascii="楷体" w:hAnsi="楷体" w:eastAsia="楷体"/>
          <w:bCs/>
          <w:sz w:val="32"/>
          <w:szCs w:val="32"/>
          <w:highlight w:val="none"/>
        </w:rPr>
      </w:pPr>
      <w:r>
        <w:rPr>
          <w:rFonts w:hint="eastAsia" w:ascii="楷体" w:hAnsi="楷体" w:eastAsia="楷体" w:cs="楷体_GB2312"/>
          <w:bCs/>
          <w:sz w:val="32"/>
          <w:szCs w:val="32"/>
          <w:highlight w:val="none"/>
        </w:rPr>
        <w:t>（二）分项绩效目标实现情况及指标分析</w:t>
      </w:r>
    </w:p>
    <w:p w14:paraId="451A0E78">
      <w:pPr>
        <w:spacing w:line="560" w:lineRule="exact"/>
        <w:ind w:firstLine="640" w:firstLineChars="200"/>
        <w:rPr>
          <w:rFonts w:hint="default" w:ascii="仿宋" w:hAnsi="仿宋" w:eastAsia="仿宋"/>
          <w:b w:val="0"/>
          <w:bCs w:val="0"/>
          <w:sz w:val="32"/>
          <w:szCs w:val="32"/>
          <w:highlight w:val="none"/>
          <w:lang w:val="en-US" w:eastAsia="zh-CN"/>
        </w:rPr>
      </w:pPr>
      <w:r>
        <w:rPr>
          <w:rFonts w:hint="eastAsia" w:ascii="仿宋" w:hAnsi="仿宋" w:eastAsia="仿宋"/>
          <w:b w:val="0"/>
          <w:bCs w:val="0"/>
          <w:sz w:val="32"/>
          <w:szCs w:val="32"/>
          <w:highlight w:val="none"/>
        </w:rPr>
        <w:t>1.</w:t>
      </w:r>
      <w:r>
        <w:rPr>
          <w:rFonts w:hint="eastAsia" w:ascii="仿宋" w:hAnsi="仿宋" w:eastAsia="仿宋"/>
          <w:b w:val="0"/>
          <w:bCs w:val="0"/>
          <w:sz w:val="32"/>
          <w:szCs w:val="32"/>
          <w:highlight w:val="none"/>
          <w:lang w:val="en-US" w:eastAsia="zh-CN"/>
        </w:rPr>
        <w:t>办公设备购置0.57万元。用于办公设备或办公家具购置，保障机关工作运行，实际支出0.57万元，预算执行率为100%。支出金额已达到该项工作预期要求。自评得分100分。</w:t>
      </w:r>
    </w:p>
    <w:p w14:paraId="71DD1156">
      <w:pPr>
        <w:spacing w:line="560" w:lineRule="exact"/>
        <w:ind w:firstLine="640" w:firstLineChars="200"/>
        <w:rPr>
          <w:rFonts w:hint="eastAsia" w:ascii="仿宋" w:hAnsi="仿宋" w:eastAsia="仿宋"/>
          <w:b w:val="0"/>
          <w:bCs w:val="0"/>
          <w:sz w:val="32"/>
          <w:szCs w:val="32"/>
          <w:highlight w:val="none"/>
          <w:lang w:val="en-US" w:eastAsia="zh-CN"/>
        </w:rPr>
      </w:pPr>
      <w:r>
        <w:rPr>
          <w:rFonts w:hint="eastAsia" w:ascii="仿宋" w:hAnsi="仿宋" w:eastAsia="仿宋"/>
          <w:b w:val="0"/>
          <w:bCs w:val="0"/>
          <w:sz w:val="32"/>
          <w:szCs w:val="32"/>
          <w:highlight w:val="none"/>
          <w:lang w:val="en-US" w:eastAsia="zh-CN"/>
        </w:rPr>
        <w:t>2.党组织活动经费4.24万元。用于购置党员学习资料、组织参观培训学习等。实际支出3.81万元，预算执行率89.98%，包括开展党组织活动7次，党员参与率100%，党组织活动开展频次，达到每季度至少一次，购买学习书籍1.3万元，党组织活动费用1.08万元，党员建言献策比率达到96%。支出金额已达到该项工作预期要求。自评得分99分。</w:t>
      </w:r>
    </w:p>
    <w:p w14:paraId="26C64496">
      <w:pPr>
        <w:pStyle w:val="2"/>
        <w:rPr>
          <w:rFonts w:hint="eastAsia" w:ascii="仿宋" w:hAnsi="仿宋" w:eastAsia="仿宋"/>
          <w:b w:val="0"/>
          <w:bCs w:val="0"/>
          <w:sz w:val="32"/>
          <w:szCs w:val="32"/>
          <w:highlight w:val="none"/>
          <w:lang w:val="en-US" w:eastAsia="zh-CN"/>
        </w:rPr>
      </w:pPr>
      <w:r>
        <w:rPr>
          <w:rFonts w:hint="eastAsia" w:ascii="仿宋" w:hAnsi="仿宋" w:eastAsia="仿宋"/>
          <w:b w:val="0"/>
          <w:bCs w:val="0"/>
          <w:sz w:val="32"/>
          <w:szCs w:val="32"/>
          <w:highlight w:val="none"/>
          <w:lang w:val="en-US" w:eastAsia="zh-CN"/>
        </w:rPr>
        <w:t>3.文件资料印刷2.59万元。用于印刷各类资料，保证更好的开展各项工作，提高工作效率。实际支出2.59万元，预算执行率100%，包括印刷金融动态12批，印刷专项业务所需文件等，印刷质量合格率100%，单笔印刷费用小于5000元。支出金额已达到该项工作预期要求。自评得分100分。</w:t>
      </w:r>
    </w:p>
    <w:p w14:paraId="6BD55295">
      <w:pPr>
        <w:pStyle w:val="2"/>
        <w:rPr>
          <w:rFonts w:hint="eastAsia" w:ascii="仿宋" w:hAnsi="仿宋" w:eastAsia="仿宋"/>
          <w:b w:val="0"/>
          <w:bCs w:val="0"/>
          <w:sz w:val="32"/>
          <w:szCs w:val="32"/>
          <w:highlight w:val="none"/>
          <w:lang w:val="en-US" w:eastAsia="zh-CN"/>
        </w:rPr>
      </w:pPr>
      <w:r>
        <w:rPr>
          <w:rFonts w:hint="eastAsia" w:ascii="仿宋" w:hAnsi="仿宋" w:eastAsia="仿宋"/>
          <w:b w:val="0"/>
          <w:bCs w:val="0"/>
          <w:sz w:val="32"/>
          <w:szCs w:val="32"/>
          <w:highlight w:val="none"/>
          <w:lang w:val="en-US" w:eastAsia="zh-CN"/>
        </w:rPr>
        <w:t>4.业务培训费1.35万元。用于业务培训，提升工作人员业务水平，促进金融工作发展。实际支出1.29万元，预算执行率95.85%，包括开展业务培训5场，人员参与率95%，单场培训低于5000元，受训人员业务应用率达到90%。支出金额已达到该项工作预期要求。自评得分99分。</w:t>
      </w:r>
    </w:p>
    <w:p w14:paraId="5825A668">
      <w:pPr>
        <w:pStyle w:val="2"/>
        <w:rPr>
          <w:rFonts w:hint="eastAsia" w:ascii="仿宋" w:hAnsi="仿宋" w:eastAsia="仿宋"/>
          <w:b w:val="0"/>
          <w:bCs w:val="0"/>
          <w:sz w:val="32"/>
          <w:szCs w:val="32"/>
          <w:highlight w:val="none"/>
          <w:lang w:val="en-US" w:eastAsia="zh-CN"/>
        </w:rPr>
      </w:pPr>
      <w:r>
        <w:rPr>
          <w:rFonts w:hint="eastAsia" w:ascii="仿宋" w:hAnsi="仿宋" w:eastAsia="仿宋"/>
          <w:b w:val="0"/>
          <w:bCs w:val="0"/>
          <w:sz w:val="32"/>
          <w:szCs w:val="32"/>
          <w:highlight w:val="none"/>
          <w:lang w:val="en-US" w:eastAsia="zh-CN"/>
        </w:rPr>
        <w:t>5.业务咨询委托费11.1万元。用于咨询内控体系建设、档案管理等业务，提升机关工作水平。实际支出11.1万元，预算执行率100%，包括委托业务机构协助整理档案、内控体系建设及更新等业务，高效通过业务审核及上报工作，委托事项通过率100%，委托工作按时限完成，单笔费用不超过5万元。支出金额已达到该项工作预期要求。自评得分99分。</w:t>
      </w:r>
    </w:p>
    <w:p w14:paraId="60C87030">
      <w:pPr>
        <w:pStyle w:val="2"/>
        <w:rPr>
          <w:rFonts w:hint="eastAsia" w:ascii="仿宋" w:hAnsi="仿宋" w:eastAsia="仿宋"/>
          <w:b w:val="0"/>
          <w:bCs w:val="0"/>
          <w:sz w:val="32"/>
          <w:szCs w:val="32"/>
          <w:highlight w:val="none"/>
          <w:lang w:val="en-US" w:eastAsia="zh-CN"/>
        </w:rPr>
      </w:pPr>
      <w:r>
        <w:rPr>
          <w:rFonts w:hint="eastAsia" w:ascii="仿宋" w:hAnsi="仿宋" w:eastAsia="仿宋"/>
          <w:b w:val="0"/>
          <w:bCs w:val="0"/>
          <w:sz w:val="32"/>
          <w:szCs w:val="32"/>
          <w:highlight w:val="none"/>
          <w:lang w:val="en-US" w:eastAsia="zh-CN"/>
        </w:rPr>
        <w:t>6.2025年台式电脑购置0.3124万元。用于办公电脑，保障机关工作运行。实际支出0.3124万元，预算执行率100%，包括购置办公电脑一台，满足了办公需求，提高了工作效率。支出金额已达到该项工作预期要求。自评得分99分。</w:t>
      </w:r>
    </w:p>
    <w:p w14:paraId="779E4A18">
      <w:pPr>
        <w:pStyle w:val="2"/>
        <w:rPr>
          <w:rFonts w:hint="eastAsia" w:ascii="仿宋" w:hAnsi="仿宋" w:eastAsia="仿宋"/>
          <w:b w:val="0"/>
          <w:bCs w:val="0"/>
          <w:sz w:val="32"/>
          <w:szCs w:val="32"/>
          <w:highlight w:val="none"/>
          <w:lang w:val="en-US" w:eastAsia="zh-CN"/>
        </w:rPr>
      </w:pPr>
      <w:r>
        <w:rPr>
          <w:rFonts w:hint="eastAsia" w:ascii="仿宋" w:hAnsi="仿宋" w:eastAsia="仿宋"/>
          <w:b w:val="0"/>
          <w:bCs w:val="0"/>
          <w:sz w:val="32"/>
          <w:szCs w:val="32"/>
          <w:highlight w:val="none"/>
          <w:lang w:val="en-US" w:eastAsia="zh-CN"/>
        </w:rPr>
        <w:t>7.“金十条”政策奖补资金190.81万元。用于落实金融政策，引导金融支持实体经济发展。实际支出190.81万元，预算执行率100%，包括发放奖补企业2家，新增服务小微企业和“三农”主体392户，支持融资担保公司为更多的小微企业和“三农”主体提供融资担保服务。支出金额已达到该项工作预期要求。自评得分97分。</w:t>
      </w:r>
    </w:p>
    <w:p w14:paraId="2327FF31">
      <w:pPr>
        <w:pStyle w:val="2"/>
        <w:rPr>
          <w:rFonts w:hint="eastAsia" w:ascii="仿宋" w:hAnsi="仿宋" w:eastAsia="仿宋"/>
          <w:b w:val="0"/>
          <w:bCs w:val="0"/>
          <w:sz w:val="32"/>
          <w:szCs w:val="32"/>
          <w:highlight w:val="none"/>
          <w:lang w:val="en-US" w:eastAsia="zh-CN"/>
        </w:rPr>
      </w:pPr>
      <w:r>
        <w:rPr>
          <w:rFonts w:hint="eastAsia" w:ascii="仿宋" w:hAnsi="仿宋" w:eastAsia="仿宋"/>
          <w:b w:val="0"/>
          <w:bCs w:val="0"/>
          <w:sz w:val="32"/>
          <w:szCs w:val="32"/>
          <w:highlight w:val="none"/>
          <w:lang w:val="en-US" w:eastAsia="zh-CN"/>
        </w:rPr>
        <w:t>8.《金融界》及融媒体提升金融影响力专项经费39万元。用于提高广大群众金融知识以及防范金融诈骗的意识，宣传金融服务实体经济发展的具体做法以及惠民政策，让市场主体提升获得感。实际支出39万元，预算执行率100%，包括制作52期节目，节目投放时间达到156天，节目审核通过率100%，每期节目制作费用不超过8000元，每期节目播放量达到每周9次。支出金额已达到该项工作预期要求。自评得分100分。</w:t>
      </w:r>
    </w:p>
    <w:p w14:paraId="0067C6A3">
      <w:pPr>
        <w:pStyle w:val="2"/>
        <w:rPr>
          <w:rFonts w:hint="eastAsia" w:ascii="仿宋" w:hAnsi="仿宋" w:eastAsia="仿宋"/>
          <w:b w:val="0"/>
          <w:bCs w:val="0"/>
          <w:sz w:val="32"/>
          <w:szCs w:val="32"/>
          <w:highlight w:val="none"/>
          <w:lang w:val="en-US" w:eastAsia="zh-CN"/>
        </w:rPr>
      </w:pPr>
      <w:r>
        <w:rPr>
          <w:rFonts w:hint="eastAsia" w:ascii="仿宋" w:hAnsi="仿宋" w:eastAsia="仿宋"/>
          <w:b w:val="0"/>
          <w:bCs w:val="0"/>
          <w:sz w:val="32"/>
          <w:szCs w:val="32"/>
          <w:highlight w:val="none"/>
          <w:lang w:val="en-US" w:eastAsia="zh-CN"/>
        </w:rPr>
        <w:t>9.地方金融监管专项经费42.</w:t>
      </w:r>
      <w:bookmarkStart w:id="1" w:name="_GoBack"/>
      <w:bookmarkEnd w:id="1"/>
      <w:r>
        <w:rPr>
          <w:rFonts w:hint="eastAsia" w:ascii="仿宋" w:hAnsi="仿宋" w:eastAsia="仿宋"/>
          <w:b w:val="0"/>
          <w:bCs w:val="0"/>
          <w:sz w:val="32"/>
          <w:szCs w:val="32"/>
          <w:highlight w:val="none"/>
          <w:lang w:val="en-US" w:eastAsia="zh-CN"/>
        </w:rPr>
        <w:t>2万元。用于强化地方金融组织监管，规范行业发展。实际支出39.19万元，预算执行率92.88%，包括检查企业27家，应检查企业覆盖率100%，开展检查审查费用28.59万元，金融行业标准化合规和业务平台委托服务费0.84万元，不合规企业清理67家。支出金额已达到该项工作预期要求。自评得分99分。</w:t>
      </w:r>
    </w:p>
    <w:p w14:paraId="673DC6FD">
      <w:pPr>
        <w:pStyle w:val="2"/>
        <w:rPr>
          <w:rFonts w:hint="eastAsia" w:ascii="仿宋" w:hAnsi="仿宋" w:eastAsia="仿宋"/>
          <w:b w:val="0"/>
          <w:bCs w:val="0"/>
          <w:sz w:val="32"/>
          <w:szCs w:val="32"/>
          <w:highlight w:val="none"/>
          <w:lang w:val="en-US" w:eastAsia="zh-CN"/>
        </w:rPr>
      </w:pPr>
      <w:r>
        <w:rPr>
          <w:rFonts w:hint="eastAsia" w:ascii="仿宋" w:hAnsi="仿宋" w:eastAsia="仿宋"/>
          <w:b w:val="0"/>
          <w:bCs w:val="0"/>
          <w:sz w:val="32"/>
          <w:szCs w:val="32"/>
          <w:highlight w:val="none"/>
          <w:lang w:val="en-US" w:eastAsia="zh-CN"/>
        </w:rPr>
        <w:t>10.防范和处置金融风险专项经费120万元。用于开展防范非法集资宣传，做好非法集资案件处置、东旭集团风险化解、其他金融风险及非法集资案件工作、12346防范非法金融活动专线、防范非法集资预警平台服务等相关工作。实际支出120万元，预算执行率100%，包括公交专车、地铁宣传车次57次，各县（市、区）集中宣传覆盖率100%，防范和处置非法集资宣传费用95.5万元，东旭集团风险化解费用0.56万元，其他金融风险及非法集资案件工作费用9.73万元，防范非法集资预警平台服务费用13万元，案件清退返款人数比例100%，金融风险案事件处置化解率50%。支出金额已达到该项工作预期要求。自评得分90分。</w:t>
      </w:r>
    </w:p>
    <w:p w14:paraId="41971D28">
      <w:pPr>
        <w:pStyle w:val="2"/>
        <w:rPr>
          <w:rFonts w:hint="eastAsia" w:ascii="仿宋" w:hAnsi="仿宋" w:eastAsia="仿宋"/>
          <w:b w:val="0"/>
          <w:bCs w:val="0"/>
          <w:sz w:val="32"/>
          <w:szCs w:val="32"/>
          <w:highlight w:val="none"/>
          <w:lang w:val="en-US" w:eastAsia="zh-CN"/>
        </w:rPr>
      </w:pPr>
      <w:r>
        <w:rPr>
          <w:rFonts w:hint="eastAsia" w:ascii="仿宋" w:hAnsi="仿宋" w:eastAsia="仿宋"/>
          <w:b w:val="0"/>
          <w:bCs w:val="0"/>
          <w:sz w:val="32"/>
          <w:szCs w:val="32"/>
          <w:highlight w:val="none"/>
          <w:lang w:val="en-US" w:eastAsia="zh-CN"/>
        </w:rPr>
        <w:t>11.人行石家庄中心支行经费补助1000万元。用于解决人行河北省分行经费困难，保障日常工作运行。实际支出1000万元，预算执行率100%，包括累计参加市委、市政府及市有关部门会议58次，全市本外币各项贷款余额全省首位，涉农贷款余额同比增长1000万元，累计办理市委、市政府及有关部门文件数量220件。支出金额已达到该项工作预期要求。自评得分100分。</w:t>
      </w:r>
    </w:p>
    <w:p w14:paraId="4D6DE14A">
      <w:pPr>
        <w:pStyle w:val="2"/>
        <w:rPr>
          <w:rFonts w:hint="eastAsia" w:ascii="仿宋" w:hAnsi="仿宋" w:eastAsia="仿宋"/>
          <w:b w:val="0"/>
          <w:bCs w:val="0"/>
          <w:sz w:val="32"/>
          <w:szCs w:val="32"/>
          <w:highlight w:val="none"/>
          <w:lang w:val="en-US" w:eastAsia="zh-CN"/>
        </w:rPr>
      </w:pPr>
      <w:r>
        <w:rPr>
          <w:rFonts w:hint="eastAsia" w:ascii="仿宋" w:hAnsi="仿宋" w:eastAsia="仿宋"/>
          <w:b w:val="0"/>
          <w:bCs w:val="0"/>
          <w:sz w:val="32"/>
          <w:szCs w:val="32"/>
          <w:highlight w:val="none"/>
          <w:lang w:val="en-US" w:eastAsia="zh-CN"/>
        </w:rPr>
        <w:t>12.2025年度因公出国（境）经费（市委金融委员会办公室袁丽华同志随团赴香港、澳门特别行政区）1.209615万元，用于进一步深化港澳金融管理部门及机构合作，做好金融风险防控，推动金融高质量发展。实际支出1.209615万元，预算执行率100%，包括出访地数量2个，交流访问对象10家，学习借鉴先进经验，推动金融高质量发展，奖补企业和金融机构数量392家，学习借鉴先进经验，做好金融风险防控，审计检查地方金融组织数量27家。支出金额已达到该项工作预期要求。自评得分100分。</w:t>
      </w:r>
    </w:p>
    <w:p w14:paraId="5AF0B892">
      <w:pPr>
        <w:pStyle w:val="2"/>
        <w:numPr>
          <w:ilvl w:val="0"/>
          <w:numId w:val="4"/>
        </w:numPr>
        <w:rPr>
          <w:rFonts w:hint="default" w:ascii="仿宋" w:hAnsi="仿宋" w:eastAsia="仿宋"/>
          <w:b w:val="0"/>
          <w:bCs w:val="0"/>
          <w:sz w:val="32"/>
          <w:szCs w:val="32"/>
          <w:highlight w:val="none"/>
          <w:lang w:val="en-US" w:eastAsia="zh-CN"/>
        </w:rPr>
      </w:pPr>
      <w:r>
        <w:rPr>
          <w:rFonts w:hint="eastAsia" w:ascii="仿宋" w:hAnsi="仿宋" w:eastAsia="仿宋"/>
          <w:b w:val="0"/>
          <w:bCs w:val="0"/>
          <w:sz w:val="32"/>
          <w:szCs w:val="32"/>
          <w:highlight w:val="none"/>
          <w:lang w:val="en-US" w:eastAsia="zh-CN"/>
        </w:rPr>
        <w:t>河北资本市场大讲堂石家庄站活动经费14.3万元，用于落实省委、省政府关于金融服务实体经济高质量发展的有关要求，提升企业资本市场运作和现代金融工具应用能力，促进产业与资本深度融合。实际支出14.25万元，预算执行率99.64%，包括参加活动人员数量855人，参加地市覆盖率100%，实现提升企业资本市场运作和现代金融工具应用能力的目标。支出金额已达到该项工作预期要求。自评得分99分。</w:t>
      </w:r>
    </w:p>
    <w:p w14:paraId="40358302">
      <w:pPr>
        <w:pStyle w:val="2"/>
        <w:numPr>
          <w:ilvl w:val="0"/>
          <w:numId w:val="4"/>
        </w:numPr>
        <w:ind w:left="0" w:leftChars="0" w:firstLine="640" w:firstLineChars="200"/>
        <w:rPr>
          <w:rFonts w:hint="eastAsia" w:ascii="仿宋" w:hAnsi="仿宋" w:eastAsia="仿宋"/>
          <w:b w:val="0"/>
          <w:bCs w:val="0"/>
          <w:sz w:val="32"/>
          <w:szCs w:val="32"/>
          <w:highlight w:val="none"/>
          <w:lang w:val="en-US" w:eastAsia="zh-CN"/>
        </w:rPr>
      </w:pPr>
      <w:r>
        <w:rPr>
          <w:rFonts w:hint="eastAsia" w:ascii="仿宋" w:hAnsi="仿宋" w:eastAsia="仿宋"/>
          <w:b w:val="0"/>
          <w:bCs w:val="0"/>
          <w:sz w:val="32"/>
          <w:szCs w:val="32"/>
          <w:highlight w:val="none"/>
          <w:lang w:val="en-US" w:eastAsia="zh-CN"/>
        </w:rPr>
        <w:t>东旭集团风险化解工作相关经费149.51万元，用于有序推进东旭集团风险化解工作。实际支出149.49万元，预算执行率99.99%，包括成立专班下设5个工作组，妥善化解东旭集团现阶段可能引发的各种风险，集中办公费用79.07万元，驻企帮扶费用69.33万元，调查取证费用1.09万元，研判信访信息50条。支出金额已达到该项工作预期要求。自评得分89分。</w:t>
      </w:r>
    </w:p>
    <w:p w14:paraId="05D6C464">
      <w:pPr>
        <w:pStyle w:val="2"/>
        <w:numPr>
          <w:ilvl w:val="0"/>
          <w:numId w:val="4"/>
        </w:numPr>
        <w:ind w:left="0" w:leftChars="0" w:firstLine="640" w:firstLineChars="200"/>
        <w:rPr>
          <w:rFonts w:hint="eastAsia"/>
          <w:b w:val="0"/>
          <w:bCs w:val="0"/>
          <w:sz w:val="32"/>
          <w:szCs w:val="32"/>
          <w:highlight w:val="none"/>
        </w:rPr>
      </w:pPr>
      <w:r>
        <w:rPr>
          <w:rFonts w:hint="default" w:ascii="仿宋" w:hAnsi="仿宋" w:eastAsia="仿宋"/>
          <w:b w:val="0"/>
          <w:bCs w:val="0"/>
          <w:sz w:val="32"/>
          <w:szCs w:val="32"/>
          <w:highlight w:val="none"/>
          <w:lang w:val="en-US" w:eastAsia="zh-CN"/>
        </w:rPr>
        <w:t>东旭集团风险化解第二阶段专项经费</w:t>
      </w:r>
      <w:r>
        <w:rPr>
          <w:rFonts w:hint="eastAsia" w:ascii="仿宋" w:hAnsi="仿宋" w:eastAsia="仿宋"/>
          <w:b w:val="0"/>
          <w:bCs w:val="0"/>
          <w:sz w:val="32"/>
          <w:szCs w:val="32"/>
          <w:highlight w:val="none"/>
          <w:lang w:val="en-US" w:eastAsia="zh-CN"/>
        </w:rPr>
        <w:t>62.57万元，用于有序推进东旭集团风险化解工作。实际支出62.57万元，预算执行率100%，包括成立专班下设5个工作组，妥善化解东旭集团现阶段可能引发的各种风险，集中办公费用62.57万元，研判信访信息50条。支出金额已达到该项工作预期要求。自评得分100分。</w:t>
      </w:r>
    </w:p>
    <w:p w14:paraId="714C4B2F">
      <w:pPr>
        <w:spacing w:line="560" w:lineRule="exact"/>
        <w:ind w:firstLine="640" w:firstLineChars="200"/>
        <w:rPr>
          <w:rFonts w:ascii="黑体" w:hAnsi="黑体" w:eastAsia="黑体"/>
          <w:sz w:val="32"/>
          <w:szCs w:val="32"/>
          <w:highlight w:val="none"/>
        </w:rPr>
      </w:pPr>
      <w:r>
        <w:rPr>
          <w:rFonts w:hint="eastAsia" w:ascii="黑体" w:hAnsi="黑体" w:eastAsia="黑体"/>
          <w:sz w:val="32"/>
          <w:szCs w:val="32"/>
          <w:highlight w:val="none"/>
        </w:rPr>
        <w:t>四、评价结论和评价等级</w:t>
      </w:r>
    </w:p>
    <w:p w14:paraId="4D7FA73A">
      <w:pPr>
        <w:spacing w:line="560" w:lineRule="exact"/>
        <w:ind w:firstLine="640" w:firstLineChars="200"/>
        <w:rPr>
          <w:rFonts w:hint="eastAsia" w:ascii="仿宋" w:hAnsi="仿宋" w:eastAsia="仿宋"/>
          <w:sz w:val="32"/>
          <w:szCs w:val="32"/>
          <w:highlight w:val="none"/>
        </w:rPr>
      </w:pPr>
      <w:r>
        <w:rPr>
          <w:rFonts w:hint="eastAsia" w:ascii="仿宋" w:hAnsi="仿宋" w:eastAsia="仿宋"/>
          <w:sz w:val="32"/>
          <w:szCs w:val="32"/>
          <w:highlight w:val="none"/>
        </w:rPr>
        <w:t>根据部门职责定位和各项工作履职情况进行综合评价，我</w:t>
      </w:r>
      <w:r>
        <w:rPr>
          <w:rFonts w:hint="eastAsia" w:ascii="仿宋" w:hAnsi="仿宋" w:eastAsia="仿宋"/>
          <w:sz w:val="32"/>
          <w:szCs w:val="32"/>
          <w:highlight w:val="none"/>
          <w:lang w:eastAsia="zh-CN"/>
        </w:rPr>
        <w:t>办</w:t>
      </w:r>
      <w:r>
        <w:rPr>
          <w:rFonts w:hint="eastAsia" w:ascii="仿宋" w:hAnsi="仿宋" w:eastAsia="仿宋"/>
          <w:sz w:val="32"/>
          <w:szCs w:val="32"/>
          <w:highlight w:val="none"/>
        </w:rPr>
        <w:t>资金支出率为9</w:t>
      </w:r>
      <w:r>
        <w:rPr>
          <w:rFonts w:hint="eastAsia" w:ascii="仿宋" w:hAnsi="仿宋" w:eastAsia="仿宋"/>
          <w:sz w:val="32"/>
          <w:szCs w:val="32"/>
          <w:highlight w:val="none"/>
          <w:lang w:val="en-US" w:eastAsia="zh-CN"/>
        </w:rPr>
        <w:t>9</w:t>
      </w: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15</w:t>
      </w:r>
      <w:r>
        <w:rPr>
          <w:rFonts w:hint="eastAsia" w:ascii="仿宋" w:hAnsi="仿宋" w:eastAsia="仿宋"/>
          <w:sz w:val="32"/>
          <w:szCs w:val="32"/>
          <w:highlight w:val="none"/>
        </w:rPr>
        <w:t>%，各项工作产出、效益及满意度均基本实现年初既定目标，较为圆满的完成了年度任务，此次部门整体支出综合绩效评价为9</w:t>
      </w:r>
      <w:r>
        <w:rPr>
          <w:rFonts w:hint="eastAsia" w:ascii="仿宋" w:hAnsi="仿宋" w:eastAsia="仿宋"/>
          <w:sz w:val="32"/>
          <w:szCs w:val="32"/>
          <w:highlight w:val="none"/>
          <w:lang w:val="en-US" w:eastAsia="zh-CN"/>
        </w:rPr>
        <w:t>9.15</w:t>
      </w:r>
      <w:r>
        <w:rPr>
          <w:rFonts w:hint="eastAsia" w:ascii="仿宋" w:hAnsi="仿宋" w:eastAsia="仿宋"/>
          <w:sz w:val="32"/>
          <w:szCs w:val="32"/>
          <w:highlight w:val="none"/>
        </w:rPr>
        <w:t>分，等级为“优秀”。</w:t>
      </w:r>
    </w:p>
    <w:p w14:paraId="2520E42E">
      <w:pPr>
        <w:spacing w:line="560" w:lineRule="exact"/>
        <w:ind w:firstLine="640" w:firstLineChars="200"/>
        <w:rPr>
          <w:rFonts w:ascii="黑体" w:hAnsi="黑体" w:eastAsia="黑体"/>
          <w:sz w:val="32"/>
          <w:szCs w:val="32"/>
          <w:highlight w:val="none"/>
        </w:rPr>
      </w:pPr>
      <w:r>
        <w:rPr>
          <w:rFonts w:hint="eastAsia" w:ascii="黑体" w:hAnsi="黑体" w:eastAsia="黑体"/>
          <w:sz w:val="32"/>
          <w:szCs w:val="32"/>
          <w:highlight w:val="none"/>
        </w:rPr>
        <w:t>五、存在的问题及改进措施</w:t>
      </w:r>
    </w:p>
    <w:p w14:paraId="586F7AC6">
      <w:pPr>
        <w:spacing w:line="560" w:lineRule="exact"/>
        <w:ind w:firstLine="640" w:firstLineChars="200"/>
        <w:rPr>
          <w:rFonts w:hint="eastAsia" w:ascii="楷体" w:hAnsi="楷体" w:eastAsia="楷体"/>
          <w:bCs/>
          <w:sz w:val="32"/>
          <w:szCs w:val="32"/>
          <w:highlight w:val="none"/>
        </w:rPr>
      </w:pPr>
      <w:r>
        <w:rPr>
          <w:rFonts w:hint="eastAsia" w:ascii="楷体" w:hAnsi="楷体" w:eastAsia="楷体"/>
          <w:bCs/>
          <w:sz w:val="32"/>
          <w:szCs w:val="32"/>
          <w:highlight w:val="none"/>
        </w:rPr>
        <w:t>（一）存在的主要问题</w:t>
      </w:r>
    </w:p>
    <w:p w14:paraId="50C17267">
      <w:pPr>
        <w:pStyle w:val="2"/>
        <w:rPr>
          <w:rFonts w:hint="eastAsia" w:ascii="CESI仿宋-GB2312" w:hAnsi="CESI仿宋-GB2312" w:eastAsia="CESI仿宋-GB2312" w:cs="CESI仿宋-GB2312"/>
          <w:sz w:val="32"/>
          <w:szCs w:val="32"/>
          <w:highlight w:val="none"/>
        </w:rPr>
      </w:pPr>
      <w:r>
        <w:rPr>
          <w:rFonts w:hint="eastAsia" w:ascii="CESI仿宋-GB2312" w:hAnsi="CESI仿宋-GB2312" w:eastAsia="CESI仿宋-GB2312" w:cs="CESI仿宋-GB2312"/>
          <w:sz w:val="32"/>
          <w:szCs w:val="32"/>
          <w:highlight w:val="none"/>
        </w:rPr>
        <w:t>通过绩效自评，结合评价结果，我办绝大多数预算项目绩效目标设定清晰准确、易于评价，但是部分项目绩效指标设置不够细化，过于简单。</w:t>
      </w:r>
    </w:p>
    <w:p w14:paraId="546580A2">
      <w:pPr>
        <w:spacing w:line="560" w:lineRule="exact"/>
        <w:ind w:firstLine="640" w:firstLineChars="200"/>
        <w:rPr>
          <w:rFonts w:ascii="楷体" w:hAnsi="楷体" w:eastAsia="楷体"/>
          <w:bCs/>
          <w:sz w:val="32"/>
          <w:szCs w:val="32"/>
          <w:highlight w:val="none"/>
        </w:rPr>
      </w:pPr>
      <w:r>
        <w:rPr>
          <w:rFonts w:hint="eastAsia" w:ascii="楷体" w:hAnsi="楷体" w:eastAsia="楷体"/>
          <w:bCs/>
          <w:sz w:val="32"/>
          <w:szCs w:val="32"/>
          <w:highlight w:val="none"/>
        </w:rPr>
        <w:t>（二）针对问题提出具体的改进措施或建议</w:t>
      </w:r>
    </w:p>
    <w:p w14:paraId="74A5A686">
      <w:pPr>
        <w:pStyle w:val="2"/>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在整个绩效评价体系中，评价指标属于核心内容，同时也是高效开展评价工作的标准。我办在以后的工作中进一步细化、量化具体指标，完善绩效指标体系，提高绩效指标的科学性和可行性。</w:t>
      </w:r>
    </w:p>
    <w:p w14:paraId="1ECEBC62">
      <w:pPr>
        <w:adjustRightInd w:val="0"/>
        <w:snapToGrid w:val="0"/>
        <w:spacing w:line="560" w:lineRule="exact"/>
        <w:ind w:firstLine="640" w:firstLineChars="200"/>
        <w:outlineLvl w:val="0"/>
        <w:rPr>
          <w:rFonts w:ascii="黑体" w:hAnsi="黑体" w:eastAsia="黑体"/>
          <w:sz w:val="32"/>
          <w:szCs w:val="32"/>
          <w:highlight w:val="none"/>
        </w:rPr>
      </w:pPr>
      <w:bookmarkStart w:id="0" w:name="_Toc530"/>
      <w:r>
        <w:rPr>
          <w:rFonts w:hint="eastAsia" w:ascii="黑体" w:hAnsi="黑体" w:eastAsia="黑体"/>
          <w:sz w:val="32"/>
          <w:szCs w:val="32"/>
          <w:highlight w:val="none"/>
        </w:rPr>
        <w:t>六、评价工作组人员名单及签字（姓名、职务</w:t>
      </w:r>
      <w:r>
        <w:rPr>
          <w:rFonts w:hint="eastAsia" w:ascii="黑体" w:hAnsi="黑体" w:eastAsia="黑体"/>
          <w:sz w:val="32"/>
          <w:szCs w:val="32"/>
          <w:highlight w:val="none"/>
          <w:lang w:eastAsia="zh-CN"/>
        </w:rPr>
        <w:t>或</w:t>
      </w:r>
      <w:r>
        <w:rPr>
          <w:rFonts w:hint="eastAsia" w:ascii="黑体" w:hAnsi="黑体" w:eastAsia="黑体"/>
          <w:sz w:val="32"/>
          <w:szCs w:val="32"/>
          <w:highlight w:val="none"/>
        </w:rPr>
        <w:t>职称）</w:t>
      </w:r>
      <w:bookmarkEnd w:id="0"/>
    </w:p>
    <w:p w14:paraId="02B4521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组长：魏洪涛 副主任</w:t>
      </w:r>
    </w:p>
    <w:p w14:paraId="28FE391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组员</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刘雄飞 综合科科长</w:t>
      </w:r>
    </w:p>
    <w:p w14:paraId="0AF7C602">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陈  旭 政策法规科科长、一级主任科员</w:t>
      </w:r>
    </w:p>
    <w:p w14:paraId="505BD1DA">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冯文平</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协调服务一科科长、一级主任科员</w:t>
      </w:r>
    </w:p>
    <w:p w14:paraId="3A732E02">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胡美妹</w:t>
      </w:r>
      <w:r>
        <w:rPr>
          <w:rFonts w:hint="eastAsia" w:ascii="仿宋_GB2312" w:hAnsi="仿宋_GB2312" w:eastAsia="仿宋_GB2312" w:cs="仿宋_GB2312"/>
          <w:sz w:val="32"/>
          <w:szCs w:val="32"/>
          <w:highlight w:val="none"/>
          <w:lang w:val="en-US" w:eastAsia="zh-CN"/>
        </w:rPr>
        <w:t xml:space="preserve"> 协调服务二科</w:t>
      </w:r>
      <w:r>
        <w:rPr>
          <w:rFonts w:hint="eastAsia" w:ascii="仿宋_GB2312" w:hAnsi="仿宋_GB2312" w:eastAsia="仿宋_GB2312" w:cs="仿宋_GB2312"/>
          <w:sz w:val="32"/>
          <w:szCs w:val="32"/>
          <w:highlight w:val="none"/>
          <w:lang w:eastAsia="zh-CN"/>
        </w:rPr>
        <w:t>科长</w:t>
      </w:r>
    </w:p>
    <w:p w14:paraId="61CE580A">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孙国锋</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打击非法金融活动科科长、一级主任科员</w:t>
      </w:r>
      <w:r>
        <w:rPr>
          <w:rFonts w:hint="eastAsia" w:ascii="仿宋_GB2312" w:hAnsi="仿宋_GB2312" w:eastAsia="仿宋_GB2312" w:cs="仿宋_GB2312"/>
          <w:sz w:val="32"/>
          <w:szCs w:val="32"/>
          <w:highlight w:val="none"/>
          <w:lang w:val="en-US" w:eastAsia="zh-CN"/>
        </w:rPr>
        <w:t xml:space="preserve">   </w:t>
      </w:r>
    </w:p>
    <w:p w14:paraId="29DDB86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居春娣</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地方金融管理一科科长</w:t>
      </w:r>
    </w:p>
    <w:p w14:paraId="379E0925">
      <w:pPr>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rPr>
          <w:rFonts w:hint="eastAsia"/>
          <w:highlight w:val="none"/>
        </w:rPr>
      </w:pP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韩</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杰 地方金融管理二科科长</w:t>
      </w:r>
    </w:p>
    <w:p w14:paraId="774C3BDB">
      <w:pPr>
        <w:keepNext w:val="0"/>
        <w:keepLines w:val="0"/>
        <w:pageBreakBefore w:val="0"/>
        <w:widowControl w:val="0"/>
        <w:kinsoku/>
        <w:wordWrap/>
        <w:overflowPunct/>
        <w:topLinePunct w:val="0"/>
        <w:autoSpaceDE/>
        <w:autoSpaceDN/>
        <w:bidi w:val="0"/>
        <w:adjustRightInd/>
        <w:snapToGrid/>
        <w:spacing w:line="600" w:lineRule="exact"/>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李  健 风险防控科科长</w:t>
      </w:r>
    </w:p>
    <w:p w14:paraId="0252B6B1">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彭秀文</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党建指导科科长</w:t>
      </w:r>
    </w:p>
    <w:p w14:paraId="02F9F10D">
      <w:pPr>
        <w:pStyle w:val="2"/>
        <w:ind w:firstLine="1600" w:firstLineChars="5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李晓源</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机关党总支专职副书记、一级主任科员</w:t>
      </w:r>
    </w:p>
    <w:p w14:paraId="58FD144C">
      <w:pPr>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封春珊</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综合科三级主任科员</w:t>
      </w:r>
    </w:p>
    <w:p w14:paraId="00216E15">
      <w:pPr>
        <w:pStyle w:val="2"/>
        <w:rPr>
          <w:rFonts w:hint="default" w:ascii="仿宋" w:hAnsi="仿宋" w:eastAsia="仿宋"/>
          <w:sz w:val="32"/>
          <w:szCs w:val="32"/>
          <w:highlight w:val="none"/>
          <w:lang w:val="en-US" w:eastAsia="zh-CN"/>
        </w:rPr>
      </w:pPr>
    </w:p>
    <w:p w14:paraId="2021781E">
      <w:pPr>
        <w:adjustRightInd w:val="0"/>
        <w:snapToGrid w:val="0"/>
        <w:spacing w:line="560" w:lineRule="exact"/>
        <w:ind w:firstLine="640" w:firstLineChars="200"/>
        <w:rPr>
          <w:rFonts w:ascii="黑体" w:hAnsi="黑体" w:eastAsia="黑体"/>
          <w:sz w:val="32"/>
          <w:szCs w:val="32"/>
        </w:rPr>
      </w:pPr>
    </w:p>
    <w:p w14:paraId="73E9FE21">
      <w:pPr>
        <w:spacing w:line="560" w:lineRule="exact"/>
        <w:rPr>
          <w:rFonts w:ascii="仿宋" w:hAnsi="仿宋" w:eastAsia="仿宋"/>
        </w:rPr>
      </w:pPr>
    </w:p>
    <w:sectPr>
      <w:footerReference r:id="rId3" w:type="default"/>
      <w:pgSz w:w="11906" w:h="16838"/>
      <w:pgMar w:top="1440" w:right="1474" w:bottom="1440"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KSOF557087D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96868">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Quad Arrow 30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D3753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- 1 -</w:t>
                          </w:r>
                          <w:r>
                            <w:rPr>
                              <w:rFonts w:hint="eastAsia"/>
                              <w:sz w:val="18"/>
                            </w:rPr>
                            <w:fldChar w:fldCharType="end"/>
                          </w:r>
                        </w:p>
                      </w:txbxContent>
                    </wps:txbx>
                    <wps:bodyPr wrap="none" lIns="0" tIns="0" rIns="0" bIns="0" upright="1">
                      <a:spAutoFit/>
                    </wps:bodyPr>
                  </wps:wsp>
                </a:graphicData>
              </a:graphic>
            </wp:anchor>
          </w:drawing>
        </mc:Choice>
        <mc:Fallback>
          <w:pict>
            <v:shape id="Quad Arrow 307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DLZp0PwAEAAJ0DAAAOAAAAAAAAAAEAIAAAAB4BAABkcnMvZTJvRG9jLnhtbFBLBQYA&#10;AAAABgAGAFkBAABQBQAAAAA=&#10;">
              <v:fill on="f" focussize="0,0"/>
              <v:stroke on="f"/>
              <v:imagedata o:title=""/>
              <o:lock v:ext="edit" aspectratio="f"/>
              <v:textbox inset="0mm,0mm,0mm,0mm" style="mso-fit-shape-to-text:t;">
                <w:txbxContent>
                  <w:p w14:paraId="01D3753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- 1 -</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05F212"/>
    <w:multiLevelType w:val="singleLevel"/>
    <w:tmpl w:val="B805F212"/>
    <w:lvl w:ilvl="0" w:tentative="0">
      <w:start w:val="13"/>
      <w:numFmt w:val="decimal"/>
      <w:lvlText w:val="%1."/>
      <w:lvlJc w:val="left"/>
      <w:pPr>
        <w:tabs>
          <w:tab w:val="left" w:pos="312"/>
        </w:tabs>
      </w:pPr>
    </w:lvl>
  </w:abstractNum>
  <w:abstractNum w:abstractNumId="1">
    <w:nsid w:val="C2EF0E23"/>
    <w:multiLevelType w:val="singleLevel"/>
    <w:tmpl w:val="C2EF0E23"/>
    <w:lvl w:ilvl="0" w:tentative="0">
      <w:start w:val="2"/>
      <w:numFmt w:val="chineseCounting"/>
      <w:suff w:val="nothing"/>
      <w:lvlText w:val="（%1）"/>
      <w:lvlJc w:val="left"/>
      <w:rPr>
        <w:rFonts w:hint="eastAsia"/>
      </w:rPr>
    </w:lvl>
  </w:abstractNum>
  <w:abstractNum w:abstractNumId="2">
    <w:nsid w:val="0516AA81"/>
    <w:multiLevelType w:val="singleLevel"/>
    <w:tmpl w:val="0516AA81"/>
    <w:lvl w:ilvl="0" w:tentative="0">
      <w:start w:val="2"/>
      <w:numFmt w:val="chineseCounting"/>
      <w:suff w:val="nothing"/>
      <w:lvlText w:val="（%1）"/>
      <w:lvlJc w:val="left"/>
      <w:pPr>
        <w:ind w:left="642" w:firstLine="0"/>
      </w:pPr>
      <w:rPr>
        <w:rFonts w:hint="eastAsia"/>
      </w:rPr>
    </w:lvl>
  </w:abstractNum>
  <w:abstractNum w:abstractNumId="3">
    <w:nsid w:val="5E68489B"/>
    <w:multiLevelType w:val="singleLevel"/>
    <w:tmpl w:val="5E68489B"/>
    <w:lvl w:ilvl="0" w:tentative="0">
      <w:start w:val="1"/>
      <w:numFmt w:val="chineseCounting"/>
      <w:suff w:val="nothing"/>
      <w:lvlText w:val="（%1）"/>
      <w:lvlJc w:val="left"/>
      <w:rPr>
        <w:rFonts w:ascii="楷体" w:hAnsi="楷体" w:eastAsia="楷体"/>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xMzVhZTBlNDUyZWUxNDVhMjNkN2E1NjFlOTE5NDcifQ=="/>
  </w:docVars>
  <w:rsids>
    <w:rsidRoot w:val="0EBD2122"/>
    <w:rsid w:val="000B0260"/>
    <w:rsid w:val="001F187B"/>
    <w:rsid w:val="007E6C1F"/>
    <w:rsid w:val="00956A93"/>
    <w:rsid w:val="009E575C"/>
    <w:rsid w:val="00AF167E"/>
    <w:rsid w:val="00AF566A"/>
    <w:rsid w:val="00B478EA"/>
    <w:rsid w:val="00B6553A"/>
    <w:rsid w:val="00BC6576"/>
    <w:rsid w:val="00CE06BA"/>
    <w:rsid w:val="00F441CC"/>
    <w:rsid w:val="01B104CA"/>
    <w:rsid w:val="02106AB0"/>
    <w:rsid w:val="02B43A28"/>
    <w:rsid w:val="046F331E"/>
    <w:rsid w:val="059CAC1A"/>
    <w:rsid w:val="07956271"/>
    <w:rsid w:val="09721397"/>
    <w:rsid w:val="0BB63BED"/>
    <w:rsid w:val="0EB97A43"/>
    <w:rsid w:val="0EBD2122"/>
    <w:rsid w:val="0F214EAE"/>
    <w:rsid w:val="109127D2"/>
    <w:rsid w:val="11B71E6A"/>
    <w:rsid w:val="1AAF0063"/>
    <w:rsid w:val="1B740D26"/>
    <w:rsid w:val="1BE140DE"/>
    <w:rsid w:val="1E542E40"/>
    <w:rsid w:val="203D202F"/>
    <w:rsid w:val="24550F60"/>
    <w:rsid w:val="248C197D"/>
    <w:rsid w:val="252959AF"/>
    <w:rsid w:val="277A6671"/>
    <w:rsid w:val="27962024"/>
    <w:rsid w:val="292D35B7"/>
    <w:rsid w:val="30EC5135"/>
    <w:rsid w:val="31712FCE"/>
    <w:rsid w:val="33EB6CFF"/>
    <w:rsid w:val="35A12947"/>
    <w:rsid w:val="373053A4"/>
    <w:rsid w:val="37387040"/>
    <w:rsid w:val="3B625C0A"/>
    <w:rsid w:val="3BD7A2A0"/>
    <w:rsid w:val="3CEE1963"/>
    <w:rsid w:val="3DFF711F"/>
    <w:rsid w:val="3E7542E9"/>
    <w:rsid w:val="3EFD96AE"/>
    <w:rsid w:val="3FFBD1AE"/>
    <w:rsid w:val="436B78D3"/>
    <w:rsid w:val="4A526770"/>
    <w:rsid w:val="4C9C27FE"/>
    <w:rsid w:val="4E9C2420"/>
    <w:rsid w:val="4F5FE759"/>
    <w:rsid w:val="502A44B1"/>
    <w:rsid w:val="512260B4"/>
    <w:rsid w:val="512D422F"/>
    <w:rsid w:val="52BD6ACB"/>
    <w:rsid w:val="53843FA2"/>
    <w:rsid w:val="55537534"/>
    <w:rsid w:val="55FF491A"/>
    <w:rsid w:val="561A74F1"/>
    <w:rsid w:val="58B17416"/>
    <w:rsid w:val="597244E8"/>
    <w:rsid w:val="59DD79EF"/>
    <w:rsid w:val="5A795B42"/>
    <w:rsid w:val="5C4757D4"/>
    <w:rsid w:val="5EB71C30"/>
    <w:rsid w:val="5FFB0098"/>
    <w:rsid w:val="60EF398D"/>
    <w:rsid w:val="63A92BC4"/>
    <w:rsid w:val="64A885C6"/>
    <w:rsid w:val="65F811B5"/>
    <w:rsid w:val="66AF0CE5"/>
    <w:rsid w:val="66FF3FD3"/>
    <w:rsid w:val="68AC2130"/>
    <w:rsid w:val="68BBF459"/>
    <w:rsid w:val="6AC537CF"/>
    <w:rsid w:val="6C1061EE"/>
    <w:rsid w:val="6C124AEB"/>
    <w:rsid w:val="6E5B14A6"/>
    <w:rsid w:val="6FBFE1B7"/>
    <w:rsid w:val="6FD70D7C"/>
    <w:rsid w:val="711B255E"/>
    <w:rsid w:val="712E6ACA"/>
    <w:rsid w:val="73F5D283"/>
    <w:rsid w:val="73FF3881"/>
    <w:rsid w:val="75F7FE66"/>
    <w:rsid w:val="766E3D32"/>
    <w:rsid w:val="77FFFED3"/>
    <w:rsid w:val="783A251B"/>
    <w:rsid w:val="7ADAFCB6"/>
    <w:rsid w:val="7AF72938"/>
    <w:rsid w:val="7AFF2E0C"/>
    <w:rsid w:val="7BB51E06"/>
    <w:rsid w:val="7BC5A95E"/>
    <w:rsid w:val="7BCD329A"/>
    <w:rsid w:val="7BFFC0E6"/>
    <w:rsid w:val="7C387F7C"/>
    <w:rsid w:val="7E5F38E8"/>
    <w:rsid w:val="7EDBE36A"/>
    <w:rsid w:val="7FBD16EB"/>
    <w:rsid w:val="7FD77007"/>
    <w:rsid w:val="7FE83423"/>
    <w:rsid w:val="7FF3CE18"/>
    <w:rsid w:val="7FFED77B"/>
    <w:rsid w:val="83FF8660"/>
    <w:rsid w:val="A676F20E"/>
    <w:rsid w:val="B3BD899A"/>
    <w:rsid w:val="BEFD0908"/>
    <w:rsid w:val="BFBF90B6"/>
    <w:rsid w:val="CEF8B1F2"/>
    <w:rsid w:val="CFE914EE"/>
    <w:rsid w:val="D9B71BB5"/>
    <w:rsid w:val="DF3F34A4"/>
    <w:rsid w:val="DF6B81DB"/>
    <w:rsid w:val="DFCFA829"/>
    <w:rsid w:val="E3DDBBD0"/>
    <w:rsid w:val="EB7EEFFE"/>
    <w:rsid w:val="ED7B69EB"/>
    <w:rsid w:val="F5F70158"/>
    <w:rsid w:val="F65C48A3"/>
    <w:rsid w:val="F77FD19E"/>
    <w:rsid w:val="F8CF873F"/>
    <w:rsid w:val="FADF7F62"/>
    <w:rsid w:val="FB3FF01D"/>
    <w:rsid w:val="FBB38C85"/>
    <w:rsid w:val="FDF198C5"/>
    <w:rsid w:val="FE563B9A"/>
    <w:rsid w:val="FEF7FD79"/>
    <w:rsid w:val="FFBC2FEE"/>
    <w:rsid w:val="FFFD0F84"/>
    <w:rsid w:val="FFFEEA8D"/>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qFormat/>
    <w:uiPriority w:val="0"/>
    <w:pPr>
      <w:widowControl w:val="0"/>
      <w:ind w:firstLine="420" w:firstLineChars="200"/>
      <w:jc w:val="both"/>
    </w:pPr>
    <w:rPr>
      <w:rFonts w:ascii="Calibri" w:hAnsi="Calibri" w:eastAsia="宋体" w:cs="黑体"/>
      <w:kern w:val="2"/>
      <w:sz w:val="21"/>
      <w:szCs w:val="22"/>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customStyle="1" w:styleId="7">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8">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548</Words>
  <Characters>597</Characters>
  <Lines>4</Lines>
  <Paragraphs>1</Paragraphs>
  <TotalTime>21</TotalTime>
  <ScaleCrop>false</ScaleCrop>
  <LinksUpToDate>false</LinksUpToDate>
  <CharactersWithSpaces>606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2020-02-05T11:46:00Z</dcterms:created>
  <dc:creator>欣欣大人</dc:creator>
  <cp:lastModifiedBy>(´〜｀*) zzz</cp:lastModifiedBy>
  <cp:lastPrinted>2026-03-04T09:23:00Z</cp:lastPrinted>
  <dcterms:modified xsi:type="dcterms:W3CDTF">2026-07-02T01:39:34Z</dcterms:modified>
  <dc:title>附件3：</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3AA45A6D50AE46E1815D32D30B29D57A_13</vt:lpwstr>
  </property>
  <property fmtid="{D5CDD505-2E9C-101B-9397-08002B2CF9AE}" pid="4" name="KSOTemplateDocerSaveRecord">
    <vt:lpwstr>eyJoZGlkIjoiMzEwYWJmODFjZWI5YTQxYTk2OWU2ODI5Mzg1ZjU5YWQiLCJ1c2VySWQiOiI3NTc1MjkyNDQifQ==</vt:lpwstr>
  </property>
</Properties>
</file>