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rPr>
          <w:rFonts w:hint="default"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4</w:t>
      </w:r>
    </w:p>
    <w:p>
      <w:pPr>
        <w:spacing w:line="560" w:lineRule="exact"/>
        <w:jc w:val="center"/>
        <w:rPr>
          <w:rFonts w:ascii="宋体" w:hAnsi="宋体" w:cs="宋体"/>
          <w:b/>
          <w:bCs/>
          <w:sz w:val="44"/>
          <w:szCs w:val="44"/>
        </w:rPr>
      </w:pPr>
    </w:p>
    <w:p>
      <w:pPr>
        <w:spacing w:line="560" w:lineRule="exact"/>
        <w:jc w:val="center"/>
        <w:rPr>
          <w:rFonts w:hint="eastAsia" w:ascii="宋体" w:hAnsi="宋体" w:cs="宋体"/>
          <w:b/>
          <w:bCs/>
          <w:sz w:val="44"/>
          <w:szCs w:val="44"/>
        </w:rPr>
      </w:pPr>
      <w:r>
        <w:rPr>
          <w:rFonts w:hint="eastAsia" w:ascii="宋体" w:hAnsi="宋体" w:cs="宋体"/>
          <w:b/>
          <w:bCs/>
          <w:sz w:val="44"/>
          <w:szCs w:val="44"/>
          <w:lang w:eastAsia="zh-CN"/>
        </w:rPr>
        <w:t>石家庄市建设项目评审评估中心</w:t>
      </w:r>
      <w:r>
        <w:rPr>
          <w:rFonts w:hint="eastAsia" w:ascii="宋体" w:hAnsi="宋体" w:cs="宋体"/>
          <w:b/>
          <w:bCs/>
          <w:sz w:val="44"/>
          <w:szCs w:val="44"/>
        </w:rPr>
        <w:t>部门</w:t>
      </w:r>
    </w:p>
    <w:p>
      <w:pPr>
        <w:spacing w:line="560" w:lineRule="exact"/>
        <w:jc w:val="center"/>
        <w:rPr>
          <w:rFonts w:ascii="宋体" w:hAnsi="宋体" w:cs="宋体"/>
          <w:b/>
          <w:bCs/>
          <w:sz w:val="44"/>
          <w:szCs w:val="44"/>
        </w:rPr>
      </w:pPr>
      <w:r>
        <w:rPr>
          <w:rFonts w:hint="eastAsia" w:ascii="宋体" w:hAnsi="宋体" w:cs="宋体"/>
          <w:b/>
          <w:bCs/>
          <w:sz w:val="44"/>
          <w:szCs w:val="44"/>
        </w:rPr>
        <w:t>202</w:t>
      </w:r>
      <w:r>
        <w:rPr>
          <w:rFonts w:hint="eastAsia" w:ascii="宋体" w:hAnsi="宋体" w:cs="宋体"/>
          <w:b/>
          <w:bCs/>
          <w:sz w:val="44"/>
          <w:szCs w:val="44"/>
          <w:lang w:val="en-US" w:eastAsia="zh-CN"/>
        </w:rPr>
        <w:t>5</w:t>
      </w:r>
      <w:r>
        <w:rPr>
          <w:rFonts w:hint="eastAsia" w:ascii="宋体" w:hAnsi="宋体" w:cs="宋体"/>
          <w:b/>
          <w:bCs/>
          <w:sz w:val="44"/>
          <w:szCs w:val="44"/>
        </w:rPr>
        <w:t>年度整体支出绩效自评报告</w:t>
      </w:r>
    </w:p>
    <w:p>
      <w:pPr>
        <w:spacing w:line="560" w:lineRule="exact"/>
        <w:jc w:val="center"/>
        <w:rPr>
          <w:rFonts w:hint="eastAsia" w:ascii="华文楷体" w:eastAsia="华文楷体"/>
          <w:sz w:val="32"/>
          <w:szCs w:val="32"/>
          <w:lang w:eastAsia="zh-CN"/>
        </w:rPr>
      </w:pPr>
      <w:r>
        <w:rPr>
          <w:rFonts w:hint="eastAsia" w:ascii="宋体" w:hAnsi="宋体" w:eastAsia="华文楷体" w:cs="宋体"/>
          <w:sz w:val="32"/>
          <w:szCs w:val="32"/>
          <w:lang w:val="en-US" w:eastAsia="zh-CN"/>
        </w:rPr>
        <w:t xml:space="preserve"> </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贯彻落实市委市政府《关于全面落实预算绩效管理的实施意见》（石发﹝2019﹞8号）文件精神，遵循“科学性、规范性、客观性和公正性”的原则，对</w:t>
      </w:r>
      <w:r>
        <w:rPr>
          <w:rFonts w:hint="eastAsia" w:ascii="仿宋" w:hAnsi="仿宋" w:eastAsia="仿宋"/>
          <w:sz w:val="32"/>
          <w:szCs w:val="32"/>
          <w:lang w:eastAsia="zh-CN"/>
        </w:rPr>
        <w:t>石家庄市建设项目评审评估中心</w:t>
      </w:r>
      <w:r>
        <w:rPr>
          <w:rFonts w:hint="eastAsia" w:ascii="仿宋" w:hAnsi="仿宋" w:eastAsia="仿宋"/>
          <w:sz w:val="32"/>
          <w:szCs w:val="32"/>
        </w:rPr>
        <w:t>部门202</w:t>
      </w:r>
      <w:r>
        <w:rPr>
          <w:rFonts w:hint="eastAsia" w:ascii="仿宋" w:hAnsi="仿宋" w:eastAsia="仿宋"/>
          <w:sz w:val="32"/>
          <w:szCs w:val="32"/>
          <w:lang w:val="en-US" w:eastAsia="zh-CN"/>
        </w:rPr>
        <w:t>5</w:t>
      </w:r>
      <w:r>
        <w:rPr>
          <w:rFonts w:hint="eastAsia" w:ascii="仿宋" w:hAnsi="仿宋" w:eastAsia="仿宋"/>
          <w:sz w:val="32"/>
          <w:szCs w:val="32"/>
        </w:rPr>
        <w:t>年整体支出情况实施了财政支出绩效自评价，形成本评价报告。</w:t>
      </w:r>
    </w:p>
    <w:p>
      <w:pPr>
        <w:adjustRightInd w:val="0"/>
        <w:snapToGrid w:val="0"/>
        <w:spacing w:line="560" w:lineRule="exact"/>
        <w:rPr>
          <w:rFonts w:ascii="黑体" w:hAnsi="黑体" w:eastAsia="黑体"/>
          <w:b/>
          <w:bCs/>
          <w:sz w:val="32"/>
          <w:szCs w:val="36"/>
        </w:rPr>
      </w:pPr>
      <w:r>
        <w:rPr>
          <w:rFonts w:hint="eastAsia" w:ascii="黑体" w:hAnsi="黑体" w:eastAsia="黑体"/>
          <w:sz w:val="32"/>
          <w:szCs w:val="32"/>
        </w:rPr>
        <w:t xml:space="preserve">     一、部门</w:t>
      </w:r>
      <w:r>
        <w:rPr>
          <w:rFonts w:hint="eastAsia" w:ascii="黑体" w:hAnsi="黑体" w:eastAsia="黑体"/>
          <w:sz w:val="32"/>
          <w:szCs w:val="36"/>
        </w:rPr>
        <w:t>基本情况</w:t>
      </w:r>
    </w:p>
    <w:p>
      <w:pPr>
        <w:adjustRightInd w:val="0"/>
        <w:snapToGrid w:val="0"/>
        <w:spacing w:line="560" w:lineRule="exact"/>
        <w:ind w:firstLine="640" w:firstLineChars="200"/>
        <w:rPr>
          <w:rFonts w:ascii="楷体" w:hAnsi="楷体" w:eastAsia="楷体" w:cs="楷体_GB2312"/>
          <w:bCs/>
          <w:sz w:val="32"/>
          <w:szCs w:val="32"/>
        </w:rPr>
      </w:pPr>
      <w:r>
        <w:rPr>
          <w:rFonts w:hint="eastAsia" w:ascii="楷体" w:hAnsi="楷体" w:eastAsia="楷体" w:cs="楷体_GB2312"/>
          <w:bCs/>
          <w:sz w:val="32"/>
          <w:szCs w:val="32"/>
        </w:rPr>
        <w:t>（一）部门概况</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根据《关于明确市建设项目评审评估中心职责的通知》，石家庄市建设项目评审评估中心的主要职责是：</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1.部门职能</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1）负责对政府投资（含预算单位自有资金，下同）、市属国有企业投资和以政府投资、市属国有企业投资为主以及其他关系国家利益和公共利益的公共工程项目的项目建设方案投资额、项目建议书、可行性研究报告、初步设计、概算、预算（拦标价）、竣工决（结）算等事项全过程的评估、评审提供事务性服务保障和技术支持；</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2）负责对维修改造及改扩建项目，征地拆迁、土地储备、协议搬迁、土地前期整理项目，公共设施运行与维护、信息化项目建设与维护等项目的预算（拦标价）、竣工决（结）算等评估、评审工作提供事务性服务保障和技术支持；</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（3）负责对市委、市政府指定的评审项目，其他财政专项资金使用情况等评估、评审工作提供事务性服务保障和技术支持；</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（4）负责出具评估、评审意见等事务性工作；</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（5）负责对第三方出具的评估、评审结果进行复核；</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（6）承办市委、市政府交办的其他项目评估、评审工作</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2.机构设置</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石家庄市建设项目评审评估中心为公益一类全额拨款市政府直属事业单位。纳入我部门决算编汇范围的独立核算单位共1个，系石家庄市建设项目评审评估中心。</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截至202</w:t>
      </w:r>
      <w:r>
        <w:rPr>
          <w:rFonts w:hint="eastAsia" w:ascii="仿宋" w:hAnsi="仿宋" w:eastAsia="仿宋"/>
          <w:sz w:val="32"/>
          <w:szCs w:val="32"/>
          <w:lang w:val="en-US" w:eastAsia="zh-CN"/>
        </w:rPr>
        <w:t>5</w:t>
      </w:r>
      <w:r>
        <w:rPr>
          <w:rFonts w:hint="eastAsia" w:ascii="仿宋" w:hAnsi="仿宋" w:eastAsia="仿宋"/>
          <w:sz w:val="32"/>
          <w:szCs w:val="32"/>
        </w:rPr>
        <w:t>年12月31日，我单位石家庄市建设项目评审评估中心编制人数</w:t>
      </w:r>
      <w:r>
        <w:rPr>
          <w:rFonts w:hint="eastAsia" w:ascii="仿宋" w:hAnsi="仿宋" w:eastAsia="仿宋"/>
          <w:sz w:val="32"/>
          <w:szCs w:val="32"/>
          <w:lang w:val="en-US" w:eastAsia="zh-CN"/>
        </w:rPr>
        <w:t>75</w:t>
      </w:r>
      <w:r>
        <w:rPr>
          <w:rFonts w:hint="eastAsia" w:ascii="仿宋" w:hAnsi="仿宋" w:eastAsia="仿宋"/>
          <w:sz w:val="32"/>
          <w:szCs w:val="32"/>
        </w:rPr>
        <w:t>人，年末实有人数</w:t>
      </w:r>
      <w:r>
        <w:rPr>
          <w:rFonts w:hint="eastAsia" w:ascii="仿宋" w:hAnsi="仿宋" w:eastAsia="仿宋"/>
          <w:sz w:val="32"/>
          <w:szCs w:val="32"/>
          <w:lang w:val="en-US" w:eastAsia="zh-CN"/>
        </w:rPr>
        <w:t>58</w:t>
      </w:r>
      <w:r>
        <w:rPr>
          <w:rFonts w:hint="eastAsia" w:ascii="仿宋" w:hAnsi="仿宋" w:eastAsia="仿宋"/>
          <w:sz w:val="32"/>
          <w:szCs w:val="32"/>
        </w:rPr>
        <w:t>人。</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3.资产情况</w:t>
      </w:r>
    </w:p>
    <w:p>
      <w:pPr>
        <w:adjustRightInd w:val="0"/>
        <w:snapToGrid w:val="0"/>
        <w:spacing w:line="560" w:lineRule="exact"/>
        <w:ind w:firstLine="640" w:firstLineChars="200"/>
        <w:rPr>
          <w:rFonts w:ascii="仿宋" w:hAnsi="仿宋" w:eastAsia="仿宋"/>
          <w:sz w:val="32"/>
          <w:szCs w:val="32"/>
          <w:highlight w:val="none"/>
        </w:rPr>
      </w:pPr>
      <w:r>
        <w:rPr>
          <w:rFonts w:hint="eastAsia" w:ascii="仿宋" w:hAnsi="仿宋" w:eastAsia="仿宋"/>
          <w:sz w:val="32"/>
          <w:szCs w:val="32"/>
          <w:highlight w:val="none"/>
        </w:rPr>
        <w:t>截至202</w:t>
      </w:r>
      <w:r>
        <w:rPr>
          <w:rFonts w:hint="eastAsia" w:ascii="仿宋" w:hAnsi="仿宋" w:eastAsia="仿宋"/>
          <w:sz w:val="32"/>
          <w:szCs w:val="32"/>
          <w:highlight w:val="none"/>
          <w:lang w:val="en-US" w:eastAsia="zh-CN"/>
        </w:rPr>
        <w:t>5</w:t>
      </w:r>
      <w:r>
        <w:rPr>
          <w:rFonts w:hint="eastAsia" w:ascii="仿宋" w:hAnsi="仿宋" w:eastAsia="仿宋"/>
          <w:sz w:val="32"/>
          <w:szCs w:val="32"/>
          <w:highlight w:val="none"/>
        </w:rPr>
        <w:t>年12月31日，我单位资产总额（账面净值）</w:t>
      </w:r>
      <w:r>
        <w:rPr>
          <w:rFonts w:hint="eastAsia" w:ascii="仿宋" w:hAnsi="仿宋" w:eastAsia="仿宋"/>
          <w:sz w:val="32"/>
          <w:szCs w:val="32"/>
          <w:highlight w:val="none"/>
          <w:lang w:val="en-US" w:eastAsia="zh-CN"/>
        </w:rPr>
        <w:t>276.05</w:t>
      </w:r>
      <w:r>
        <w:rPr>
          <w:rFonts w:hint="eastAsia" w:ascii="仿宋" w:hAnsi="仿宋" w:eastAsia="仿宋"/>
          <w:sz w:val="32"/>
          <w:szCs w:val="32"/>
          <w:highlight w:val="none"/>
        </w:rPr>
        <w:t>万元，负债总额</w:t>
      </w:r>
      <w:r>
        <w:rPr>
          <w:rFonts w:hint="eastAsia" w:ascii="仿宋" w:hAnsi="仿宋" w:eastAsia="仿宋"/>
          <w:sz w:val="32"/>
          <w:szCs w:val="32"/>
          <w:highlight w:val="none"/>
          <w:lang w:val="en-US" w:eastAsia="zh-CN"/>
        </w:rPr>
        <w:t>0.19</w:t>
      </w:r>
      <w:r>
        <w:rPr>
          <w:rFonts w:hint="eastAsia" w:ascii="仿宋" w:hAnsi="仿宋" w:eastAsia="仿宋"/>
          <w:sz w:val="32"/>
          <w:szCs w:val="32"/>
          <w:highlight w:val="none"/>
        </w:rPr>
        <w:t>万元,净资产</w:t>
      </w:r>
      <w:r>
        <w:rPr>
          <w:rFonts w:hint="eastAsia" w:ascii="仿宋" w:hAnsi="仿宋" w:eastAsia="仿宋"/>
          <w:sz w:val="32"/>
          <w:szCs w:val="32"/>
          <w:highlight w:val="none"/>
          <w:lang w:val="en-US" w:eastAsia="zh-CN"/>
        </w:rPr>
        <w:t>275.86</w:t>
      </w:r>
      <w:r>
        <w:rPr>
          <w:rFonts w:hint="eastAsia" w:ascii="仿宋" w:hAnsi="仿宋" w:eastAsia="仿宋"/>
          <w:sz w:val="32"/>
          <w:szCs w:val="32"/>
          <w:highlight w:val="none"/>
        </w:rPr>
        <w:t>万元。资产包含货币资金</w:t>
      </w:r>
      <w:r>
        <w:rPr>
          <w:rFonts w:hint="eastAsia" w:ascii="仿宋" w:hAnsi="仿宋" w:eastAsia="仿宋"/>
          <w:sz w:val="32"/>
          <w:szCs w:val="32"/>
          <w:highlight w:val="none"/>
          <w:lang w:val="en-US" w:eastAsia="zh-CN"/>
        </w:rPr>
        <w:t>0.19</w:t>
      </w:r>
      <w:r>
        <w:rPr>
          <w:rFonts w:hint="eastAsia" w:ascii="仿宋" w:hAnsi="仿宋" w:eastAsia="仿宋"/>
          <w:sz w:val="32"/>
          <w:szCs w:val="32"/>
          <w:highlight w:val="none"/>
        </w:rPr>
        <w:t>万元，固定资产原值</w:t>
      </w:r>
      <w:r>
        <w:rPr>
          <w:rFonts w:hint="eastAsia" w:ascii="仿宋" w:hAnsi="仿宋" w:eastAsia="仿宋"/>
          <w:sz w:val="32"/>
          <w:szCs w:val="32"/>
          <w:highlight w:val="none"/>
          <w:lang w:val="en-US" w:eastAsia="zh-CN"/>
        </w:rPr>
        <w:t>412.78</w:t>
      </w:r>
      <w:r>
        <w:rPr>
          <w:rFonts w:hint="eastAsia" w:ascii="仿宋" w:hAnsi="仿宋" w:eastAsia="仿宋"/>
          <w:sz w:val="32"/>
          <w:szCs w:val="32"/>
          <w:highlight w:val="none"/>
        </w:rPr>
        <w:t>万元，固定资产累计折旧</w:t>
      </w:r>
      <w:r>
        <w:rPr>
          <w:rFonts w:hint="eastAsia" w:ascii="仿宋" w:hAnsi="仿宋" w:eastAsia="仿宋"/>
          <w:sz w:val="32"/>
          <w:szCs w:val="32"/>
          <w:highlight w:val="none"/>
          <w:lang w:val="en-US" w:eastAsia="zh-CN"/>
        </w:rPr>
        <w:t>285.66</w:t>
      </w:r>
      <w:r>
        <w:rPr>
          <w:rFonts w:hint="eastAsia" w:ascii="仿宋" w:hAnsi="仿宋" w:eastAsia="仿宋"/>
          <w:sz w:val="32"/>
          <w:szCs w:val="32"/>
          <w:highlight w:val="none"/>
        </w:rPr>
        <w:t>万元，固定资产净值</w:t>
      </w:r>
      <w:r>
        <w:rPr>
          <w:rFonts w:hint="eastAsia" w:ascii="仿宋" w:hAnsi="仿宋" w:eastAsia="仿宋"/>
          <w:sz w:val="32"/>
          <w:szCs w:val="32"/>
          <w:highlight w:val="none"/>
          <w:lang w:val="en-US" w:eastAsia="zh-CN"/>
        </w:rPr>
        <w:t>127.12</w:t>
      </w:r>
      <w:r>
        <w:rPr>
          <w:rFonts w:hint="eastAsia" w:ascii="仿宋" w:hAnsi="仿宋" w:eastAsia="仿宋"/>
          <w:sz w:val="32"/>
          <w:szCs w:val="32"/>
          <w:highlight w:val="none"/>
        </w:rPr>
        <w:t>万元。无形资产原值</w:t>
      </w:r>
      <w:r>
        <w:rPr>
          <w:rFonts w:hint="eastAsia" w:ascii="仿宋" w:hAnsi="仿宋" w:eastAsia="仿宋"/>
          <w:sz w:val="32"/>
          <w:szCs w:val="32"/>
          <w:highlight w:val="none"/>
          <w:lang w:val="en-US" w:eastAsia="zh-CN"/>
        </w:rPr>
        <w:t>187.87</w:t>
      </w:r>
      <w:r>
        <w:rPr>
          <w:rFonts w:hint="eastAsia" w:ascii="仿宋" w:hAnsi="仿宋" w:eastAsia="仿宋"/>
          <w:sz w:val="32"/>
          <w:szCs w:val="32"/>
          <w:highlight w:val="none"/>
        </w:rPr>
        <w:t>万元，无形资产累计摊销</w:t>
      </w:r>
      <w:r>
        <w:rPr>
          <w:rFonts w:hint="eastAsia" w:ascii="仿宋" w:hAnsi="仿宋" w:eastAsia="仿宋"/>
          <w:sz w:val="32"/>
          <w:szCs w:val="32"/>
          <w:highlight w:val="none"/>
          <w:lang w:val="en-US" w:eastAsia="zh-CN"/>
        </w:rPr>
        <w:t>39.13</w:t>
      </w:r>
      <w:r>
        <w:rPr>
          <w:rFonts w:hint="eastAsia" w:ascii="仿宋" w:hAnsi="仿宋" w:eastAsia="仿宋"/>
          <w:sz w:val="32"/>
          <w:szCs w:val="32"/>
          <w:highlight w:val="none"/>
        </w:rPr>
        <w:t>万元，无形资产净值</w:t>
      </w:r>
      <w:r>
        <w:rPr>
          <w:rFonts w:hint="eastAsia" w:ascii="仿宋" w:hAnsi="仿宋" w:eastAsia="仿宋"/>
          <w:sz w:val="32"/>
          <w:szCs w:val="32"/>
          <w:highlight w:val="none"/>
          <w:lang w:val="en-US" w:eastAsia="zh-CN"/>
        </w:rPr>
        <w:t>148.74</w:t>
      </w:r>
      <w:r>
        <w:rPr>
          <w:rFonts w:hint="eastAsia" w:ascii="仿宋" w:hAnsi="仿宋" w:eastAsia="仿宋"/>
          <w:sz w:val="32"/>
          <w:szCs w:val="32"/>
          <w:highlight w:val="none"/>
        </w:rPr>
        <w:t>万元。资产管理依照政府采购目录进行政府采购，加强固定资产登记、使用和报废处置管理，做到支出合理，物尽其用。</w:t>
      </w:r>
    </w:p>
    <w:p>
      <w:pPr>
        <w:adjustRightInd w:val="0"/>
        <w:snapToGrid w:val="0"/>
        <w:spacing w:line="560" w:lineRule="exact"/>
        <w:ind w:firstLine="640" w:firstLineChars="200"/>
        <w:rPr>
          <w:rFonts w:ascii="仿宋" w:hAnsi="仿宋" w:eastAsia="仿宋"/>
          <w:sz w:val="32"/>
          <w:szCs w:val="32"/>
          <w:highlight w:val="none"/>
        </w:rPr>
        <w:sectPr>
          <w:pgSz w:w="11900" w:h="16840"/>
          <w:pgMar w:top="1440" w:right="1800" w:bottom="1440" w:left="1800" w:header="720" w:footer="720" w:gutter="0"/>
          <w:pgNumType w:start="1"/>
          <w:cols w:space="720" w:num="1"/>
        </w:sectPr>
      </w:pPr>
    </w:p>
    <w:p>
      <w:pPr>
        <w:numPr>
          <w:ilvl w:val="0"/>
          <w:numId w:val="1"/>
        </w:numPr>
        <w:adjustRightInd w:val="0"/>
        <w:snapToGrid w:val="0"/>
        <w:spacing w:line="560" w:lineRule="exact"/>
        <w:ind w:firstLine="640" w:firstLineChars="200"/>
        <w:rPr>
          <w:rFonts w:hint="eastAsia" w:ascii="楷体" w:hAnsi="楷体" w:eastAsia="楷体" w:cs="楷体_GB2312"/>
          <w:bCs/>
          <w:sz w:val="32"/>
          <w:szCs w:val="32"/>
        </w:rPr>
      </w:pPr>
      <w:r>
        <w:rPr>
          <w:rFonts w:hint="eastAsia" w:ascii="楷体" w:hAnsi="楷体" w:eastAsia="楷体" w:cs="楷体_GB2312"/>
          <w:bCs/>
          <w:sz w:val="32"/>
          <w:szCs w:val="32"/>
        </w:rPr>
        <w:t>部门收支预决算情况</w:t>
      </w:r>
    </w:p>
    <w:p>
      <w:pPr>
        <w:adjustRightInd w:val="0"/>
        <w:snapToGrid w:val="0"/>
        <w:spacing w:line="560" w:lineRule="exact"/>
        <w:ind w:firstLine="640" w:firstLineChars="200"/>
        <w:rPr>
          <w:rFonts w:hint="eastAsia" w:ascii="仿宋" w:hAnsi="仿宋" w:eastAsia="仿宋"/>
          <w:sz w:val="32"/>
          <w:szCs w:val="32"/>
          <w:highlight w:val="none"/>
          <w:lang w:val="en-US" w:eastAsia="zh-CN"/>
        </w:rPr>
      </w:pPr>
      <w:r>
        <w:rPr>
          <w:rFonts w:hint="eastAsia" w:ascii="仿宋" w:hAnsi="仿宋" w:eastAsia="仿宋"/>
          <w:sz w:val="32"/>
          <w:szCs w:val="32"/>
          <w:highlight w:val="none"/>
          <w:lang w:val="en-US" w:eastAsia="zh-CN"/>
        </w:rPr>
        <w:t>我中心2025年一般公共预算收入年初预算2901.97万元，其中基本支出996.15万元，项目支出1905.82万元。</w:t>
      </w:r>
    </w:p>
    <w:p>
      <w:pPr>
        <w:adjustRightInd w:val="0"/>
        <w:snapToGrid w:val="0"/>
        <w:spacing w:line="560" w:lineRule="exact"/>
        <w:ind w:firstLine="640" w:firstLineChars="200"/>
        <w:rPr>
          <w:rFonts w:hint="default" w:ascii="仿宋" w:hAnsi="仿宋" w:eastAsia="仿宋"/>
          <w:sz w:val="32"/>
          <w:szCs w:val="32"/>
          <w:highlight w:val="none"/>
          <w:lang w:val="en-US" w:eastAsia="zh-CN"/>
        </w:rPr>
      </w:pPr>
      <w:r>
        <w:rPr>
          <w:rFonts w:hint="eastAsia" w:ascii="仿宋" w:hAnsi="仿宋" w:eastAsia="仿宋"/>
          <w:sz w:val="32"/>
          <w:szCs w:val="32"/>
          <w:highlight w:val="none"/>
          <w:lang w:val="en-US" w:eastAsia="zh-CN"/>
        </w:rPr>
        <w:t>2025年决算收入2829.21万元，上年结转0.061万元，决算支出2829.17万元，其中基本支出1043.17万元，项目支出1786.00万元。</w:t>
      </w:r>
    </w:p>
    <w:p>
      <w:pPr>
        <w:adjustRightInd w:val="0"/>
        <w:snapToGrid w:val="0"/>
        <w:spacing w:line="560" w:lineRule="exact"/>
        <w:ind w:firstLine="640" w:firstLineChars="200"/>
        <w:rPr>
          <w:rFonts w:ascii="楷体" w:hAnsi="楷体" w:eastAsia="楷体" w:cs="楷体_GB2312"/>
          <w:bCs/>
          <w:sz w:val="32"/>
          <w:szCs w:val="32"/>
        </w:rPr>
      </w:pPr>
      <w:r>
        <w:rPr>
          <w:rFonts w:hint="eastAsia" w:ascii="楷体" w:hAnsi="楷体" w:eastAsia="楷体" w:cs="楷体_GB2312"/>
          <w:bCs/>
          <w:sz w:val="32"/>
          <w:szCs w:val="32"/>
        </w:rPr>
        <w:t>（三）部门整体支出绩效目标、指标</w:t>
      </w:r>
    </w:p>
    <w:p>
      <w:pPr>
        <w:adjustRightInd w:val="0"/>
        <w:snapToGrid w:val="0"/>
        <w:spacing w:line="560" w:lineRule="exact"/>
        <w:ind w:firstLine="640" w:firstLineChars="200"/>
        <w:rPr>
          <w:rFonts w:hint="eastAsia" w:ascii="仿宋" w:hAnsi="仿宋" w:eastAsia="仿宋"/>
          <w:sz w:val="32"/>
          <w:szCs w:val="32"/>
          <w:highlight w:val="none"/>
          <w:lang w:val="en-US" w:eastAsia="zh-CN"/>
        </w:rPr>
      </w:pPr>
      <w:r>
        <w:rPr>
          <w:rFonts w:hint="eastAsia" w:ascii="仿宋" w:hAnsi="仿宋" w:eastAsia="仿宋"/>
          <w:sz w:val="32"/>
          <w:szCs w:val="32"/>
          <w:highlight w:val="none"/>
          <w:lang w:val="en-US" w:eastAsia="zh-CN"/>
        </w:rPr>
        <w:t>2025年，评审评估中心将立足主责主业和职能目标，聚焦经济总量过万亿和市委市政府决策部署，让评审评估工作服务推动高质量发展。中心将以市委、市政府确定的重点项目为核心，抓好项目评审评估工作的推进。落实市委市政府对项目资金全链条评审评估的要求，遵循依法依规、客观公正、讲求绩效、廉洁高效的原则，开展建设项目评审评估工作，达到节约公共资金，规范项目实施的目标。</w:t>
      </w:r>
    </w:p>
    <w:p>
      <w:pPr>
        <w:adjustRightInd w:val="0"/>
        <w:snapToGrid w:val="0"/>
        <w:spacing w:line="560" w:lineRule="exact"/>
        <w:ind w:firstLine="640" w:firstLineChars="200"/>
        <w:rPr>
          <w:rFonts w:ascii="黑体" w:hAnsi="黑体" w:eastAsia="黑体"/>
          <w:sz w:val="32"/>
          <w:szCs w:val="32"/>
        </w:rPr>
      </w:pPr>
      <w:r>
        <w:rPr>
          <w:rFonts w:hint="eastAsia" w:ascii="黑体" w:hAnsi="黑体" w:eastAsia="黑体"/>
          <w:sz w:val="32"/>
          <w:szCs w:val="32"/>
        </w:rPr>
        <w:t>二、自评工作开展情况</w:t>
      </w:r>
    </w:p>
    <w:p>
      <w:pPr>
        <w:spacing w:line="560" w:lineRule="exact"/>
        <w:rPr>
          <w:rFonts w:ascii="楷体" w:hAnsi="楷体" w:eastAsia="楷体" w:cs="楷体_GB2312"/>
          <w:sz w:val="32"/>
          <w:szCs w:val="32"/>
        </w:rPr>
      </w:pPr>
      <w:r>
        <w:rPr>
          <w:rFonts w:hint="eastAsia" w:ascii="仿宋" w:hAnsi="仿宋" w:eastAsia="仿宋" w:cs="楷体_GB2312"/>
          <w:b/>
          <w:bCs/>
          <w:sz w:val="32"/>
          <w:szCs w:val="32"/>
        </w:rPr>
        <w:t xml:space="preserve">    </w:t>
      </w:r>
      <w:r>
        <w:rPr>
          <w:rFonts w:hint="eastAsia" w:ascii="楷体" w:hAnsi="楷体" w:eastAsia="楷体" w:cs="楷体_GB2312"/>
          <w:bCs/>
          <w:sz w:val="32"/>
          <w:szCs w:val="32"/>
        </w:rPr>
        <w:t>（一）自评的组织工作</w:t>
      </w:r>
    </w:p>
    <w:p>
      <w:pPr>
        <w:spacing w:line="560" w:lineRule="exact"/>
        <w:rPr>
          <w:rFonts w:ascii="仿宋" w:hAnsi="仿宋" w:eastAsia="仿宋"/>
          <w:sz w:val="32"/>
          <w:szCs w:val="32"/>
        </w:rPr>
      </w:pPr>
      <w:r>
        <w:rPr>
          <w:rFonts w:hint="eastAsia" w:ascii="仿宋" w:hAnsi="仿宋" w:eastAsia="仿宋"/>
          <w:sz w:val="32"/>
          <w:szCs w:val="32"/>
        </w:rPr>
        <w:t xml:space="preserve">     中心高度重视绩效自评工作，积极开展该项工作，成立了</w:t>
      </w:r>
      <w:r>
        <w:rPr>
          <w:rFonts w:hint="eastAsia" w:ascii="仿宋" w:hAnsi="仿宋" w:eastAsia="仿宋"/>
          <w:sz w:val="32"/>
          <w:szCs w:val="32"/>
          <w:lang w:val="en-US" w:eastAsia="zh-CN"/>
        </w:rPr>
        <w:t>由办公室牵头，业务科室负责人组成的绩效自评工作小组</w:t>
      </w:r>
      <w:r>
        <w:rPr>
          <w:rFonts w:hint="eastAsia" w:ascii="仿宋" w:hAnsi="仿宋" w:eastAsia="仿宋"/>
          <w:sz w:val="32"/>
          <w:szCs w:val="32"/>
        </w:rPr>
        <w:t>。按照通知要求，工作小组事先制定了自评工作方案，明确评价内容、评价程序及时间安排，召开专题会议，提前准备相关资料，积极做好自评工作。评价以202</w:t>
      </w:r>
      <w:r>
        <w:rPr>
          <w:rFonts w:hint="eastAsia" w:ascii="仿宋" w:hAnsi="仿宋" w:eastAsia="仿宋"/>
          <w:sz w:val="32"/>
          <w:szCs w:val="32"/>
          <w:lang w:val="en-US" w:eastAsia="zh-CN"/>
        </w:rPr>
        <w:t>5</w:t>
      </w:r>
      <w:r>
        <w:rPr>
          <w:rFonts w:hint="eastAsia" w:ascii="仿宋" w:hAnsi="仿宋" w:eastAsia="仿宋"/>
          <w:sz w:val="32"/>
          <w:szCs w:val="32"/>
        </w:rPr>
        <w:t>年初预算确定的项目绩效目标和绩效指标为依据，通过对相关账目进行核实，对比各绩效指标完成情况，进一步分析和总结，对所有专项项目进行了绩效评价。</w:t>
      </w:r>
    </w:p>
    <w:p>
      <w:pPr>
        <w:numPr>
          <w:ilvl w:val="0"/>
          <w:numId w:val="2"/>
        </w:numPr>
        <w:spacing w:line="560" w:lineRule="exact"/>
        <w:rPr>
          <w:rFonts w:ascii="楷体" w:hAnsi="楷体" w:eastAsia="楷体" w:cs="楷体_GB2312"/>
          <w:bCs/>
          <w:sz w:val="32"/>
          <w:szCs w:val="32"/>
        </w:rPr>
      </w:pPr>
      <w:r>
        <w:rPr>
          <w:rFonts w:hint="eastAsia" w:ascii="楷体" w:hAnsi="楷体" w:eastAsia="楷体" w:cs="楷体_GB2312"/>
          <w:bCs/>
          <w:sz w:val="32"/>
          <w:szCs w:val="32"/>
        </w:rPr>
        <w:t>自评的方法和过程</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1.自评的方法</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（1）科学公正原则。此次绩效自评运用科学合理的方法，按照规范的程序，对我中心部门整体预算资金使用绩效进行客观、公正的反映。</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（2）统筹兼顾原则。单位自评、部门自评和财政自评应职责明确，各有侧重，相互衔接，绩效自评结果将上报财政部门作为财政自评参考依据。</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（3）激励约束原则。此次绩效自评结果与预算安排、政策调整、改进管理实质性挂钩，体现奖优罚劣和激励相容导向，有效安排、低效压减、无效问责。</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（4）公开透明原则。此次绩效自评结果应依法依规在政府门户网站进行公开，并自觉接受社会监督。</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2.自评的过程</w:t>
      </w:r>
    </w:p>
    <w:p>
      <w:pPr>
        <w:adjustRightInd w:val="0"/>
        <w:snapToGrid w:val="0"/>
        <w:spacing w:line="560" w:lineRule="exact"/>
        <w:ind w:firstLine="640" w:firstLineChars="200"/>
      </w:pPr>
      <w:r>
        <w:rPr>
          <w:rFonts w:hint="eastAsia" w:ascii="仿宋" w:hAnsi="仿宋" w:eastAsia="仿宋"/>
          <w:sz w:val="32"/>
          <w:szCs w:val="32"/>
        </w:rPr>
        <w:t>本中心高度重视绩效自评工作，自评小组本着客观、公正、科学的原则，对照绩效评价指标表，通过基础数据、原始资料、会计报表、业务报表审核自查，对预算收支执行情况、年初预算编制及年中预算调整情况、预算收入整体执行情况、预算支出整体执行进行核实，下发调查问卷，保证了绩效自评工作真实性、准确性和完整性。认真总结分析自评和现场评价情况，形成评价结论。</w:t>
      </w:r>
    </w:p>
    <w:p>
      <w:pPr>
        <w:spacing w:line="560" w:lineRule="exact"/>
        <w:rPr>
          <w:rFonts w:ascii="黑体" w:hAnsi="黑体" w:eastAsia="黑体"/>
          <w:b/>
          <w:bCs/>
          <w:sz w:val="32"/>
          <w:szCs w:val="32"/>
        </w:rPr>
      </w:pPr>
      <w:r>
        <w:rPr>
          <w:rFonts w:hint="eastAsia" w:ascii="黑体" w:hAnsi="黑体" w:eastAsia="黑体"/>
          <w:sz w:val="32"/>
          <w:szCs w:val="32"/>
        </w:rPr>
        <w:t xml:space="preserve">    三、部门整体支出绩效目标实现情况及指标分析</w:t>
      </w:r>
    </w:p>
    <w:p>
      <w:pPr>
        <w:numPr>
          <w:ilvl w:val="0"/>
          <w:numId w:val="3"/>
        </w:numPr>
        <w:spacing w:line="560" w:lineRule="exact"/>
        <w:ind w:firstLine="640" w:firstLineChars="200"/>
        <w:rPr>
          <w:rFonts w:ascii="楷体" w:hAnsi="楷体" w:eastAsia="楷体" w:cs="楷体_GB2312"/>
          <w:bCs/>
          <w:sz w:val="32"/>
          <w:szCs w:val="32"/>
          <w:highlight w:val="none"/>
        </w:rPr>
      </w:pPr>
      <w:r>
        <w:rPr>
          <w:rFonts w:hint="eastAsia" w:ascii="楷体" w:hAnsi="楷体" w:eastAsia="楷体" w:cs="楷体_GB2312"/>
          <w:bCs/>
          <w:sz w:val="32"/>
          <w:szCs w:val="32"/>
          <w:highlight w:val="none"/>
        </w:rPr>
        <w:t>总体绩效目标实现情况</w:t>
      </w:r>
    </w:p>
    <w:p>
      <w:pPr>
        <w:adjustRightInd w:val="0"/>
        <w:snapToGrid w:val="0"/>
        <w:spacing w:line="560" w:lineRule="exact"/>
        <w:ind w:firstLine="640" w:firstLineChars="200"/>
        <w:rPr>
          <w:rFonts w:hint="eastAsia" w:ascii="仿宋_GB2312" w:hAnsi="仿宋_GB2312" w:eastAsia="仿宋_GB2312" w:cs="仿宋_GB2312"/>
          <w:b w:val="0"/>
          <w:color w:val="000000"/>
          <w:kern w:val="2"/>
          <w:sz w:val="32"/>
          <w:szCs w:val="32"/>
          <w:lang w:val="en-US" w:eastAsia="zh-CN" w:bidi="ar-SA"/>
        </w:rPr>
      </w:pPr>
      <w:r>
        <w:rPr>
          <w:rFonts w:hint="eastAsia" w:ascii="仿宋_GB2312" w:hAnsi="仿宋_GB2312" w:eastAsia="仿宋_GB2312" w:cs="仿宋_GB2312"/>
          <w:color w:val="000000"/>
          <w:sz w:val="32"/>
          <w:szCs w:val="32"/>
          <w:lang w:val="en-US" w:eastAsia="zh-CN"/>
        </w:rPr>
        <w:t>2025年，在市委、市政府的坚强领导下，市评审评估中心</w:t>
      </w:r>
      <w:r>
        <w:rPr>
          <w:rFonts w:hint="eastAsia" w:ascii="仿宋_GB2312" w:hAnsi="仿宋" w:eastAsia="仿宋_GB2312"/>
          <w:color w:val="000000"/>
          <w:sz w:val="32"/>
          <w:szCs w:val="32"/>
        </w:rPr>
        <w:t>坚持公平公正、实事求是原则，聚焦项目评审</w:t>
      </w:r>
      <w:r>
        <w:rPr>
          <w:rFonts w:hint="eastAsia" w:ascii="仿宋_GB2312" w:hAnsi="仿宋" w:eastAsia="仿宋_GB2312"/>
          <w:color w:val="000000"/>
          <w:sz w:val="32"/>
          <w:szCs w:val="32"/>
          <w:lang w:eastAsia="zh-CN"/>
        </w:rPr>
        <w:t>主责主业</w:t>
      </w:r>
      <w:r>
        <w:rPr>
          <w:rFonts w:hint="eastAsia" w:ascii="仿宋_GB2312" w:hAnsi="仿宋" w:eastAsia="仿宋_GB2312"/>
          <w:color w:val="000000"/>
          <w:sz w:val="32"/>
          <w:szCs w:val="32"/>
        </w:rPr>
        <w:t>，优化评审流程</w:t>
      </w:r>
      <w:r>
        <w:rPr>
          <w:rFonts w:hint="eastAsia" w:ascii="仿宋_GB2312" w:hAnsi="仿宋" w:eastAsia="仿宋_GB2312"/>
          <w:color w:val="000000"/>
          <w:sz w:val="32"/>
          <w:szCs w:val="32"/>
          <w:lang w:eastAsia="zh-CN"/>
        </w:rPr>
        <w:t>，</w:t>
      </w:r>
      <w:r>
        <w:rPr>
          <w:rFonts w:hint="eastAsia" w:ascii="仿宋_GB2312" w:hAnsi="仿宋" w:eastAsia="仿宋_GB2312"/>
          <w:color w:val="000000"/>
          <w:sz w:val="32"/>
          <w:szCs w:val="32"/>
        </w:rPr>
        <w:t>健全制度机制，全力推动项目评审提质增效</w:t>
      </w:r>
      <w:r>
        <w:rPr>
          <w:rFonts w:hint="eastAsia" w:ascii="仿宋_GB2312" w:hAnsi="华文仿宋" w:eastAsia="仿宋_GB2312" w:cs="华文仿宋"/>
          <w:color w:val="000000"/>
          <w:sz w:val="32"/>
          <w:szCs w:val="32"/>
        </w:rPr>
        <w:t>。</w:t>
      </w:r>
      <w:r>
        <w:rPr>
          <w:rFonts w:hint="eastAsia" w:ascii="仿宋_GB2312" w:hAnsi="华文仿宋" w:eastAsia="仿宋_GB2312" w:cs="华文仿宋"/>
          <w:color w:val="000000"/>
          <w:sz w:val="32"/>
          <w:szCs w:val="32"/>
          <w:lang w:val="en-US" w:eastAsia="zh-CN"/>
        </w:rPr>
        <w:t>2025年</w:t>
      </w:r>
      <w:r>
        <w:rPr>
          <w:rFonts w:hint="eastAsia" w:ascii="仿宋_GB2312" w:hAnsi="华文仿宋" w:eastAsia="仿宋_GB2312" w:cs="华文仿宋"/>
          <w:color w:val="000000"/>
          <w:sz w:val="32"/>
          <w:szCs w:val="32"/>
          <w:lang w:eastAsia="zh-CN"/>
        </w:rPr>
        <w:t>，完成评审项目</w:t>
      </w:r>
      <w:r>
        <w:rPr>
          <w:rFonts w:hint="eastAsia" w:ascii="仿宋_GB2312" w:hAnsi="华文仿宋" w:eastAsia="仿宋_GB2312" w:cs="华文仿宋"/>
          <w:color w:val="000000"/>
          <w:sz w:val="32"/>
          <w:szCs w:val="32"/>
          <w:lang w:val="en-US" w:eastAsia="zh-CN"/>
        </w:rPr>
        <w:t>376个，送审金额515.8亿元，审减88.61亿元，审减率17.18%。2025年</w:t>
      </w:r>
      <w:r>
        <w:rPr>
          <w:rFonts w:hint="eastAsia" w:ascii="仿宋_GB2312" w:hAnsi="仿宋_GB2312" w:eastAsia="仿宋_GB2312" w:cs="仿宋_GB2312"/>
          <w:b w:val="0"/>
          <w:color w:val="000000"/>
          <w:kern w:val="2"/>
          <w:sz w:val="32"/>
          <w:szCs w:val="32"/>
          <w:lang w:val="en-US" w:eastAsia="zh-CN" w:bidi="ar-SA"/>
        </w:rPr>
        <w:t>12月12日，市委主要领导对中心呈报的</w:t>
      </w:r>
      <w:r>
        <w:rPr>
          <w:rFonts w:hint="eastAsia" w:ascii="仿宋_GB2312" w:hAnsi="仿宋_GB2312" w:eastAsia="仿宋_GB2312" w:cs="仿宋_GB2312"/>
          <w:color w:val="000000"/>
          <w:sz w:val="32"/>
          <w:szCs w:val="32"/>
          <w:lang w:val="en-US" w:eastAsia="zh-CN"/>
        </w:rPr>
        <w:t>《关于评审评估工作进展情况的报告</w:t>
      </w:r>
      <w:r>
        <w:rPr>
          <w:rFonts w:hint="eastAsia" w:ascii="仿宋_GB2312" w:hAnsi="仿宋_GB2312" w:eastAsia="仿宋_GB2312" w:cs="仿宋_GB2312"/>
          <w:b w:val="0"/>
          <w:color w:val="000000"/>
          <w:kern w:val="2"/>
          <w:sz w:val="32"/>
          <w:szCs w:val="32"/>
          <w:lang w:val="en-US" w:eastAsia="zh-CN" w:bidi="ar-SA"/>
        </w:rPr>
        <w:t>》作出肯定性批示。</w:t>
      </w:r>
    </w:p>
    <w:p>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5</w:t>
      </w:r>
      <w:r>
        <w:rPr>
          <w:rFonts w:hint="eastAsia" w:ascii="仿宋" w:hAnsi="仿宋" w:eastAsia="仿宋"/>
          <w:sz w:val="32"/>
          <w:szCs w:val="32"/>
        </w:rPr>
        <w:t>年，中心全面高质量地完成了总体绩效目标。</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楷体" w:hAnsi="楷体" w:eastAsia="楷体"/>
          <w:bCs/>
          <w:sz w:val="32"/>
          <w:szCs w:val="32"/>
          <w:highlight w:val="none"/>
        </w:rPr>
      </w:pPr>
      <w:r>
        <w:rPr>
          <w:rFonts w:hint="eastAsia" w:ascii="仿宋" w:hAnsi="仿宋" w:eastAsia="仿宋" w:cs="楷体_GB2312"/>
          <w:b/>
          <w:bCs/>
          <w:sz w:val="32"/>
          <w:szCs w:val="32"/>
          <w:highlight w:val="none"/>
        </w:rPr>
        <w:t xml:space="preserve">  </w:t>
      </w:r>
      <w:r>
        <w:rPr>
          <w:rFonts w:hint="eastAsia" w:ascii="楷体" w:hAnsi="楷体" w:eastAsia="楷体" w:cs="楷体_GB2312"/>
          <w:bCs/>
          <w:sz w:val="32"/>
          <w:szCs w:val="32"/>
          <w:highlight w:val="none"/>
        </w:rPr>
        <w:t>（二）分项绩效目标实现情况及指标分析</w:t>
      </w:r>
    </w:p>
    <w:p>
      <w:pPr>
        <w:pStyle w:val="10"/>
        <w:keepNext w:val="0"/>
        <w:keepLines w:val="0"/>
        <w:pageBreakBefore w:val="0"/>
        <w:widowControl w:val="0"/>
        <w:kinsoku/>
        <w:wordWrap/>
        <w:overflowPunct/>
        <w:topLinePunct w:val="0"/>
        <w:autoSpaceDE/>
        <w:autoSpaceDN/>
        <w:bidi w:val="0"/>
        <w:adjustRightInd/>
        <w:snapToGrid/>
        <w:spacing w:before="0" w:after="0" w:line="600" w:lineRule="exact"/>
        <w:jc w:val="both"/>
        <w:textAlignment w:val="auto"/>
        <w:rPr>
          <w:rFonts w:hint="eastAsia" w:ascii="仿宋" w:hAnsi="仿宋" w:eastAsia="仿宋" w:cs="黑体"/>
          <w:kern w:val="2"/>
          <w:sz w:val="32"/>
          <w:szCs w:val="32"/>
          <w:lang w:val="en-US" w:eastAsia="zh-CN" w:bidi="ar-SA"/>
        </w:rPr>
      </w:pPr>
      <w:r>
        <w:rPr>
          <w:rFonts w:hint="eastAsia" w:ascii="仿宋" w:hAnsi="仿宋" w:eastAsia="仿宋" w:cs="黑体"/>
          <w:kern w:val="2"/>
          <w:sz w:val="32"/>
          <w:szCs w:val="32"/>
          <w:lang w:val="en-US" w:eastAsia="zh-CN" w:bidi="ar-SA"/>
        </w:rPr>
        <w:t>1.对送审项目的项目建设方案投资额、项目建议书、可行性研究报告、初步设计、概算、预算（拦标价）、竣工决（结）算等事项进行评审评估。</w:t>
      </w:r>
    </w:p>
    <w:p>
      <w:pPr>
        <w:pStyle w:val="10"/>
        <w:keepNext w:val="0"/>
        <w:keepLines w:val="0"/>
        <w:pageBreakBefore w:val="0"/>
        <w:widowControl w:val="0"/>
        <w:kinsoku/>
        <w:wordWrap/>
        <w:overflowPunct/>
        <w:topLinePunct w:val="0"/>
        <w:autoSpaceDE/>
        <w:autoSpaceDN/>
        <w:bidi w:val="0"/>
        <w:adjustRightInd/>
        <w:snapToGrid/>
        <w:spacing w:before="0" w:after="0" w:line="600" w:lineRule="exact"/>
        <w:jc w:val="both"/>
        <w:textAlignment w:val="auto"/>
        <w:rPr>
          <w:rFonts w:hint="eastAsia" w:ascii="仿宋" w:hAnsi="仿宋" w:eastAsia="仿宋" w:cs="黑体"/>
          <w:kern w:val="2"/>
          <w:sz w:val="32"/>
          <w:szCs w:val="32"/>
          <w:lang w:val="en-US" w:eastAsia="zh-CN" w:bidi="ar-SA"/>
        </w:rPr>
      </w:pPr>
      <w:r>
        <w:rPr>
          <w:rFonts w:hint="eastAsia" w:ascii="仿宋" w:hAnsi="仿宋" w:eastAsia="仿宋" w:cs="黑体"/>
          <w:kern w:val="2"/>
          <w:sz w:val="32"/>
          <w:szCs w:val="32"/>
          <w:lang w:val="en-US" w:eastAsia="zh-CN" w:bidi="ar-SA"/>
        </w:rPr>
        <w:t>绩效目标：加大评审评估力度，靠前把关跟进，统筹分类评审，提高建设项目的评审效率、财政资金使用效益和项目规范程度，为建设项目顺利实施提供评审评估保障。</w:t>
      </w:r>
    </w:p>
    <w:p>
      <w:pPr>
        <w:pStyle w:val="10"/>
        <w:keepNext w:val="0"/>
        <w:keepLines w:val="0"/>
        <w:pageBreakBefore w:val="0"/>
        <w:widowControl w:val="0"/>
        <w:kinsoku/>
        <w:wordWrap/>
        <w:overflowPunct/>
        <w:topLinePunct w:val="0"/>
        <w:autoSpaceDE/>
        <w:autoSpaceDN/>
        <w:bidi w:val="0"/>
        <w:adjustRightInd/>
        <w:snapToGrid/>
        <w:spacing w:before="0" w:after="0" w:line="600" w:lineRule="exact"/>
        <w:jc w:val="both"/>
        <w:textAlignment w:val="auto"/>
        <w:rPr>
          <w:rFonts w:hint="eastAsia" w:ascii="仿宋" w:hAnsi="仿宋" w:eastAsia="仿宋" w:cs="黑体"/>
          <w:kern w:val="2"/>
          <w:sz w:val="32"/>
          <w:szCs w:val="32"/>
          <w:lang w:val="en-US" w:eastAsia="zh-CN" w:bidi="ar-SA"/>
        </w:rPr>
      </w:pPr>
      <w:r>
        <w:rPr>
          <w:rFonts w:hint="eastAsia" w:ascii="仿宋" w:hAnsi="仿宋" w:eastAsia="仿宋" w:cs="黑体"/>
          <w:kern w:val="2"/>
          <w:sz w:val="32"/>
          <w:szCs w:val="32"/>
          <w:lang w:val="en-US" w:eastAsia="zh-CN" w:bidi="ar-SA"/>
        </w:rPr>
        <w:t>绩效指标：加快评审评估速度，符合评审评估要求的项目审核完成率较2024年提高5%。</w:t>
      </w:r>
    </w:p>
    <w:p>
      <w:pPr>
        <w:pStyle w:val="10"/>
        <w:keepNext w:val="0"/>
        <w:keepLines w:val="0"/>
        <w:pageBreakBefore w:val="0"/>
        <w:widowControl w:val="0"/>
        <w:kinsoku/>
        <w:wordWrap/>
        <w:overflowPunct/>
        <w:topLinePunct w:val="0"/>
        <w:autoSpaceDE/>
        <w:autoSpaceDN/>
        <w:bidi w:val="0"/>
        <w:adjustRightInd/>
        <w:snapToGrid/>
        <w:spacing w:before="0" w:after="0" w:line="600" w:lineRule="exact"/>
        <w:jc w:val="both"/>
        <w:textAlignment w:val="auto"/>
        <w:rPr>
          <w:rFonts w:hint="eastAsia" w:ascii="仿宋" w:hAnsi="仿宋" w:eastAsia="仿宋" w:cs="黑体"/>
          <w:kern w:val="2"/>
          <w:sz w:val="32"/>
          <w:szCs w:val="32"/>
          <w:lang w:val="en-US" w:eastAsia="zh-CN" w:bidi="ar-SA"/>
        </w:rPr>
      </w:pPr>
      <w:r>
        <w:rPr>
          <w:rFonts w:hint="eastAsia" w:ascii="仿宋" w:hAnsi="仿宋" w:eastAsia="仿宋" w:cs="黑体"/>
          <w:kern w:val="2"/>
          <w:sz w:val="32"/>
          <w:szCs w:val="32"/>
          <w:lang w:val="en-US" w:eastAsia="zh-CN" w:bidi="ar-SA"/>
        </w:rPr>
        <w:t>中心2024年评审项目资金713.59亿元，审减金额88亿元，审减率12.66%。</w:t>
      </w:r>
    </w:p>
    <w:p>
      <w:pPr>
        <w:pStyle w:val="10"/>
        <w:rPr>
          <w:rFonts w:hint="eastAsia" w:ascii="仿宋" w:hAnsi="仿宋" w:eastAsia="仿宋" w:cs="黑体"/>
          <w:kern w:val="2"/>
          <w:sz w:val="32"/>
          <w:szCs w:val="32"/>
          <w:lang w:val="en-US" w:eastAsia="zh-CN" w:bidi="ar-SA"/>
        </w:rPr>
      </w:pPr>
      <w:r>
        <w:rPr>
          <w:rFonts w:hint="eastAsia" w:ascii="仿宋_GB2312" w:hAnsi="华文仿宋" w:eastAsia="仿宋_GB2312" w:cs="华文仿宋"/>
          <w:color w:val="000000"/>
          <w:sz w:val="32"/>
          <w:szCs w:val="32"/>
          <w:lang w:val="en-US" w:eastAsia="zh-CN"/>
        </w:rPr>
        <w:t>2025年</w:t>
      </w:r>
      <w:r>
        <w:rPr>
          <w:rFonts w:hint="eastAsia" w:ascii="仿宋_GB2312" w:hAnsi="华文仿宋" w:eastAsia="仿宋_GB2312" w:cs="华文仿宋"/>
          <w:color w:val="000000"/>
          <w:sz w:val="32"/>
          <w:szCs w:val="32"/>
          <w:lang w:eastAsia="zh-CN"/>
        </w:rPr>
        <w:t>，</w:t>
      </w:r>
      <w:r>
        <w:rPr>
          <w:rFonts w:hint="eastAsia" w:ascii="仿宋_GB2312" w:hAnsi="华文仿宋" w:eastAsia="仿宋_GB2312" w:cs="华文仿宋"/>
          <w:color w:val="000000"/>
          <w:sz w:val="32"/>
          <w:szCs w:val="32"/>
          <w:lang w:val="en-US" w:eastAsia="zh-CN"/>
        </w:rPr>
        <w:t>送审金额515.8亿元，审减88.61亿元，审减率17.18%，较上年审减率提高。</w:t>
      </w:r>
      <w:r>
        <w:rPr>
          <w:rFonts w:hint="eastAsia" w:ascii="仿宋" w:hAnsi="仿宋" w:eastAsia="仿宋" w:cs="黑体"/>
          <w:kern w:val="2"/>
          <w:sz w:val="32"/>
          <w:szCs w:val="32"/>
          <w:lang w:val="en-US" w:eastAsia="zh-CN" w:bidi="ar-SA"/>
        </w:rPr>
        <w:t>该项指标超额完成。</w:t>
      </w:r>
    </w:p>
    <w:p>
      <w:pPr>
        <w:pStyle w:val="10"/>
        <w:keepNext w:val="0"/>
        <w:keepLines w:val="0"/>
        <w:pageBreakBefore w:val="0"/>
        <w:widowControl w:val="0"/>
        <w:kinsoku/>
        <w:wordWrap/>
        <w:overflowPunct/>
        <w:topLinePunct w:val="0"/>
        <w:autoSpaceDE/>
        <w:autoSpaceDN/>
        <w:bidi w:val="0"/>
        <w:adjustRightInd/>
        <w:snapToGrid/>
        <w:spacing w:before="0" w:after="0" w:line="600" w:lineRule="exact"/>
        <w:jc w:val="both"/>
        <w:textAlignment w:val="auto"/>
        <w:rPr>
          <w:rFonts w:hint="eastAsia" w:ascii="仿宋" w:hAnsi="仿宋" w:eastAsia="仿宋" w:cs="黑体"/>
          <w:kern w:val="2"/>
          <w:sz w:val="32"/>
          <w:szCs w:val="32"/>
          <w:lang w:val="en-US" w:eastAsia="zh-CN" w:bidi="ar-SA"/>
        </w:rPr>
      </w:pPr>
      <w:r>
        <w:rPr>
          <w:rFonts w:hint="eastAsia" w:ascii="仿宋" w:hAnsi="仿宋" w:eastAsia="仿宋" w:cs="黑体"/>
          <w:kern w:val="2"/>
          <w:sz w:val="32"/>
          <w:szCs w:val="32"/>
          <w:lang w:val="en-US" w:eastAsia="zh-CN" w:bidi="ar-SA"/>
        </w:rPr>
        <w:t>2.对维修改造及改扩建项目，征地拆迁、土地储备、协议搬迁、土地前期整理项目，公共设施运行与维护、信息化项目建设与维护等项目的预算（拦标价）、竣工决（结）算等事项开展评审评估工作。</w:t>
      </w:r>
    </w:p>
    <w:p>
      <w:pPr>
        <w:pStyle w:val="10"/>
        <w:keepNext w:val="0"/>
        <w:keepLines w:val="0"/>
        <w:pageBreakBefore w:val="0"/>
        <w:widowControl w:val="0"/>
        <w:kinsoku/>
        <w:wordWrap/>
        <w:overflowPunct/>
        <w:topLinePunct w:val="0"/>
        <w:autoSpaceDE/>
        <w:autoSpaceDN/>
        <w:bidi w:val="0"/>
        <w:adjustRightInd/>
        <w:snapToGrid/>
        <w:spacing w:before="0" w:after="0" w:line="600" w:lineRule="exact"/>
        <w:jc w:val="both"/>
        <w:textAlignment w:val="auto"/>
        <w:rPr>
          <w:rFonts w:hint="eastAsia" w:ascii="仿宋" w:hAnsi="仿宋" w:eastAsia="仿宋" w:cs="黑体"/>
          <w:kern w:val="2"/>
          <w:sz w:val="32"/>
          <w:szCs w:val="32"/>
          <w:lang w:val="en-US" w:eastAsia="zh-CN" w:bidi="ar-SA"/>
        </w:rPr>
      </w:pPr>
      <w:r>
        <w:rPr>
          <w:rFonts w:hint="eastAsia" w:ascii="仿宋" w:hAnsi="仿宋" w:eastAsia="仿宋" w:cs="黑体"/>
          <w:kern w:val="2"/>
          <w:sz w:val="32"/>
          <w:szCs w:val="32"/>
          <w:lang w:val="en-US" w:eastAsia="zh-CN" w:bidi="ar-SA"/>
        </w:rPr>
        <w:t>绩效目标：推进工程建设项目规范实施，提高资金使用绩效，廉洁高效地开展建设项目评审评估工作。</w:t>
      </w:r>
    </w:p>
    <w:p>
      <w:pPr>
        <w:pStyle w:val="10"/>
        <w:keepNext w:val="0"/>
        <w:keepLines w:val="0"/>
        <w:pageBreakBefore w:val="0"/>
        <w:widowControl w:val="0"/>
        <w:kinsoku/>
        <w:wordWrap/>
        <w:overflowPunct/>
        <w:topLinePunct w:val="0"/>
        <w:autoSpaceDE/>
        <w:autoSpaceDN/>
        <w:bidi w:val="0"/>
        <w:adjustRightInd/>
        <w:snapToGrid/>
        <w:spacing w:before="0" w:after="0" w:line="600" w:lineRule="exact"/>
        <w:jc w:val="both"/>
        <w:textAlignment w:val="auto"/>
        <w:rPr>
          <w:rFonts w:hint="eastAsia" w:ascii="仿宋" w:hAnsi="仿宋" w:eastAsia="仿宋" w:cs="黑体"/>
          <w:kern w:val="2"/>
          <w:sz w:val="32"/>
          <w:szCs w:val="32"/>
          <w:lang w:val="en-US" w:eastAsia="zh-CN" w:bidi="ar-SA"/>
        </w:rPr>
      </w:pPr>
      <w:r>
        <w:rPr>
          <w:rFonts w:hint="eastAsia" w:ascii="仿宋" w:hAnsi="仿宋" w:eastAsia="仿宋" w:cs="黑体"/>
          <w:kern w:val="2"/>
          <w:sz w:val="32"/>
          <w:szCs w:val="32"/>
          <w:lang w:val="en-US" w:eastAsia="zh-CN" w:bidi="ar-SA"/>
        </w:rPr>
        <w:t>绩效指标：提升资金使用效益，为市政府节约投资资金，总体资金节约率大于等于3%。</w:t>
      </w:r>
    </w:p>
    <w:p>
      <w:pPr>
        <w:pStyle w:val="10"/>
        <w:rPr>
          <w:rFonts w:hint="eastAsia" w:ascii="仿宋" w:hAnsi="仿宋" w:eastAsia="仿宋" w:cs="黑体"/>
          <w:kern w:val="2"/>
          <w:sz w:val="32"/>
          <w:szCs w:val="32"/>
          <w:lang w:val="en-US" w:eastAsia="zh-CN" w:bidi="ar-SA"/>
        </w:rPr>
      </w:pPr>
      <w:r>
        <w:rPr>
          <w:rFonts w:hint="eastAsia" w:ascii="仿宋_GB2312" w:hAnsi="华文仿宋" w:eastAsia="仿宋_GB2312" w:cs="华文仿宋"/>
          <w:color w:val="000000"/>
          <w:sz w:val="32"/>
          <w:szCs w:val="32"/>
          <w:lang w:val="en-US" w:eastAsia="zh-CN"/>
        </w:rPr>
        <w:t>2025年</w:t>
      </w:r>
      <w:r>
        <w:rPr>
          <w:rFonts w:hint="eastAsia" w:ascii="仿宋_GB2312" w:hAnsi="华文仿宋" w:eastAsia="仿宋_GB2312" w:cs="华文仿宋"/>
          <w:color w:val="000000"/>
          <w:sz w:val="32"/>
          <w:szCs w:val="32"/>
          <w:lang w:eastAsia="zh-CN"/>
        </w:rPr>
        <w:t>，完成评审项目</w:t>
      </w:r>
      <w:r>
        <w:rPr>
          <w:rFonts w:hint="eastAsia" w:ascii="仿宋_GB2312" w:hAnsi="华文仿宋" w:eastAsia="仿宋_GB2312" w:cs="华文仿宋"/>
          <w:color w:val="000000"/>
          <w:sz w:val="32"/>
          <w:szCs w:val="32"/>
          <w:lang w:val="en-US" w:eastAsia="zh-CN"/>
        </w:rPr>
        <w:t>376个，送审金额515.8亿元，审减88.61亿元，审减率17.18%。</w:t>
      </w:r>
      <w:r>
        <w:rPr>
          <w:rFonts w:hint="eastAsia" w:ascii="仿宋" w:hAnsi="仿宋" w:eastAsia="仿宋" w:cs="黑体"/>
          <w:kern w:val="2"/>
          <w:sz w:val="32"/>
          <w:szCs w:val="32"/>
          <w:lang w:val="en-US" w:eastAsia="zh-CN" w:bidi="ar-SA"/>
        </w:rPr>
        <w:t>该项指标超额完成。</w:t>
      </w:r>
    </w:p>
    <w:p>
      <w:pPr>
        <w:pStyle w:val="10"/>
        <w:keepNext w:val="0"/>
        <w:keepLines w:val="0"/>
        <w:pageBreakBefore w:val="0"/>
        <w:widowControl w:val="0"/>
        <w:kinsoku/>
        <w:wordWrap/>
        <w:overflowPunct/>
        <w:topLinePunct w:val="0"/>
        <w:autoSpaceDE/>
        <w:autoSpaceDN/>
        <w:bidi w:val="0"/>
        <w:adjustRightInd/>
        <w:snapToGrid/>
        <w:spacing w:before="0" w:after="0" w:line="600" w:lineRule="exact"/>
        <w:jc w:val="both"/>
        <w:textAlignment w:val="auto"/>
        <w:rPr>
          <w:rFonts w:hint="eastAsia" w:ascii="仿宋" w:hAnsi="仿宋" w:eastAsia="仿宋" w:cs="黑体"/>
          <w:kern w:val="2"/>
          <w:sz w:val="32"/>
          <w:szCs w:val="32"/>
          <w:lang w:val="en-US" w:eastAsia="zh-CN" w:bidi="ar-SA"/>
        </w:rPr>
      </w:pPr>
      <w:r>
        <w:rPr>
          <w:rFonts w:hint="eastAsia" w:ascii="仿宋" w:hAnsi="仿宋" w:eastAsia="仿宋" w:cs="黑体"/>
          <w:kern w:val="2"/>
          <w:sz w:val="32"/>
          <w:szCs w:val="32"/>
          <w:lang w:val="en-US" w:eastAsia="zh-CN" w:bidi="ar-SA"/>
        </w:rPr>
        <w:t>3.对第三方出具的评估评审结果进行复核，对送审项目出具评审评估意见。</w:t>
      </w:r>
    </w:p>
    <w:p>
      <w:pPr>
        <w:pStyle w:val="10"/>
        <w:keepNext w:val="0"/>
        <w:keepLines w:val="0"/>
        <w:pageBreakBefore w:val="0"/>
        <w:widowControl w:val="0"/>
        <w:kinsoku/>
        <w:wordWrap/>
        <w:overflowPunct/>
        <w:topLinePunct w:val="0"/>
        <w:autoSpaceDE/>
        <w:autoSpaceDN/>
        <w:bidi w:val="0"/>
        <w:adjustRightInd/>
        <w:snapToGrid/>
        <w:spacing w:before="0" w:after="0" w:line="600" w:lineRule="exact"/>
        <w:jc w:val="both"/>
        <w:textAlignment w:val="auto"/>
        <w:rPr>
          <w:rFonts w:hint="eastAsia" w:ascii="仿宋" w:hAnsi="仿宋" w:eastAsia="仿宋" w:cs="黑体"/>
          <w:kern w:val="2"/>
          <w:sz w:val="32"/>
          <w:szCs w:val="32"/>
          <w:lang w:val="en-US" w:eastAsia="zh-CN" w:bidi="ar-SA"/>
        </w:rPr>
      </w:pPr>
      <w:r>
        <w:rPr>
          <w:rFonts w:hint="eastAsia" w:ascii="仿宋" w:hAnsi="仿宋" w:eastAsia="仿宋" w:cs="黑体"/>
          <w:kern w:val="2"/>
          <w:sz w:val="32"/>
          <w:szCs w:val="32"/>
          <w:lang w:val="en-US" w:eastAsia="zh-CN" w:bidi="ar-SA"/>
        </w:rPr>
        <w:t>绩效目标：在自评的基础上，依法依规委托中介机构和相关专家开展评审评估辅助工作，客观公正地对建设项目进行评审评估。</w:t>
      </w:r>
    </w:p>
    <w:p>
      <w:pPr>
        <w:pStyle w:val="10"/>
        <w:keepNext w:val="0"/>
        <w:keepLines w:val="0"/>
        <w:pageBreakBefore w:val="0"/>
        <w:widowControl w:val="0"/>
        <w:kinsoku/>
        <w:wordWrap/>
        <w:overflowPunct/>
        <w:topLinePunct w:val="0"/>
        <w:autoSpaceDE/>
        <w:autoSpaceDN/>
        <w:bidi w:val="0"/>
        <w:adjustRightInd/>
        <w:snapToGrid/>
        <w:spacing w:before="0" w:after="0" w:line="600" w:lineRule="exact"/>
        <w:jc w:val="both"/>
        <w:textAlignment w:val="auto"/>
        <w:rPr>
          <w:rFonts w:hint="eastAsia" w:ascii="仿宋" w:hAnsi="仿宋" w:eastAsia="仿宋" w:cs="黑体"/>
          <w:kern w:val="2"/>
          <w:sz w:val="32"/>
          <w:szCs w:val="32"/>
          <w:lang w:val="en-US" w:eastAsia="zh-CN" w:bidi="ar-SA"/>
        </w:rPr>
      </w:pPr>
      <w:r>
        <w:rPr>
          <w:rFonts w:hint="eastAsia" w:ascii="仿宋" w:hAnsi="仿宋" w:eastAsia="仿宋" w:cs="黑体"/>
          <w:kern w:val="2"/>
          <w:sz w:val="32"/>
          <w:szCs w:val="32"/>
          <w:lang w:val="en-US" w:eastAsia="zh-CN" w:bidi="ar-SA"/>
        </w:rPr>
        <w:t>绩效指标：保质保量完成项目评审评估工作，按照合同和计划完成评审业务占全部工作的比例大于等于90%。</w:t>
      </w:r>
    </w:p>
    <w:p>
      <w:pPr>
        <w:adjustRightInd w:val="0"/>
        <w:snapToGrid w:val="0"/>
        <w:spacing w:line="560" w:lineRule="exact"/>
        <w:ind w:firstLine="640" w:firstLineChars="200"/>
        <w:rPr>
          <w:rFonts w:hint="eastAsia" w:ascii="仿宋" w:hAnsi="仿宋" w:eastAsia="仿宋" w:cs="黑体"/>
          <w:kern w:val="2"/>
          <w:sz w:val="32"/>
          <w:szCs w:val="32"/>
          <w:lang w:val="en-US" w:eastAsia="zh-CN" w:bidi="ar-SA"/>
        </w:rPr>
      </w:pPr>
      <w:r>
        <w:rPr>
          <w:rFonts w:hint="eastAsia" w:ascii="仿宋" w:hAnsi="仿宋" w:eastAsia="仿宋"/>
          <w:sz w:val="32"/>
          <w:szCs w:val="32"/>
        </w:rPr>
        <w:t>预期项目评审工作高质高效完成，实际完成预期绩效目标。</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四、评价结论和评价等级</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根据部门职责定位和各项工作履职情况进行综合评价，中心顺利完成项目评审工作，大幅度提高评审评估效率，总体完成率为100%，总分为</w:t>
      </w:r>
      <w:r>
        <w:rPr>
          <w:rFonts w:hint="eastAsia" w:ascii="仿宋" w:hAnsi="仿宋" w:eastAsia="仿宋"/>
          <w:sz w:val="32"/>
          <w:szCs w:val="32"/>
          <w:lang w:val="en-US" w:eastAsia="zh-CN"/>
        </w:rPr>
        <w:t>87.7</w:t>
      </w:r>
      <w:bookmarkStart w:id="0" w:name="_GoBack"/>
      <w:bookmarkEnd w:id="0"/>
      <w:r>
        <w:rPr>
          <w:rFonts w:hint="eastAsia" w:ascii="仿宋" w:hAnsi="仿宋" w:eastAsia="仿宋"/>
          <w:sz w:val="32"/>
          <w:szCs w:val="32"/>
        </w:rPr>
        <w:t>分，等级为优秀。</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五、存在的问题及改进措施</w:t>
      </w:r>
    </w:p>
    <w:p>
      <w:pPr>
        <w:spacing w:line="560" w:lineRule="exact"/>
        <w:ind w:firstLine="640" w:firstLineChars="200"/>
        <w:rPr>
          <w:rFonts w:hint="eastAsia" w:ascii="楷体" w:hAnsi="楷体" w:eastAsia="楷体"/>
          <w:bCs/>
          <w:sz w:val="32"/>
          <w:szCs w:val="32"/>
        </w:rPr>
      </w:pPr>
      <w:r>
        <w:rPr>
          <w:rFonts w:hint="eastAsia" w:ascii="楷体" w:hAnsi="楷体" w:eastAsia="楷体"/>
          <w:bCs/>
          <w:sz w:val="32"/>
          <w:szCs w:val="32"/>
        </w:rPr>
        <w:t>（一）存在的主要问题</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1.绩效目标设置不够完备。</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虽然设立了项目资金绩效目标，但部分目标设置的不够明确、细化和量化。</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2.项目预算约束性不够。</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预算编制不够扎实，在预算执行过程中调整变动较大，客观存在实际支出与年初预算发生偏差。</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3.预算执行率不高。</w:t>
      </w:r>
    </w:p>
    <w:p>
      <w:pPr>
        <w:adjustRightInd w:val="0"/>
        <w:snapToGrid w:val="0"/>
        <w:spacing w:line="560" w:lineRule="exact"/>
        <w:ind w:firstLine="640" w:firstLineChars="200"/>
      </w:pPr>
      <w:r>
        <w:rPr>
          <w:rFonts w:hint="eastAsia" w:ascii="仿宋" w:hAnsi="仿宋" w:eastAsia="仿宋"/>
          <w:sz w:val="32"/>
          <w:szCs w:val="32"/>
        </w:rPr>
        <w:t>部分项目实施周期长，预算执行缓慢。</w:t>
      </w:r>
    </w:p>
    <w:p>
      <w:pPr>
        <w:numPr>
          <w:ilvl w:val="0"/>
          <w:numId w:val="3"/>
        </w:numPr>
        <w:spacing w:line="560" w:lineRule="exact"/>
        <w:ind w:left="0" w:leftChars="0" w:firstLine="640" w:firstLineChars="200"/>
        <w:rPr>
          <w:rFonts w:hint="eastAsia" w:ascii="楷体" w:hAnsi="楷体" w:eastAsia="楷体"/>
          <w:bCs/>
          <w:sz w:val="32"/>
          <w:szCs w:val="32"/>
        </w:rPr>
      </w:pPr>
      <w:r>
        <w:rPr>
          <w:rFonts w:hint="eastAsia" w:ascii="楷体" w:hAnsi="楷体" w:eastAsia="楷体"/>
          <w:bCs/>
          <w:sz w:val="32"/>
          <w:szCs w:val="32"/>
        </w:rPr>
        <w:t>针对问题提出具体的改进措施或建议</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1.进一步规范绩效目标编制。</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在编制项目资金绩效目标时，要求指向明确、细化量化、合理可行、相应匹配。以利于对工作有效指导、过程的有效控制、结果的精确评价。</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2.加快预算执行力度，强化预算约束。</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积极争取财政支持，力争年初预算安排足额到位，增强预算的刚性约束，严格做到“无预算不支出”，强化预算对执行的控制。财务部门加强对各项支出的审核管理，严格执行各项经费开支标准。</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3.合理安排项目资金，加快支出进度。</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项目支出预算要加快执行，根据项目实施进度合法、合规、及时办理资金支付手续。优化资金分配、提高资金使用效益。建立节约型财政保障机制、精准保障重点刚性支出，厉行节约办事。</w:t>
      </w:r>
    </w:p>
    <w:p>
      <w:pPr>
        <w:spacing w:line="560" w:lineRule="exact"/>
        <w:rPr>
          <w:rFonts w:ascii="仿宋" w:hAnsi="仿宋" w:eastAsia="仿宋"/>
        </w:rPr>
      </w:pPr>
    </w:p>
    <w:p>
      <w:pPr>
        <w:spacing w:line="560" w:lineRule="exact"/>
        <w:rPr>
          <w:rFonts w:ascii="仿宋" w:hAnsi="仿宋" w:eastAsia="仿宋"/>
        </w:rPr>
      </w:pPr>
    </w:p>
    <w:p>
      <w:pPr>
        <w:pStyle w:val="5"/>
        <w:ind w:firstLine="3776" w:firstLineChars="1180"/>
        <w:rPr>
          <w:rFonts w:ascii="仿宋" w:hAnsi="仿宋" w:eastAsia="仿宋" w:cs="仿宋"/>
          <w:sz w:val="32"/>
          <w:szCs w:val="32"/>
        </w:rPr>
      </w:pPr>
      <w:r>
        <w:rPr>
          <w:rFonts w:hint="eastAsia" w:ascii="仿宋" w:hAnsi="仿宋" w:eastAsia="仿宋" w:cs="仿宋"/>
          <w:sz w:val="32"/>
          <w:szCs w:val="32"/>
        </w:rPr>
        <w:t>石家庄市建设项目评审评估中心</w:t>
      </w:r>
    </w:p>
    <w:p>
      <w:pPr>
        <w:pStyle w:val="5"/>
        <w:ind w:firstLine="4896" w:firstLineChars="1530"/>
        <w:rPr>
          <w:rFonts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6</w:t>
      </w:r>
      <w:r>
        <w:rPr>
          <w:rFonts w:hint="eastAsia" w:ascii="仿宋" w:hAnsi="仿宋" w:eastAsia="仿宋" w:cs="仿宋"/>
          <w:sz w:val="32"/>
          <w:szCs w:val="32"/>
        </w:rPr>
        <w:t>年</w:t>
      </w:r>
      <w:r>
        <w:rPr>
          <w:rFonts w:hint="eastAsia" w:ascii="仿宋" w:hAnsi="仿宋" w:eastAsia="仿宋" w:cs="仿宋"/>
          <w:sz w:val="32"/>
          <w:szCs w:val="32"/>
          <w:lang w:val="en-US" w:eastAsia="zh-CN"/>
        </w:rPr>
        <w:t>4</w:t>
      </w:r>
      <w:r>
        <w:rPr>
          <w:rFonts w:hint="eastAsia" w:ascii="仿宋" w:hAnsi="仿宋" w:eastAsia="仿宋" w:cs="仿宋"/>
          <w:sz w:val="32"/>
          <w:szCs w:val="32"/>
        </w:rPr>
        <w:t>月</w:t>
      </w:r>
      <w:r>
        <w:rPr>
          <w:rFonts w:hint="eastAsia" w:ascii="仿宋" w:hAnsi="仿宋" w:eastAsia="仿宋" w:cs="仿宋"/>
          <w:sz w:val="32"/>
          <w:szCs w:val="32"/>
          <w:lang w:val="en-US" w:eastAsia="zh-CN"/>
        </w:rPr>
        <w:t>30</w:t>
      </w:r>
      <w:r>
        <w:rPr>
          <w:rFonts w:hint="eastAsia" w:ascii="仿宋" w:hAnsi="仿宋" w:eastAsia="仿宋" w:cs="仿宋"/>
          <w:sz w:val="32"/>
          <w:szCs w:val="32"/>
        </w:rPr>
        <w:t>日</w:t>
      </w:r>
    </w:p>
    <w:p>
      <w:pPr>
        <w:spacing w:line="560" w:lineRule="exact"/>
        <w:rPr>
          <w:rFonts w:ascii="仿宋" w:hAnsi="仿宋" w:eastAsia="仿宋"/>
        </w:rPr>
      </w:pPr>
    </w:p>
    <w:sectPr>
      <w:footerReference r:id="rId3" w:type="default"/>
      <w:pgSz w:w="11906" w:h="16838"/>
      <w:pgMar w:top="1440" w:right="1474" w:bottom="1440"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仿宋_GBK">
    <w:panose1 w:val="02000000000000000000"/>
    <w:charset w:val="86"/>
    <w:family w:val="auto"/>
    <w:pitch w:val="default"/>
    <w:sig w:usb0="A00002BF" w:usb1="38CF7CFA" w:usb2="00082016" w:usb3="00000000" w:csb0="00040001" w:csb1="00000000"/>
  </w:font>
  <w:font w:name="华文楷体">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pict>
        <v:shape id="Quad Arrow 3073" o:spid="_x0000_s4097" o:spt="202" type="#_x0000_t202" style="position:absolute;left:0pt;margin-top:0pt;height:144pt;width:144pt;mso-position-horizontal:center;mso-position-horizontal-relative:margin;mso-wrap-style:none;z-index:251659264;mso-width-relative:page;mso-height-relative:page;" filled="f" o:preferrelative="t" stroked="f" coordsize="21600,21600">
          <v:path/>
          <v:fill on="f" focussize="0,0"/>
          <v:stroke on="f" joinstyle="miter"/>
          <v:imagedata o:title=""/>
          <o:lock v:ext="edit"/>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- 1 -</w:t>
                </w:r>
                <w:r>
                  <w:rPr>
                    <w:rFonts w:hint="eastAsia"/>
                    <w:sz w:val="18"/>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16AA81"/>
    <w:multiLevelType w:val="singleLevel"/>
    <w:tmpl w:val="0516AA81"/>
    <w:lvl w:ilvl="0" w:tentative="0">
      <w:start w:val="2"/>
      <w:numFmt w:val="chineseCounting"/>
      <w:suff w:val="nothing"/>
      <w:lvlText w:val="（%1）"/>
      <w:lvlJc w:val="left"/>
      <w:pPr>
        <w:ind w:left="642" w:firstLine="0"/>
      </w:pPr>
      <w:rPr>
        <w:rFonts w:hint="eastAsia"/>
      </w:rPr>
    </w:lvl>
  </w:abstractNum>
  <w:abstractNum w:abstractNumId="1">
    <w:nsid w:val="08F5EBCB"/>
    <w:multiLevelType w:val="singleLevel"/>
    <w:tmpl w:val="08F5EBCB"/>
    <w:lvl w:ilvl="0" w:tentative="0">
      <w:start w:val="2"/>
      <w:numFmt w:val="chineseCounting"/>
      <w:suff w:val="nothing"/>
      <w:lvlText w:val="（%1）"/>
      <w:lvlJc w:val="left"/>
      <w:rPr>
        <w:rFonts w:hint="eastAsia"/>
      </w:rPr>
    </w:lvl>
  </w:abstractNum>
  <w:abstractNum w:abstractNumId="2">
    <w:nsid w:val="5E68489B"/>
    <w:multiLevelType w:val="singleLevel"/>
    <w:tmpl w:val="5E68489B"/>
    <w:lvl w:ilvl="0" w:tentative="0">
      <w:start w:val="1"/>
      <w:numFmt w:val="chineseCounting"/>
      <w:suff w:val="nothing"/>
      <w:lvlText w:val="（%1）"/>
      <w:lvlJc w:val="left"/>
      <w:rPr>
        <w:rFonts w:ascii="楷体" w:hAnsi="楷体" w:eastAsia="楷体"/>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zgxMzVhZTBlNDUyZWUxNDVhMjNkN2E1NjFlOTE5NDcifQ=="/>
  </w:docVars>
  <w:rsids>
    <w:rsidRoot w:val="0EBD2122"/>
    <w:rsid w:val="000B0260"/>
    <w:rsid w:val="001F187B"/>
    <w:rsid w:val="007E6C1F"/>
    <w:rsid w:val="00956A93"/>
    <w:rsid w:val="009E575C"/>
    <w:rsid w:val="00AF167E"/>
    <w:rsid w:val="00AF566A"/>
    <w:rsid w:val="00B478EA"/>
    <w:rsid w:val="00B6553A"/>
    <w:rsid w:val="00BC6576"/>
    <w:rsid w:val="00CE06BA"/>
    <w:rsid w:val="00F441CC"/>
    <w:rsid w:val="01B104CA"/>
    <w:rsid w:val="02106AB0"/>
    <w:rsid w:val="02B43A28"/>
    <w:rsid w:val="046F331E"/>
    <w:rsid w:val="06E7731E"/>
    <w:rsid w:val="073C0BCD"/>
    <w:rsid w:val="07956271"/>
    <w:rsid w:val="08F12939"/>
    <w:rsid w:val="09721397"/>
    <w:rsid w:val="0BB63BED"/>
    <w:rsid w:val="0EB97A43"/>
    <w:rsid w:val="0EBD2122"/>
    <w:rsid w:val="0F214EAE"/>
    <w:rsid w:val="11B71E6A"/>
    <w:rsid w:val="1247393B"/>
    <w:rsid w:val="16D305BD"/>
    <w:rsid w:val="19C358E6"/>
    <w:rsid w:val="1AAF0063"/>
    <w:rsid w:val="1B740D26"/>
    <w:rsid w:val="1BE140DE"/>
    <w:rsid w:val="1CB410F3"/>
    <w:rsid w:val="1E343158"/>
    <w:rsid w:val="1E542E40"/>
    <w:rsid w:val="248C197D"/>
    <w:rsid w:val="250209F2"/>
    <w:rsid w:val="252959AF"/>
    <w:rsid w:val="277A6671"/>
    <w:rsid w:val="292D35B7"/>
    <w:rsid w:val="33EB6CFF"/>
    <w:rsid w:val="35A12947"/>
    <w:rsid w:val="35CE0DD5"/>
    <w:rsid w:val="37387040"/>
    <w:rsid w:val="3B625C0A"/>
    <w:rsid w:val="3CEE1963"/>
    <w:rsid w:val="436B78D3"/>
    <w:rsid w:val="45764A0D"/>
    <w:rsid w:val="463F1709"/>
    <w:rsid w:val="4C9C27FE"/>
    <w:rsid w:val="502A44B1"/>
    <w:rsid w:val="512260B4"/>
    <w:rsid w:val="52BD6ACB"/>
    <w:rsid w:val="55537534"/>
    <w:rsid w:val="561A74F1"/>
    <w:rsid w:val="58B17416"/>
    <w:rsid w:val="597244E8"/>
    <w:rsid w:val="5B77571F"/>
    <w:rsid w:val="5EB71C30"/>
    <w:rsid w:val="62FFF9DD"/>
    <w:rsid w:val="63845454"/>
    <w:rsid w:val="66AF0CE5"/>
    <w:rsid w:val="68AC2130"/>
    <w:rsid w:val="6AC537CF"/>
    <w:rsid w:val="6E5B14A6"/>
    <w:rsid w:val="70C47E14"/>
    <w:rsid w:val="711B255E"/>
    <w:rsid w:val="733E1219"/>
    <w:rsid w:val="74AB0875"/>
    <w:rsid w:val="7BB51E06"/>
    <w:rsid w:val="7BE9553B"/>
    <w:rsid w:val="7C387F7C"/>
    <w:rsid w:val="7FE83423"/>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qFormat/>
    <w:uiPriority w:val="0"/>
    <w:pPr>
      <w:spacing w:after="120"/>
      <w:ind w:left="420" w:left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sz w:val="18"/>
    </w:rPr>
  </w:style>
  <w:style w:type="paragraph" w:styleId="5">
    <w:name w:val="Body Text First Indent 2"/>
    <w:basedOn w:val="2"/>
    <w:unhideWhenUsed/>
    <w:qFormat/>
    <w:uiPriority w:val="0"/>
    <w:pPr>
      <w:spacing w:after="0"/>
      <w:ind w:firstLine="420" w:firstLineChars="200"/>
    </w:pPr>
    <w:rPr>
      <w:rFonts w:ascii="Times New Roman" w:hAnsi="Times New Roman" w:cs="Times New Roman"/>
      <w:szCs w:val="24"/>
    </w:rPr>
  </w:style>
  <w:style w:type="paragraph" w:customStyle="1" w:styleId="8">
    <w:name w:val="无间隔1"/>
    <w:qFormat/>
    <w:uiPriority w:val="0"/>
    <w:pPr>
      <w:widowControl w:val="0"/>
      <w:jc w:val="center"/>
    </w:pPr>
    <w:rPr>
      <w:rFonts w:ascii="Times New Roman" w:hAnsi="Times New Roman" w:eastAsia="仿宋" w:cs="Times New Roman"/>
      <w:kern w:val="2"/>
      <w:sz w:val="24"/>
      <w:szCs w:val="22"/>
      <w:lang w:val="en-US" w:eastAsia="zh-CN" w:bidi="ar-SA"/>
    </w:rPr>
  </w:style>
  <w:style w:type="paragraph" w:customStyle="1" w:styleId="9">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10">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573</Words>
  <Characters>590</Characters>
  <Lines>4</Lines>
  <Paragraphs>1</Paragraphs>
  <TotalTime>1</TotalTime>
  <ScaleCrop>false</ScaleCrop>
  <LinksUpToDate>false</LinksUpToDate>
  <CharactersWithSpaces>612</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2020-02-04T11:46:00Z</dcterms:created>
  <dc:creator>欣欣大人</dc:creator>
  <cp:lastModifiedBy>Administrator</cp:lastModifiedBy>
  <cp:lastPrinted>2026-04-30T08:28:00Z</cp:lastPrinted>
  <dcterms:modified xsi:type="dcterms:W3CDTF">2026-06-26T01:16:48Z</dcterms:modified>
  <dc:title>附件3：</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96934721B1514D3FBAA28020338CE855_12</vt:lpwstr>
  </property>
  <property fmtid="{D5CDD505-2E9C-101B-9397-08002B2CF9AE}" pid="4" name="KSOTemplateDocerSaveRecord">
    <vt:lpwstr>eyJoZGlkIjoiMDRiNGJkYjBiMjRiNTM2Zjk5YWM2NmU3YTc2OThjMTYiLCJ1c2VySWQiOiIxMDI2NzA5MTgxIn0=</vt:lpwstr>
  </property>
</Properties>
</file>