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adjustRightInd w:val="0"/>
        <w:snapToGrid w:val="0"/>
        <w:spacing w:line="560" w:lineRule="exact"/>
        <w:ind w:firstLineChars="100" w:firstLine="320"/>
        <w:rPr>
          <w:rFonts w:ascii="黑体" w:eastAsia="黑体" w:cs="黑体" w:hAnsi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黑体" w:eastAsia="黑体" w:cs="黑体" w:hAnsi="黑体" w:hint="eastAsia"/>
          <w:sz w:val="32"/>
          <w:szCs w:val="32"/>
        </w:rPr>
        <w:t>附件</w:t>
      </w:r>
      <w:r>
        <w:rPr>
          <w:rFonts w:ascii="黑体" w:eastAsia="黑体" w:cs="黑体" w:hAnsi="黑体" w:hint="eastAsia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宋体" w:cs="宋体" w:hAnsi="宋体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ascii="宋体" w:cs="宋体" w:hAnsi="宋体" w:hint="eastAsia"/>
          <w:b/>
          <w:bCs/>
          <w:sz w:val="44"/>
          <w:szCs w:val="44"/>
        </w:rPr>
      </w:pPr>
      <w:r>
        <w:rPr>
          <w:rFonts w:ascii="宋体" w:cs="宋体" w:hAnsi="宋体"/>
          <w:b/>
          <w:bCs/>
          <w:sz w:val="44"/>
          <w:szCs w:val="44"/>
        </w:rPr>
        <w:t>石家庄市井陉矿区人民检察院</w:t>
      </w:r>
    </w:p>
    <w:p>
      <w:pPr>
        <w:spacing w:line="560" w:lineRule="exact"/>
        <w:jc w:val="center"/>
        <w:rPr>
          <w:rFonts w:ascii="宋体" w:cs="宋体" w:hAnsi="宋体"/>
          <w:b/>
          <w:bCs/>
          <w:sz w:val="44"/>
          <w:szCs w:val="44"/>
        </w:rPr>
      </w:pPr>
      <w:r>
        <w:rPr>
          <w:rFonts w:ascii="宋体" w:cs="宋体" w:hAnsi="宋体" w:hint="eastAsia"/>
          <w:b/>
          <w:bCs/>
          <w:sz w:val="44"/>
          <w:szCs w:val="44"/>
        </w:rPr>
        <w:t>202</w:t>
      </w:r>
      <w:r>
        <w:rPr>
          <w:rFonts w:ascii="宋体" w:cs="宋体" w:hAnsi="宋体" w:hint="eastAsia"/>
          <w:b/>
          <w:bCs/>
          <w:sz w:val="44"/>
          <w:szCs w:val="44"/>
          <w:lang w:val="en-US" w:eastAsia="zh-CN"/>
        </w:rPr>
        <w:t>5</w:t>
      </w:r>
      <w:r>
        <w:rPr>
          <w:rFonts w:ascii="宋体" w:cs="宋体" w:hAnsi="宋体" w:hint="eastAsia"/>
          <w:b/>
          <w:bCs/>
          <w:sz w:val="44"/>
          <w:szCs w:val="44"/>
        </w:rPr>
        <w:t>年度整体支出绩效自评报告</w:t>
      </w:r>
    </w:p>
    <w:p>
      <w:pPr>
        <w:spacing w:line="560" w:lineRule="exact"/>
        <w:jc w:val="center"/>
        <w:rPr>
          <w:rFonts w:ascii="宋体" w:cs="宋体" w:hAnsi="宋体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贯彻落实市委市政府《关于全面落实预算绩效管理的实施意见》（石发﹝2019﹞8号）文件精神，遵循“科学性、规范性、客观性和公正性”的原则，对</w:t>
      </w:r>
      <w:r>
        <w:rPr>
          <w:rFonts w:ascii="仿宋" w:eastAsia="仿宋" w:hAnsi="仿宋"/>
          <w:sz w:val="32"/>
          <w:szCs w:val="32"/>
        </w:rPr>
        <w:t>石家庄市井陉矿区人民检察院</w:t>
      </w:r>
      <w:r>
        <w:rPr>
          <w:rFonts w:ascii="仿宋" w:eastAsia="仿宋" w:hAnsi="仿宋" w:hint="eastAsia"/>
          <w:sz w:val="32"/>
          <w:szCs w:val="32"/>
        </w:rPr>
        <w:t>部门202</w:t>
      </w:r>
      <w:r>
        <w:rPr>
          <w:rFonts w:ascii="仿宋" w:eastAsia="仿宋" w:hAnsi="仿宋" w:hint="eastAsia"/>
          <w:sz w:val="32"/>
          <w:szCs w:val="32"/>
          <w:lang w:val="en-US" w:eastAsia="zh-CN"/>
        </w:rPr>
        <w:t>5</w:t>
      </w:r>
      <w:r>
        <w:rPr>
          <w:rFonts w:ascii="仿宋" w:eastAsia="仿宋" w:hAnsi="仿宋" w:hint="eastAsia"/>
          <w:sz w:val="32"/>
          <w:szCs w:val="32"/>
        </w:rPr>
        <w:t>年整体支出情况实施了财政支出绩效自评价，形成本评价报告。</w:t>
      </w:r>
    </w:p>
    <w:p>
      <w:pPr>
        <w:adjustRightInd w:val="0"/>
        <w:snapToGrid w:val="0"/>
        <w:spacing w:line="560" w:lineRule="exact"/>
        <w:rPr>
          <w:rFonts w:ascii="黑体" w:eastAsia="黑体" w:hAnsi="黑体"/>
          <w:b/>
          <w:bCs/>
          <w:sz w:val="32"/>
          <w:szCs w:val="36"/>
        </w:rPr>
      </w:pPr>
      <w:r>
        <w:rPr>
          <w:rFonts w:ascii="黑体" w:eastAsia="黑体" w:hAnsi="黑体" w:hint="eastAsia"/>
          <w:sz w:val="32"/>
          <w:szCs w:val="32"/>
        </w:rPr>
        <w:t xml:space="preserve">     一、部门</w:t>
      </w:r>
      <w:r>
        <w:rPr>
          <w:rFonts w:ascii="黑体" w:eastAsia="黑体" w:hAnsi="黑体" w:hint="eastAsia"/>
          <w:sz w:val="32"/>
          <w:szCs w:val="36"/>
        </w:rPr>
        <w:t>基本情况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楷体" w:eastAsia="楷体" w:cs="楷体_GB2312" w:hAnsi="楷体" w:hint="eastAsia"/>
          <w:bCs/>
          <w:sz w:val="32"/>
          <w:szCs w:val="32"/>
        </w:rPr>
        <w:t>（一）部门概况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1.部门职能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（1）深入贯彻习近平新时代中国特色社会主义思想，深入贯彻党的路线方针和决策部署，坚持党对检察工作的绝对领导，坚决维护习近平总书记的核心地位，坚决维护党中央权威和集中统一领导。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（2）依法向区人民代表大会及其常务委员会提出议案。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（3）贯彻落实检察工作方针、总体规划，研究制定检察工作计划并组织实施。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（4）依照法律规定对直接受理的刑事案件行使侦查权。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（5）负责对管辖的各类刑事案件依法审查批准逮捕、决定逮捕、提起公诉。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（6）负责应由本院承办的刑事、民事、行政诉讼活动及刑事、民事、行政判决和裁定等生效法律文书执行的法律监督工作。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（7）负责应由本院承办的提起公益诉讼工作。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（8）依法受理核准追诉案件，审查是否上报。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（9）负责应由本院承办的对看守所、社区矫正等执法活动的法律监督工作。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（10）受理向本院的控告申诉。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（11）组织检察工作中法律政策具体应用问题的研究；组织开展检察理论研究工作。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（12）负责检察人员思想政治教育和业务培训工作；按照权限管理检察官和其他工作人员。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（13）负责本院检务督察工作。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（14）负责本院检务保障以及检察技术、信息化建设工作。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（15）完成其他应当由本院负责的工作。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2.组织机构及人员情况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办公室。负责日常政务、办理文电、会务、机要、文秘、档案、保密、检务公开等工作；协调督办上级重要工作、批办事项；负责人大代表联络及管理检务协作、经费资产、基础建设、科技装备、交通工具、接待、后勤服务、检察技术、信息化建设等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第一检察部。负责刑事犯罪及涉未成年人犯罪案件的审查逮捕、审查起诉，开展相关立案监督、侦查监督、审判监督及相关案件的补充侦查，办理相关刑事申诉案件；负责检察机关社会治安综合治理工作；开展未成年人司法保护和预防未成年人犯罪工作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第二检察部。负责对申请监督和提请抗诉的民事、行政案件的审查、抗诉，对区人民法院民事、行政诉讼活动进行监督，对审判监督程序以外的其他民事、行政审判程序中审判人员的违法行为提出检察建议，对民事、行政执行活动实行法律监督。开展民事、行政支持起诉工作，办理民事、行政申诉案件；负责办理生态环境和资源保护、食品药品安全、国有财产保护、国有土地使用权出让等领域的行政公益诉讼案件，侵害英雄烈士姓名、肖像、名誉、荣誉的公益诉讼案件；负责对区人民法院开庭审理的公益诉讼案件派员出席法庭，依照有关规定提出检察建议。办理公益诉讼申诉案件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第三检察部。负责对看守所和社区矫正等执法活动监督，对法律规定的司法工作人员利用职权实施的非法拘禁、刑讯逼供、非法搜查等侵犯公民权利、损害司法公正犯罪的侦查。负责案件受理流转、办案流程监控、涉案财物监管、法律文书监管、案件信息公开、案件质量评查、业务考评和统计分析；负责人民监督员工作及业务应用系统的应用。负责检察调研及理论研究，司法体制改革综合协调工作；承办本院检察委员会日常工作。受理控告、申诉、信访；承办国家赔偿案件和国家司法救助案件；负责接待群众来访、处理群众来信（含电、网等）事项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政治部（司法警察大队）。负责干部人事、教育培训、检察宣传、表彰奖励、舆情应对、党建群团、党风廉政、检务督察、离退休等工作。负责司法警务工作；负责提押、看管、送达等工作，配合检察监督事项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政法专项编制27名</w:t>
      </w:r>
      <w:r>
        <w:rPr>
          <w:rFonts w:ascii="仿宋" w:eastAsia="仿宋" w:hAnsi="仿宋"/>
          <w:sz w:val="32"/>
          <w:szCs w:val="32"/>
        </w:rPr>
        <w:t>，2025年末实有在职人员26人。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3.资产情况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年末固定资产总量为</w:t>
      </w:r>
      <w:r>
        <w:rPr>
          <w:rFonts w:ascii="仿宋" w:eastAsia="仿宋" w:hAnsi="仿宋"/>
          <w:sz w:val="32"/>
          <w:szCs w:val="32"/>
        </w:rPr>
        <w:t xml:space="preserve">1493.47 </w:t>
      </w:r>
      <w:r>
        <w:rPr>
          <w:rFonts w:ascii="仿宋" w:eastAsia="仿宋" w:hAnsi="仿宋" w:hint="eastAsia"/>
          <w:sz w:val="32"/>
          <w:szCs w:val="32"/>
        </w:rPr>
        <w:t>万元。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楷体" w:eastAsia="楷体" w:cs="楷体_GB2312" w:hAnsi="楷体" w:hint="eastAsia"/>
          <w:bCs/>
          <w:sz w:val="32"/>
          <w:szCs w:val="32"/>
        </w:rPr>
        <w:t>（二）部门收支预决算情况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我院202</w:t>
      </w:r>
      <w:r>
        <w:rPr>
          <w:rFonts w:ascii="仿宋" w:eastAsia="仿宋" w:hAnsi="仿宋"/>
          <w:bCs/>
          <w:sz w:val="32"/>
          <w:szCs w:val="32"/>
        </w:rPr>
        <w:t>5</w:t>
      </w:r>
      <w:r>
        <w:rPr>
          <w:rFonts w:ascii="仿宋" w:eastAsia="仿宋" w:hAnsi="仿宋" w:hint="eastAsia"/>
          <w:bCs/>
          <w:sz w:val="32"/>
          <w:szCs w:val="32"/>
        </w:rPr>
        <w:t>年预算为</w:t>
      </w:r>
      <w:r>
        <w:rPr>
          <w:rFonts w:ascii="仿宋" w:eastAsia="仿宋" w:hAnsi="仿宋"/>
          <w:bCs/>
          <w:sz w:val="32"/>
          <w:szCs w:val="32"/>
        </w:rPr>
        <w:t>869.02</w:t>
      </w:r>
      <w:r>
        <w:rPr>
          <w:rFonts w:ascii="仿宋" w:eastAsia="仿宋" w:hAnsi="仿宋" w:hint="eastAsia"/>
          <w:bCs/>
          <w:sz w:val="32"/>
          <w:szCs w:val="32"/>
        </w:rPr>
        <w:t>万元，其中财政拨款</w:t>
      </w:r>
      <w:r>
        <w:rPr>
          <w:rFonts w:ascii="仿宋" w:eastAsia="仿宋" w:hAnsi="仿宋"/>
          <w:bCs/>
          <w:sz w:val="32"/>
          <w:szCs w:val="32"/>
        </w:rPr>
        <w:t>869.02</w:t>
      </w:r>
      <w:r>
        <w:rPr>
          <w:rFonts w:ascii="仿宋" w:eastAsia="仿宋" w:hAnsi="仿宋" w:hint="eastAsia"/>
          <w:bCs/>
          <w:sz w:val="32"/>
          <w:szCs w:val="32"/>
        </w:rPr>
        <w:t>万元，占总预算的100%。整体预算中，人员经费预算</w:t>
      </w:r>
      <w:r>
        <w:rPr>
          <w:rFonts w:ascii="仿宋" w:eastAsia="仿宋" w:hAnsi="仿宋"/>
          <w:bCs/>
          <w:sz w:val="32"/>
          <w:szCs w:val="32"/>
        </w:rPr>
        <w:t>598.62</w:t>
      </w:r>
      <w:r>
        <w:rPr>
          <w:rFonts w:ascii="仿宋" w:eastAsia="仿宋" w:hAnsi="仿宋" w:hint="eastAsia"/>
          <w:bCs/>
          <w:sz w:val="32"/>
          <w:szCs w:val="32"/>
        </w:rPr>
        <w:t>万元，日常公用经费预算</w:t>
      </w:r>
      <w:r>
        <w:rPr>
          <w:rFonts w:ascii="仿宋" w:eastAsia="仿宋" w:hAnsi="仿宋"/>
          <w:bCs/>
          <w:sz w:val="32"/>
          <w:szCs w:val="32"/>
        </w:rPr>
        <w:t>59.95</w:t>
      </w:r>
      <w:r>
        <w:rPr>
          <w:rFonts w:ascii="仿宋" w:eastAsia="仿宋" w:hAnsi="仿宋" w:hint="eastAsia"/>
          <w:bCs/>
          <w:sz w:val="32"/>
          <w:szCs w:val="32"/>
        </w:rPr>
        <w:t>万元（包含“三公经费”预算</w:t>
      </w:r>
      <w:r>
        <w:rPr>
          <w:rFonts w:ascii="仿宋" w:eastAsia="仿宋" w:hAnsi="仿宋"/>
          <w:bCs/>
          <w:sz w:val="32"/>
          <w:szCs w:val="32"/>
        </w:rPr>
        <w:t>13.9</w:t>
      </w:r>
      <w:r>
        <w:rPr>
          <w:rFonts w:ascii="仿宋" w:eastAsia="仿宋" w:hAnsi="仿宋" w:hint="eastAsia"/>
          <w:bCs/>
          <w:sz w:val="32"/>
          <w:szCs w:val="32"/>
        </w:rPr>
        <w:t>万元），项目经费预算</w:t>
      </w:r>
      <w:r>
        <w:rPr>
          <w:rFonts w:ascii="仿宋" w:eastAsia="仿宋" w:hAnsi="仿宋"/>
          <w:bCs/>
          <w:sz w:val="32"/>
          <w:szCs w:val="32"/>
        </w:rPr>
        <w:t>210.45</w:t>
      </w:r>
      <w:r>
        <w:rPr>
          <w:rFonts w:ascii="仿宋" w:eastAsia="仿宋" w:hAnsi="仿宋" w:hint="eastAsia"/>
          <w:bCs/>
          <w:sz w:val="32"/>
          <w:szCs w:val="32"/>
        </w:rPr>
        <w:t>万元。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我院202</w:t>
      </w:r>
      <w:r>
        <w:rPr>
          <w:rFonts w:ascii="仿宋" w:eastAsia="仿宋" w:hAnsi="仿宋"/>
          <w:bCs/>
          <w:sz w:val="32"/>
          <w:szCs w:val="32"/>
        </w:rPr>
        <w:t>5</w:t>
      </w:r>
      <w:r>
        <w:rPr>
          <w:rFonts w:ascii="仿宋" w:eastAsia="仿宋" w:hAnsi="仿宋" w:hint="eastAsia"/>
          <w:bCs/>
          <w:sz w:val="32"/>
          <w:szCs w:val="32"/>
        </w:rPr>
        <w:t>年整体支出为</w:t>
      </w:r>
      <w:r>
        <w:rPr>
          <w:rFonts w:ascii="仿宋" w:eastAsia="仿宋" w:hAnsi="仿宋"/>
          <w:bCs/>
          <w:sz w:val="32"/>
          <w:szCs w:val="32"/>
        </w:rPr>
        <w:t>848.66</w:t>
      </w:r>
      <w:r>
        <w:rPr>
          <w:rFonts w:ascii="仿宋" w:eastAsia="仿宋" w:hAnsi="仿宋" w:hint="eastAsia"/>
          <w:bCs/>
          <w:sz w:val="32"/>
          <w:szCs w:val="32"/>
        </w:rPr>
        <w:t xml:space="preserve">万元，预算执行率为  </w:t>
      </w:r>
      <w:r>
        <w:rPr>
          <w:rFonts w:ascii="仿宋" w:eastAsia="仿宋" w:hAnsi="仿宋"/>
          <w:bCs/>
          <w:sz w:val="32"/>
          <w:szCs w:val="32"/>
        </w:rPr>
        <w:t>97.66</w:t>
      </w:r>
      <w:r>
        <w:rPr>
          <w:rFonts w:ascii="仿宋" w:eastAsia="仿宋" w:hAnsi="仿宋" w:hint="eastAsia"/>
          <w:bCs/>
          <w:sz w:val="32"/>
          <w:szCs w:val="32"/>
        </w:rPr>
        <w:t>%。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1.基本支出情况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基本支出是保障机构正常运转、完成日常工作任务而发生的支出，包括人员经费支出和日常公用经费（含“三公经费”）支出。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202</w:t>
      </w:r>
      <w:r>
        <w:rPr>
          <w:rFonts w:ascii="仿宋" w:eastAsia="仿宋" w:hAnsi="仿宋"/>
          <w:bCs/>
          <w:sz w:val="32"/>
          <w:szCs w:val="32"/>
        </w:rPr>
        <w:t>5</w:t>
      </w:r>
      <w:r>
        <w:rPr>
          <w:rFonts w:ascii="仿宋" w:eastAsia="仿宋" w:hAnsi="仿宋" w:hint="eastAsia"/>
          <w:bCs/>
          <w:sz w:val="32"/>
          <w:szCs w:val="32"/>
        </w:rPr>
        <w:t>年度本院人员经费支出</w:t>
      </w:r>
      <w:r>
        <w:rPr>
          <w:rFonts w:ascii="仿宋" w:eastAsia="仿宋" w:hAnsi="仿宋"/>
          <w:bCs/>
          <w:sz w:val="32"/>
          <w:szCs w:val="32"/>
        </w:rPr>
        <w:t>579.97</w:t>
      </w:r>
      <w:r>
        <w:rPr>
          <w:rFonts w:ascii="仿宋" w:eastAsia="仿宋" w:hAnsi="仿宋" w:hint="eastAsia"/>
          <w:bCs/>
          <w:sz w:val="32"/>
          <w:szCs w:val="32"/>
        </w:rPr>
        <w:t>万元，占基本支出预算比例</w:t>
      </w:r>
      <w:r>
        <w:rPr>
          <w:rFonts w:ascii="仿宋" w:eastAsia="仿宋" w:hAnsi="仿宋"/>
          <w:bCs/>
          <w:sz w:val="32"/>
          <w:szCs w:val="32"/>
        </w:rPr>
        <w:t>90.83</w:t>
      </w:r>
      <w:r>
        <w:rPr>
          <w:rFonts w:ascii="仿宋" w:eastAsia="仿宋" w:hAnsi="仿宋" w:hint="eastAsia"/>
          <w:bCs/>
          <w:sz w:val="32"/>
          <w:szCs w:val="32"/>
        </w:rPr>
        <w:t>%，日常公用经费支出</w:t>
      </w:r>
      <w:r>
        <w:rPr>
          <w:rFonts w:ascii="仿宋" w:eastAsia="仿宋" w:hAnsi="仿宋"/>
          <w:bCs/>
          <w:sz w:val="32"/>
          <w:szCs w:val="32"/>
        </w:rPr>
        <w:t>58.52</w:t>
      </w:r>
      <w:r>
        <w:rPr>
          <w:rFonts w:ascii="仿宋" w:eastAsia="仿宋" w:hAnsi="仿宋" w:hint="eastAsia"/>
          <w:bCs/>
          <w:sz w:val="32"/>
          <w:szCs w:val="32"/>
        </w:rPr>
        <w:t>万元，占基本支出预算比例</w:t>
      </w:r>
      <w:r>
        <w:rPr>
          <w:rFonts w:ascii="仿宋" w:eastAsia="仿宋" w:hAnsi="仿宋"/>
          <w:bCs/>
          <w:sz w:val="32"/>
          <w:szCs w:val="32"/>
        </w:rPr>
        <w:t>9.17</w:t>
      </w:r>
      <w:r>
        <w:rPr>
          <w:rFonts w:ascii="仿宋" w:eastAsia="仿宋" w:hAnsi="仿宋" w:hint="eastAsia"/>
          <w:bCs/>
          <w:sz w:val="32"/>
          <w:szCs w:val="32"/>
        </w:rPr>
        <w:t xml:space="preserve"> %。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2.项目支出情况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项目支出是在基本支出以外、为完成特定的工作任务而发生的支出。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我院202</w:t>
      </w:r>
      <w:r>
        <w:rPr>
          <w:rFonts w:ascii="仿宋" w:eastAsia="仿宋" w:hAnsi="仿宋"/>
          <w:bCs/>
          <w:sz w:val="32"/>
          <w:szCs w:val="32"/>
        </w:rPr>
        <w:t>5</w:t>
      </w:r>
      <w:r>
        <w:rPr>
          <w:rFonts w:ascii="仿宋" w:eastAsia="仿宋" w:hAnsi="仿宋" w:hint="eastAsia"/>
          <w:bCs/>
          <w:sz w:val="32"/>
          <w:szCs w:val="32"/>
        </w:rPr>
        <w:t>年度项目经费预算</w:t>
      </w:r>
      <w:r>
        <w:rPr>
          <w:rFonts w:ascii="仿宋" w:eastAsia="仿宋" w:hAnsi="仿宋"/>
          <w:bCs/>
          <w:sz w:val="32"/>
          <w:szCs w:val="32"/>
        </w:rPr>
        <w:t>210.45万</w:t>
      </w:r>
      <w:r>
        <w:rPr>
          <w:rFonts w:ascii="仿宋" w:eastAsia="仿宋" w:hAnsi="仿宋" w:hint="eastAsia"/>
          <w:bCs/>
          <w:sz w:val="32"/>
          <w:szCs w:val="32"/>
        </w:rPr>
        <w:t>元，共支出</w:t>
      </w:r>
      <w:r>
        <w:rPr>
          <w:rFonts w:ascii="仿宋" w:eastAsia="仿宋" w:hAnsi="仿宋"/>
          <w:bCs/>
          <w:sz w:val="32"/>
          <w:szCs w:val="32"/>
        </w:rPr>
        <w:t>210.17</w:t>
      </w:r>
      <w:r>
        <w:rPr>
          <w:rFonts w:ascii="仿宋" w:eastAsia="仿宋" w:hAnsi="仿宋" w:hint="eastAsia"/>
          <w:bCs/>
          <w:sz w:val="32"/>
          <w:szCs w:val="32"/>
        </w:rPr>
        <w:t>万元，项目经费预算执行率为99.</w:t>
      </w:r>
      <w:r>
        <w:rPr>
          <w:rFonts w:ascii="仿宋" w:eastAsia="仿宋" w:hAnsi="仿宋"/>
          <w:bCs/>
          <w:sz w:val="32"/>
          <w:szCs w:val="32"/>
        </w:rPr>
        <w:t>87</w:t>
      </w:r>
      <w:r>
        <w:rPr>
          <w:rFonts w:ascii="仿宋" w:eastAsia="仿宋" w:hAnsi="仿宋" w:hint="eastAsia"/>
          <w:bCs/>
          <w:sz w:val="32"/>
          <w:szCs w:val="32"/>
        </w:rPr>
        <w:t>%。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楷体" w:eastAsia="楷体" w:cs="楷体_GB2312" w:hAnsi="楷体" w:hint="eastAsia"/>
          <w:bCs/>
          <w:sz w:val="32"/>
          <w:szCs w:val="32"/>
        </w:rPr>
        <w:t>（三）部门整体支出绩效目标、指标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hint="eastAsia"/>
          <w:sz w:val="32"/>
          <w:szCs w:val="32"/>
        </w:rPr>
        <w:t>总体绩效目标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2025年我院将坚持以习近平新时代中国特色社会主义思想为指导，深入贯彻习近平法治思想，深入学习宣传贯彻党的二十大精神，坚持党对检察工作的绝对领导，坚决维护习近平总书记的核心地位，坚决维护党中央权威和集中统一领导。按照“讲政治、顾大局、谋发展、重自强”总体要求，依法全面正确履行法律监督职能，坚持不懈做好服务经济发展、深化检察公益诉讼、推进“四大检察”、“十大业务”均衡发展，不断加强检察队伍正规化专业化职业化建设，确保各项检察工作稳步健康发展。坚决落实《中共中央关于加强新时代检察机关法律监督工作的意见》，全面执行省、市、区委和上级检察机关各项决策部署要求，坚持“三个务必”，牢记新时代新征程党的中心任务，全面履行检察职责，综合运用监督手段，更深融入法治国家、法治政府、法治社会一体建设，踔厉奋发、勇毅前行，以止于至善、求极致的精神，为推进中国式现代化贡献检察力量。检察建议采纳率不低于70%，案件审结率不低于90%，购置设备合格率100%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</w:t>
      </w:r>
      <w:r>
        <w:rPr>
          <w:rFonts w:ascii="仿宋" w:eastAsia="仿宋" w:hAnsi="仿宋" w:hint="eastAsia"/>
          <w:sz w:val="32"/>
          <w:szCs w:val="32"/>
        </w:rPr>
        <w:t>分项绩效目标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（1）</w:t>
      </w:r>
      <w:r>
        <w:rPr>
          <w:rFonts w:ascii="仿宋" w:eastAsia="仿宋" w:hAnsi="仿宋" w:hint="eastAsia"/>
          <w:sz w:val="32"/>
          <w:szCs w:val="32"/>
        </w:rPr>
        <w:t>强化政治学习，提高政治站位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旗帜鲜明讲政治，始终坚持党对检察工作的绝对领导，始终坚持“从政治上看”各项检察工作，切实把政治层面的要求逐项分解映射到每一项具体检察实践，坚决做到忠诚捍卫“两个确立”，增强“四个意识”、坚定“四个自信”、做到“两个维护”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加强干警的党性修养和政治理论素养，提高干警综合素质，严守党的政治纪律和政治规矩，把学习教育贯穿始终，保障各类学习教育活动顺利开展，不断提高全体检察干警的政治素质、业务素质、职业道德素质。全年组织开展党建活动的数量不少于2次，及时合理保障各项活动，专题活动推进效果良好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（2）</w:t>
      </w:r>
      <w:r>
        <w:rPr>
          <w:rFonts w:ascii="仿宋" w:eastAsia="仿宋" w:hAnsi="仿宋" w:hint="eastAsia"/>
          <w:sz w:val="32"/>
          <w:szCs w:val="32"/>
        </w:rPr>
        <w:t>依法能动履职、服务大局发展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坚持总体国家安全观，以更大力度和更高效率依法严惩群众反映强烈的各类违法犯罪活动，综合运用打击、保护、监督、服务等手段，平等保护各类市场主体，全力推进涉案企业合规工作，营造更优法制化营商环境，打赢“三场硬仗”目标实现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努力提升办案质效和检察公信力，深化检务公开，查办案件及实施检察监督案件的数量超过200件，审结的案件占受理案件的比例达到85%以上，通过办理案件，稳定社会环境，收到良好的社会效果，通过项目实施促进社会稳定水平明显提高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（3）</w:t>
      </w:r>
      <w:r>
        <w:rPr>
          <w:rFonts w:ascii="仿宋" w:eastAsia="仿宋" w:hAnsi="仿宋" w:hint="eastAsia"/>
          <w:sz w:val="32"/>
          <w:szCs w:val="32"/>
        </w:rPr>
        <w:t>精准规范履职，提升监督质效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更加注重法治理念引领，加强数字检察大数据创新应用，全面精准抓实以“3456“业务质效管理机制为核心的”质效建设年“活动，进一步加强对诉讼活动的法律监督，着力完善公益诉讼制度，以能动履职促诉源治理、提升检察工作质效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保护未成年人司法权力，全年对涉案未成年人的成长环境等开展社会调查不少于5人次，对附条件不起诉的未成年人开展考察帮教活动不少于2人次，查办公益诉讼、生态环境等各类案件不少于20件，通过经费的使用保障年度计划顺利实施，达到预期效果，提升社会稳定性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（4）</w:t>
      </w:r>
      <w:r>
        <w:rPr>
          <w:rFonts w:ascii="仿宋" w:eastAsia="仿宋" w:hAnsi="仿宋" w:hint="eastAsia"/>
          <w:sz w:val="32"/>
          <w:szCs w:val="32"/>
        </w:rPr>
        <w:t>坚持人民至上，践行司法为民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坚持以双赢多赢共赢理念汇聚民生保障合力，加大人民群众关心关注领域监督办案力度，常态化抓好群众信访“件件有回复”、公开听证、司法救助、支持起诉、行政争议实质性化解等工作，努力让人民群众的获得感、幸福感、安全感更加充实、更有保障、更可持续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加强与人大代表、政协委员和社会各界的常态化联系，主动通报检察工作情况，及时赠阅期刊，全年订阅期刊数量不少于50份，加强立案侦查案件的监督。积极参与市域社会治理现代化，针对案件反映出的倾向性问题和管理漏洞，及时提出检察建议，检察建议被采纳案件占全部检察建议案件的80%以上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（5）</w:t>
      </w:r>
      <w:r>
        <w:rPr>
          <w:rFonts w:ascii="仿宋" w:eastAsia="仿宋" w:hAnsi="仿宋" w:hint="eastAsia"/>
          <w:sz w:val="32"/>
          <w:szCs w:val="32"/>
        </w:rPr>
        <w:t>夯实基础建设，打造过硬队伍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绩效目标：持续加强政治建设，进一步健全完善“联合党支部”模式，狠抓党风廉政建设，切实把政治、业务、队伍建设融为一体，一以贯之锻造堪当时代重任的高素质检察队伍。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绩效指标：优化干部培养、使用、管理机制，深化业务培训，提升司法理念，全年参加培训10次以上，保障各项计划按时完成。购置设备及时到位，验收合格率95%以上，办公效率显著提升。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（6）</w:t>
      </w:r>
      <w:r>
        <w:rPr>
          <w:rFonts w:ascii="仿宋" w:eastAsia="仿宋" w:hAnsi="仿宋" w:hint="eastAsia"/>
          <w:sz w:val="32"/>
          <w:szCs w:val="32"/>
        </w:rPr>
        <w:t>注重检察宣传，提升办案办公效率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提升两微一端一网的整体水平，运用图文、视频等形式展示检察机关的亮点工作，做好先进典型、事迹的宣传。加强检察原创作品制作，加强警示教育，提高公众对违法犯罪危害的认识。监测社会热点话题、突发事件，从正面引导舆论和宣传，构建积极向上的主流舆论。保证办公楼的各项设施设备正常运转，及时解决各种故障，消除安全隐患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运用微信、微博、今日头条等新媒体客户端，全年新媒体平台转发、点赞、在看量超过2000次，全方位开展检察宣传建设；全年组织宣传活动10次以上，宣传效果较上一年持续提升。及时高效搜集、处置舆情信息。排查用水、用电、消防等安全隐患、保证办公秩序的次数不少于10次，设施设备故障报修后及时做出处理，故障维修合格率95%以上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（7）</w:t>
      </w:r>
      <w:r>
        <w:rPr>
          <w:rFonts w:ascii="仿宋" w:eastAsia="仿宋" w:hAnsi="仿宋" w:hint="eastAsia"/>
          <w:sz w:val="32"/>
          <w:szCs w:val="32"/>
        </w:rPr>
        <w:t>适应信息化发展新趋势，保证办公办案安全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绩效目标：通过购买检察专用设备等，保障检察工作正常运转，提高检察业务工作效率，降低故障率。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绩效指标：及时购买检察专用设备，全年设备运行中的故障时间减少，保障信息系统安全运行，检测合格率达到95%以上。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二、自评工作开展情况</w:t>
      </w:r>
    </w:p>
    <w:p>
      <w:pPr>
        <w:spacing w:line="560" w:lineRule="exact"/>
        <w:rPr>
          <w:rFonts w:ascii="楷体" w:eastAsia="楷体" w:cs="楷体_GB2312" w:hAnsi="楷体"/>
          <w:sz w:val="32"/>
          <w:szCs w:val="32"/>
        </w:rPr>
      </w:pPr>
      <w:r>
        <w:rPr>
          <w:rFonts w:ascii="仿宋" w:eastAsia="仿宋" w:cs="楷体_GB2312" w:hAnsi="仿宋" w:hint="eastAsia"/>
          <w:b/>
          <w:bCs/>
          <w:sz w:val="32"/>
          <w:szCs w:val="32"/>
        </w:rPr>
        <w:t xml:space="preserve">    </w:t>
      </w:r>
      <w:r>
        <w:rPr>
          <w:rFonts w:ascii="楷体" w:eastAsia="楷体" w:cs="楷体_GB2312" w:hAnsi="楷体" w:hint="eastAsia"/>
          <w:bCs/>
          <w:sz w:val="32"/>
          <w:szCs w:val="32"/>
        </w:rPr>
        <w:t>（一）自评的组织工作</w:t>
      </w:r>
    </w:p>
    <w:p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依据《项目支出绩效评价管理办法》（财预〔2020〕10号）、《石家庄市市级部门预算项目绩效自评管理办法》（石财绩〔2020〕5号）、《石家庄市市级预算绩效重点评价管理办法》（石财绩〔2020〕6号）发文要求，结合项目实际情况制定了本次绩效评价的工作方案和评价指标。</w:t>
      </w:r>
    </w:p>
    <w:p>
      <w:pPr>
        <w:spacing w:beforeAutospacing="0" w:afterAutospacing="0"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为保证绩效评价工作顺利开展，我院成立了绩效评价工作小组，</w:t>
      </w:r>
      <w:r>
        <w:rPr>
          <w:rFonts w:ascii="仿宋" w:eastAsia="仿宋" w:hAnsi="仿宋"/>
          <w:sz w:val="32"/>
          <w:szCs w:val="32"/>
        </w:rPr>
        <w:t>办公室</w:t>
      </w:r>
      <w:r>
        <w:rPr>
          <w:rFonts w:ascii="仿宋" w:eastAsia="仿宋" w:hAnsi="仿宋" w:hint="eastAsia"/>
          <w:sz w:val="32"/>
          <w:szCs w:val="32"/>
        </w:rPr>
        <w:t>主管领导为组长，</w:t>
      </w:r>
      <w:r>
        <w:rPr>
          <w:rFonts w:ascii="仿宋" w:eastAsia="仿宋" w:hAnsi="仿宋"/>
          <w:sz w:val="32"/>
          <w:szCs w:val="32"/>
        </w:rPr>
        <w:t>办公室</w:t>
      </w:r>
      <w:r>
        <w:rPr>
          <w:rFonts w:ascii="仿宋" w:eastAsia="仿宋" w:hAnsi="仿宋" w:hint="eastAsia"/>
          <w:sz w:val="32"/>
          <w:szCs w:val="32"/>
        </w:rPr>
        <w:t>主任为副组长，下设立专门绩效管理办公室，具体负责绩效评价的组织管理工作和实施工作。</w:t>
      </w:r>
    </w:p>
    <w:p>
      <w:pPr>
        <w:numPr>
          <w:ilvl w:val="0"/>
          <w:numId w:val="1"/>
        </w:numPr>
        <w:spacing w:line="560" w:lineRule="exact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楷体" w:eastAsia="楷体" w:cs="楷体_GB2312" w:hAnsi="楷体" w:hint="eastAsia"/>
          <w:bCs/>
          <w:sz w:val="32"/>
          <w:szCs w:val="32"/>
        </w:rPr>
        <w:t>自评的方法和过程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1.评价方法</w:t>
      </w:r>
    </w:p>
    <w:p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根据相关资料及项目特点，采取定量分析与定性分析相结合，运用数量分析法、比率分析法、现场核查法、访问法等方法开展评价工作。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2.实施过程</w:t>
      </w:r>
    </w:p>
    <w:p>
      <w:pPr>
        <w:spacing w:line="56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本次绩效评价工作过程包括前期准备、组织实施、撰写评价报告三个阶段。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（1）前期准备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一是按照绩效评价工作要求，明确绩效评价的内容和范围，初步制定绩效评价工作方案。二是充分征求相关部门和有关人员意见，对工作方案进一步修改、完善。三是通知各相关处室提供相关资料，主要包括办理案件数量、案件受理数、案件审结数、项目佐证资料等，为实施评价工作奠定基础。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（2）组织实施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评价工作小组对项目绩效目标的相关佐证材料进行收集、梳理。第一，对相关资料进行查阅、核实、分析，确保所提供的数据和资料真实、可靠。第二，将项目资料按照评价体系指标分类，形成资料清单。第三，逐一梳理各文件内容，对存在的问题予以说明。第四，与相关人员进行沟通，对照核实资料清单，确保项目资料完整性，保证项目资料、实施流程、存在的问题及重点信息同时展现。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小组成员根据项目实际情况，建立绩效评价指标体系，并通过分析收集的数据、资料，对项目的实施进行评分，形成项目绩效评分表。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（3）撰写绩效评价报告</w:t>
      </w:r>
    </w:p>
    <w:p>
      <w:pPr>
        <w:spacing w:line="560" w:lineRule="exact"/>
        <w:ind w:firstLineChars="200" w:firstLine="640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根据项目绩效评价结果，撰写绩效评价报告，并形成绩效评价档案。</w:t>
      </w:r>
    </w:p>
    <w:p>
      <w:pPr>
        <w:spacing w:line="560" w:lineRule="exac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三、部门整体支出绩效目标实现情况及指标分析</w:t>
      </w:r>
    </w:p>
    <w:p>
      <w:pPr>
        <w:numPr>
          <w:ilvl w:val="0"/>
          <w:numId w:val="2"/>
        </w:numPr>
        <w:spacing w:line="560" w:lineRule="exact"/>
        <w:ind w:left="0" w:firstLineChars="200" w:firstLine="640"/>
        <w:rPr>
          <w:rFonts w:ascii="楷体" w:eastAsia="楷体" w:cs="楷体_GB2312" w:hAnsi="楷体"/>
          <w:bCs/>
          <w:sz w:val="32"/>
          <w:szCs w:val="32"/>
        </w:rPr>
      </w:pPr>
      <w:r>
        <w:rPr>
          <w:rFonts w:ascii="楷体" w:eastAsia="楷体" w:cs="楷体_GB2312" w:hAnsi="楷体" w:hint="eastAsia"/>
          <w:bCs/>
          <w:sz w:val="32"/>
          <w:szCs w:val="32"/>
        </w:rPr>
        <w:t>总体绩效目标实现情况</w:t>
      </w:r>
    </w:p>
    <w:p>
      <w:pPr>
        <w:spacing w:line="56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2025年我院坚持以习近平新时代中国特色社会主义思想为指导，深入贯彻习近平法治思想，深入学习宣传贯彻党的二十大精神，坚持党对检察工作的绝对领导，坚决维护习近平总书记的核心地位，坚决维护党中央权威和集中统一领导。按照“讲政治、顾大局、谋发展、重自强”总体要求，依法全面正确履行法律监督职能，坚持不懈做好服务经济发展、深化检察公益诉讼、推进“四大检察”、“十大业务”均衡发展，不断加强检察队伍正规化专业化职业化建设，确保各项检察工作稳步健康发展。坚决落实《中共中央关于加强新时代检察机关法律监督工作的意见》，全面执行省、市、区委和上级检察机关各项决策部署要求，坚持“三个务必”，牢记新时代新征程党的中心任务，全面履行检察职责，综合运用监督手段，更深融入法治国家、法治政府、法治社会一体建设，踔厉奋发、勇毅前行，以止于至善、求极致的精神，为推进中国式现代化贡献检察力量。检察建议采纳率</w:t>
      </w:r>
      <w:r>
        <w:rPr>
          <w:rFonts w:ascii="仿宋" w:eastAsia="仿宋" w:hAnsi="仿宋"/>
          <w:sz w:val="32"/>
          <w:szCs w:val="32"/>
        </w:rPr>
        <w:t>100%</w:t>
      </w:r>
      <w:r>
        <w:rPr>
          <w:rFonts w:ascii="仿宋" w:eastAsia="仿宋" w:hAnsi="仿宋" w:hint="eastAsia"/>
          <w:sz w:val="32"/>
          <w:szCs w:val="32"/>
        </w:rPr>
        <w:t>，案件审结率</w:t>
      </w:r>
      <w:r>
        <w:rPr>
          <w:rFonts w:ascii="仿宋" w:eastAsia="仿宋" w:hAnsi="仿宋"/>
          <w:sz w:val="32"/>
          <w:szCs w:val="32"/>
        </w:rPr>
        <w:t>92.63%</w:t>
      </w:r>
      <w:r>
        <w:rPr>
          <w:rFonts w:ascii="仿宋" w:eastAsia="仿宋" w:hAnsi="仿宋" w:hint="eastAsia"/>
          <w:sz w:val="32"/>
          <w:szCs w:val="32"/>
        </w:rPr>
        <w:t>，购置设备合格率100%。</w:t>
      </w:r>
    </w:p>
    <w:p>
      <w:pPr>
        <w:spacing w:line="560" w:lineRule="exact"/>
        <w:rPr>
          <w:rFonts w:ascii="楷体" w:eastAsia="楷体" w:hAnsi="楷体"/>
          <w:bCs/>
          <w:sz w:val="32"/>
          <w:szCs w:val="32"/>
        </w:rPr>
      </w:pPr>
      <w:r>
        <w:rPr>
          <w:rFonts w:ascii="仿宋" w:eastAsia="仿宋" w:cs="楷体_GB2312" w:hAnsi="仿宋" w:hint="eastAsia"/>
          <w:b/>
          <w:bCs/>
          <w:sz w:val="32"/>
          <w:szCs w:val="32"/>
        </w:rPr>
        <w:t xml:space="preserve">    </w:t>
      </w:r>
      <w:r>
        <w:rPr>
          <w:rFonts w:ascii="楷体" w:eastAsia="楷体" w:cs="楷体_GB2312" w:hAnsi="楷体" w:hint="eastAsia"/>
          <w:bCs/>
          <w:sz w:val="32"/>
          <w:szCs w:val="32"/>
        </w:rPr>
        <w:t>（二）分项绩效目标实现情况及指标分析</w:t>
      </w:r>
    </w:p>
    <w:p>
      <w:pPr>
        <w:spacing w:line="560" w:lineRule="exact"/>
        <w:ind w:firstLineChars="250" w:firstLine="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drawing>
          <wp:anchor distT="0" distB="0" distL="85725" distR="85725" simplePos="0" relativeHeight="21" behindDoc="0" locked="0" layoutInCell="1" hidden="0" allowOverlap="1">
            <wp:simplePos x="0" y="0"/>
            <wp:positionH relativeFrom="column">
              <wp:posOffset>106680</wp:posOffset>
            </wp:positionH>
            <wp:positionV relativeFrom="paragraph">
              <wp:posOffset>1511301</wp:posOffset>
            </wp:positionV>
            <wp:extent cx="5420994" cy="6796404"/>
            <wp:effectExtent l="0" t="0" r="0" b="0"/>
            <wp:wrapTopAndBottom/>
            <wp:docPr id="4" name="图片 40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4098 6"/>
                    <pic:cNvPicPr/>
                  </pic:nvPicPr>
                  <pic:blipFill>
                    <a:blip r:embed="rId3"/>
                    <a:srcRect t="898" l="69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20994" cy="679640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sz w:val="32"/>
          <w:szCs w:val="32"/>
        </w:rPr>
        <w:t>1.</w:t>
      </w:r>
      <w:r>
        <w:rPr>
          <w:rFonts w:ascii="仿宋" w:eastAsia="仿宋" w:hAnsi="仿宋"/>
          <w:sz w:val="32"/>
          <w:szCs w:val="32"/>
        </w:rPr>
        <w:t>劳务派遣人员经费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98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21.56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20.564184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beforeAutospacing="0" w:afterAutospacing="0" w:line="560" w:lineRule="exact"/>
        <w:ind w:left="0"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聘用制书记员经费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90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68.3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68.3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drawing>
          <wp:anchor distT="0" distB="0" distL="85725" distR="85725" simplePos="0" relativeHeight="23" behindDoc="0" locked="0" layoutInCell="1" hidden="0" allowOverlap="1">
            <wp:simplePos x="0" y="0"/>
            <wp:positionH relativeFrom="column">
              <wp:posOffset>40002</wp:posOffset>
            </wp:positionH>
            <wp:positionV relativeFrom="paragraph">
              <wp:posOffset>44449</wp:posOffset>
            </wp:positionV>
            <wp:extent cx="5629275" cy="7029450"/>
            <wp:effectExtent l="0" t="0" r="0" b="0"/>
            <wp:wrapTopAndBottom/>
            <wp:docPr id="7" name="图片 40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4099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29275" cy="70294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业务保障经费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99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15.2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15.140667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drawing>
          <wp:anchor distT="0" distB="0" distL="85725" distR="85725" simplePos="0" relativeHeight="31" behindDoc="0" locked="0" layoutInCell="1" hidden="0" allowOverlap="1">
            <wp:simplePos x="0" y="0"/>
            <wp:positionH relativeFrom="column">
              <wp:posOffset>106679</wp:posOffset>
            </wp:positionH>
            <wp:positionV relativeFrom="paragraph">
              <wp:posOffset>111123</wp:posOffset>
            </wp:positionV>
            <wp:extent cx="5629275" cy="7848600"/>
            <wp:effectExtent l="0" t="0" r="0" b="0"/>
            <wp:wrapTopAndBottom/>
            <wp:docPr id="10" name="图片 4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4106 12"/>
                    <pic:cNvPicPr/>
                  </pic:nvPicPr>
                  <pic:blipFill>
                    <a:blip r:embed="rId5"/>
                    <a:srcRect t="554" r="4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29275" cy="78486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单位运行电费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90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5.62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5.62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drawing>
          <wp:anchor distT="0" distB="0" distL="85725" distR="85725" simplePos="0" relativeHeight="25" behindDoc="0" locked="0" layoutInCell="1" hidden="0" allowOverlap="1">
            <wp:simplePos x="0" y="0"/>
            <wp:positionH relativeFrom="column">
              <wp:posOffset>173354</wp:posOffset>
            </wp:positionH>
            <wp:positionV relativeFrom="paragraph">
              <wp:posOffset>98424</wp:posOffset>
            </wp:positionV>
            <wp:extent cx="5476875" cy="7600949"/>
            <wp:effectExtent l="0" t="0" r="0" b="0"/>
            <wp:wrapTopAndBottom/>
            <wp:docPr id="13" name="图片 4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4101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76875" cy="760094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物业管理费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100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10.67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10.58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drawing>
          <wp:anchor distT="0" distB="0" distL="85725" distR="85725" simplePos="0" relativeHeight="33" behindDoc="0" locked="0" layoutInCell="1" hidden="0" allowOverlap="1">
            <wp:simplePos x="0" y="0"/>
            <wp:positionH relativeFrom="column">
              <wp:posOffset>49530</wp:posOffset>
            </wp:positionH>
            <wp:positionV relativeFrom="paragraph">
              <wp:posOffset>317499</wp:posOffset>
            </wp:positionV>
            <wp:extent cx="5448299" cy="7286625"/>
            <wp:effectExtent l="0" t="0" r="0" b="0"/>
            <wp:wrapTopAndBottom/>
            <wp:docPr id="16" name="图片 4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4120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48299" cy="72866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党组织活动经费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98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2.1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2.0497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drawing>
          <wp:anchor distT="0" distB="0" distL="85725" distR="85725" simplePos="0" relativeHeight="27" behindDoc="0" locked="0" layoutInCell="1" hidden="0" allowOverlap="1">
            <wp:simplePos x="0" y="0"/>
            <wp:positionH relativeFrom="column">
              <wp:posOffset>-74295</wp:posOffset>
            </wp:positionH>
            <wp:positionV relativeFrom="paragraph">
              <wp:posOffset>155574</wp:posOffset>
            </wp:positionV>
            <wp:extent cx="5762625" cy="7324724"/>
            <wp:effectExtent l="0" t="0" r="0" b="0"/>
            <wp:wrapTopAndBottom/>
            <wp:docPr id="19" name="图片 4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4103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2625" cy="732472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/>
          <w:sz w:val="32"/>
          <w:szCs w:val="32"/>
        </w:rPr>
        <w:t>文件资料印刷费</w:t>
      </w:r>
      <w:r>
        <w:rPr>
          <w:rFonts w:ascii="仿宋" w:eastAsia="仿宋" w:hAnsi="仿宋" w:hint="eastAsia"/>
          <w:sz w:val="32"/>
          <w:szCs w:val="32"/>
        </w:rPr>
        <w:t>自评综述：根据年初设定的绩效目标，项目支出自评得分为</w:t>
      </w:r>
      <w:r>
        <w:rPr>
          <w:rFonts w:ascii="仿宋" w:eastAsia="仿宋" w:hAnsi="仿宋"/>
          <w:sz w:val="32"/>
          <w:szCs w:val="32"/>
        </w:rPr>
        <w:t>95</w:t>
      </w:r>
      <w:r>
        <w:rPr>
          <w:rFonts w:ascii="仿宋" w:eastAsia="仿宋" w:hAnsi="仿宋" w:hint="eastAsia"/>
          <w:sz w:val="32"/>
          <w:szCs w:val="32"/>
        </w:rPr>
        <w:t>分。全年预算数为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万元，执行数为</w:t>
      </w:r>
      <w:r>
        <w:rPr>
          <w:rFonts w:ascii="仿宋" w:eastAsia="仿宋" w:hAnsi="仿宋"/>
          <w:sz w:val="32"/>
          <w:szCs w:val="32"/>
        </w:rPr>
        <w:t>1.9536</w:t>
      </w:r>
      <w:r>
        <w:rPr>
          <w:rFonts w:ascii="仿宋" w:eastAsia="仿宋" w:hAnsi="仿宋" w:hint="eastAsia"/>
          <w:sz w:val="32"/>
          <w:szCs w:val="32"/>
        </w:rPr>
        <w:t>万元，项目绩效完成情况：优秀。发现的主要问题：无。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drawing>
          <wp:anchor distT="0" distB="0" distL="85725" distR="85725" simplePos="0" relativeHeight="29" behindDoc="0" locked="0" layoutInCell="1" hidden="0" allowOverlap="1">
            <wp:simplePos x="0" y="0"/>
            <wp:positionH relativeFrom="column">
              <wp:posOffset>396875</wp:posOffset>
            </wp:positionH>
            <wp:positionV relativeFrom="paragraph">
              <wp:posOffset>98424</wp:posOffset>
            </wp:positionV>
            <wp:extent cx="5000625" cy="6829425"/>
            <wp:effectExtent l="0" t="0" r="0" b="0"/>
            <wp:wrapTopAndBottom/>
            <wp:docPr id="22" name="图片 4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4104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00625" cy="682942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/>
          <w:sz w:val="32"/>
          <w:szCs w:val="32"/>
          <w:lang w:val="en-US" w:eastAsia="zh-CN"/>
        </w:rPr>
        <w:t>8</w:t>
      </w:r>
      <w:r>
        <w:rPr>
          <w:rFonts w:ascii="仿宋" w:eastAsia="仿宋" w:hAnsi="仿宋" w:hint="eastAsia"/>
          <w:sz w:val="32"/>
          <w:szCs w:val="32"/>
          <w:lang w:val="en-US" w:eastAsia="zh-CN"/>
        </w:rPr>
        <w:t>.</w:t>
      </w:r>
      <w:r>
        <w:rPr>
          <w:rFonts w:ascii="仿宋" w:eastAsia="仿宋" w:hAnsi="仿宋" w:hint="eastAsia"/>
          <w:sz w:val="32"/>
          <w:szCs w:val="32"/>
        </w:rPr>
        <w:t>提前下达202</w:t>
      </w:r>
      <w:r>
        <w:rPr>
          <w:rFonts w:ascii="仿宋" w:eastAsia="仿宋" w:hAnsi="仿宋"/>
          <w:sz w:val="32"/>
          <w:szCs w:val="32"/>
          <w:lang w:val="en-US" w:eastAsia="zh-CN"/>
        </w:rPr>
        <w:t>5</w:t>
      </w:r>
      <w:r>
        <w:rPr>
          <w:rFonts w:ascii="仿宋" w:eastAsia="仿宋" w:hAnsi="仿宋" w:hint="eastAsia"/>
          <w:sz w:val="32"/>
          <w:szCs w:val="32"/>
        </w:rPr>
        <w:t>年中央政法纪检监察转移支付资金（</w:t>
      </w:r>
      <w:r>
        <w:rPr>
          <w:rFonts w:ascii="仿宋" w:eastAsia="仿宋" w:hAnsi="仿宋"/>
          <w:sz w:val="32"/>
          <w:szCs w:val="32"/>
          <w:lang w:eastAsia="zh-CN"/>
        </w:rPr>
        <w:t>办案</w:t>
      </w:r>
      <w:r>
        <w:rPr>
          <w:rFonts w:ascii="仿宋" w:eastAsia="仿宋" w:hAnsi="仿宋" w:hint="eastAsia"/>
          <w:sz w:val="32"/>
          <w:szCs w:val="32"/>
        </w:rPr>
        <w:t>费）支出自评综述：</w:t>
      </w:r>
      <w:r>
        <w:rPr>
          <w:rFonts w:ascii="仿宋" w:eastAsia="仿宋" w:hAnsi="仿宋" w:hint="eastAsia"/>
          <w:sz w:val="32"/>
          <w:szCs w:val="32"/>
          <w:lang w:eastAsia="zh-CN"/>
        </w:rPr>
        <w:t>该项目涉密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提前下达202</w:t>
      </w:r>
      <w:r>
        <w:rPr>
          <w:rFonts w:ascii="仿宋" w:eastAsia="仿宋" w:hAnsi="仿宋"/>
          <w:sz w:val="32"/>
          <w:szCs w:val="32"/>
          <w:lang w:val="en-US" w:eastAsia="zh-CN"/>
        </w:rPr>
        <w:t>5</w:t>
      </w:r>
      <w:r>
        <w:rPr>
          <w:rFonts w:ascii="仿宋" w:eastAsia="仿宋" w:hAnsi="仿宋" w:hint="eastAsia"/>
          <w:sz w:val="32"/>
          <w:szCs w:val="32"/>
        </w:rPr>
        <w:t>年中央政法纪检监察转移支付资金（</w:t>
      </w:r>
      <w:r>
        <w:rPr>
          <w:rFonts w:ascii="仿宋" w:eastAsia="仿宋" w:hAnsi="仿宋" w:hint="eastAsia"/>
          <w:sz w:val="32"/>
          <w:szCs w:val="32"/>
          <w:lang w:eastAsia="zh-CN"/>
        </w:rPr>
        <w:t>装备</w:t>
      </w:r>
      <w:r>
        <w:rPr>
          <w:rFonts w:ascii="仿宋" w:eastAsia="仿宋" w:hAnsi="仿宋" w:hint="eastAsia"/>
          <w:sz w:val="32"/>
          <w:szCs w:val="32"/>
        </w:rPr>
        <w:t>费）支出自评综述：</w:t>
      </w:r>
      <w:r>
        <w:rPr>
          <w:rFonts w:ascii="仿宋" w:eastAsia="仿宋" w:hAnsi="仿宋" w:hint="eastAsia"/>
          <w:sz w:val="32"/>
          <w:szCs w:val="32"/>
          <w:lang w:eastAsia="zh-CN"/>
        </w:rPr>
        <w:t>该项目涉密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10.</w:t>
      </w:r>
      <w:r>
        <w:rPr>
          <w:rFonts w:ascii="仿宋" w:eastAsia="仿宋" w:hAnsi="仿宋" w:hint="eastAsia"/>
          <w:sz w:val="32"/>
          <w:szCs w:val="32"/>
        </w:rPr>
        <w:t>提前下达202</w:t>
      </w:r>
      <w:r>
        <w:rPr>
          <w:rFonts w:ascii="仿宋" w:eastAsia="仿宋" w:hAnsi="仿宋"/>
          <w:sz w:val="32"/>
          <w:szCs w:val="32"/>
          <w:lang w:val="en-US" w:eastAsia="zh-CN"/>
        </w:rPr>
        <w:t>5</w:t>
      </w:r>
      <w:r>
        <w:rPr>
          <w:rFonts w:ascii="仿宋" w:eastAsia="仿宋" w:hAnsi="仿宋" w:hint="eastAsia"/>
          <w:sz w:val="32"/>
          <w:szCs w:val="32"/>
        </w:rPr>
        <w:t>年省级基层公检法司转移支付资金（</w:t>
      </w:r>
      <w:r>
        <w:rPr>
          <w:rFonts w:ascii="仿宋" w:eastAsia="仿宋" w:hAnsi="仿宋"/>
          <w:sz w:val="32"/>
          <w:szCs w:val="32"/>
        </w:rPr>
        <w:t>办案</w:t>
      </w:r>
      <w:r>
        <w:rPr>
          <w:rFonts w:ascii="仿宋" w:eastAsia="仿宋" w:hAnsi="仿宋" w:hint="eastAsia"/>
          <w:sz w:val="32"/>
          <w:szCs w:val="32"/>
          <w:lang w:eastAsia="zh-CN"/>
        </w:rPr>
        <w:t>费</w:t>
      </w:r>
      <w:r>
        <w:rPr>
          <w:rFonts w:ascii="仿宋" w:eastAsia="仿宋" w:hAnsi="仿宋" w:hint="eastAsia"/>
          <w:sz w:val="32"/>
          <w:szCs w:val="32"/>
        </w:rPr>
        <w:t>）支出自评综述：</w:t>
      </w:r>
      <w:r>
        <w:rPr>
          <w:rFonts w:ascii="仿宋" w:eastAsia="仿宋" w:hAnsi="仿宋" w:hint="eastAsia"/>
          <w:sz w:val="32"/>
          <w:szCs w:val="32"/>
          <w:lang w:eastAsia="zh-CN"/>
        </w:rPr>
        <w:t>该项目涉密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11.</w:t>
      </w:r>
      <w:r>
        <w:rPr>
          <w:rFonts w:ascii="仿宋" w:eastAsia="仿宋" w:hAnsi="仿宋" w:hint="eastAsia"/>
          <w:sz w:val="32"/>
          <w:szCs w:val="32"/>
        </w:rPr>
        <w:t>提前下达202</w:t>
      </w:r>
      <w:r>
        <w:rPr>
          <w:rFonts w:ascii="仿宋" w:eastAsia="仿宋" w:hAnsi="仿宋"/>
          <w:sz w:val="32"/>
          <w:szCs w:val="32"/>
          <w:lang w:val="en-US" w:eastAsia="zh-CN"/>
        </w:rPr>
        <w:t>5</w:t>
      </w:r>
      <w:r>
        <w:rPr>
          <w:rFonts w:ascii="仿宋" w:eastAsia="仿宋" w:hAnsi="仿宋" w:hint="eastAsia"/>
          <w:sz w:val="32"/>
          <w:szCs w:val="32"/>
        </w:rPr>
        <w:t>年省级基层公检法司转移支付资金（</w:t>
      </w:r>
      <w:r>
        <w:rPr>
          <w:rFonts w:ascii="仿宋" w:eastAsia="仿宋" w:hAnsi="仿宋" w:hint="eastAsia"/>
          <w:sz w:val="32"/>
          <w:szCs w:val="32"/>
          <w:lang w:eastAsia="zh-CN"/>
        </w:rPr>
        <w:t>装备费</w:t>
      </w:r>
      <w:r>
        <w:rPr>
          <w:rFonts w:ascii="仿宋" w:eastAsia="仿宋" w:hAnsi="仿宋" w:hint="eastAsia"/>
          <w:sz w:val="32"/>
          <w:szCs w:val="32"/>
        </w:rPr>
        <w:t>）支出自评综述：</w:t>
      </w:r>
      <w:r>
        <w:rPr>
          <w:rFonts w:ascii="仿宋" w:eastAsia="仿宋" w:hAnsi="仿宋" w:hint="eastAsia"/>
          <w:sz w:val="32"/>
          <w:szCs w:val="32"/>
          <w:lang w:eastAsia="zh-CN"/>
        </w:rPr>
        <w:t>该项目涉密</w:t>
      </w:r>
      <w:r>
        <w:rPr>
          <w:rFonts w:ascii="仿宋" w:eastAsia="仿宋" w:hAnsi="仿宋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12.</w:t>
      </w:r>
      <w:r>
        <w:rPr>
          <w:rFonts w:ascii="仿宋" w:eastAsia="仿宋" w:hAnsi="仿宋"/>
          <w:sz w:val="32"/>
          <w:szCs w:val="32"/>
          <w:lang w:val="en-US" w:eastAsia="zh-CN"/>
        </w:rPr>
        <w:t>2025年第一批国家司法救助资金</w:t>
      </w:r>
      <w:r>
        <w:rPr>
          <w:rFonts w:ascii="仿宋" w:eastAsia="仿宋" w:hAnsi="仿宋" w:hint="eastAsia"/>
          <w:sz w:val="32"/>
          <w:szCs w:val="32"/>
          <w:lang w:val="en-US" w:eastAsia="zh-CN"/>
        </w:rPr>
        <w:t>支出自评综述：该项目涉密。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四、评价结论和评价等级</w:t>
      </w:r>
    </w:p>
    <w:p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年我院积极履职，通过加强预算收支管理，不断梳理内部管理流程，建立健全内部管理制度，部门整体支出管理水平得到提升。经自评，20个项目自评得分均在</w:t>
      </w:r>
      <w:r>
        <w:rPr>
          <w:rFonts w:ascii="仿宋" w:eastAsia="仿宋" w:hAnsi="仿宋"/>
          <w:sz w:val="32"/>
          <w:szCs w:val="32"/>
        </w:rPr>
        <w:t>90</w:t>
      </w:r>
      <w:r>
        <w:rPr>
          <w:rFonts w:ascii="仿宋" w:eastAsia="仿宋" w:hAnsi="仿宋" w:hint="eastAsia"/>
          <w:sz w:val="32"/>
          <w:szCs w:val="32"/>
        </w:rPr>
        <w:t>分以上，202</w:t>
      </w: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年我院较好的完成了年度工作目标，综合评价等级为“优秀”。</w:t>
      </w:r>
    </w:p>
    <w:p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五、存在的问题及改进措施</w:t>
      </w:r>
    </w:p>
    <w:p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>
        <w:rPr>
          <w:rFonts w:ascii="楷体" w:eastAsia="楷体" w:hAnsi="楷体" w:hint="eastAsia"/>
          <w:bCs/>
          <w:sz w:val="32"/>
          <w:szCs w:val="32"/>
        </w:rPr>
        <w:t>（一）存在的主要问题</w:t>
      </w:r>
    </w:p>
    <w:p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从自评情况看，有关项目总体立项规范，绩效目标明确，预算编制较为合理，资金及时到位，预算执行及时、有效，各项管理制度健全并且能有效执行，绩效目标得到较好实现，部门履职水平不断提高，但也存在部分项目</w:t>
      </w:r>
      <w:r>
        <w:rPr>
          <w:rFonts w:ascii="仿宋" w:eastAsia="仿宋" w:hAnsi="仿宋"/>
          <w:sz w:val="32"/>
          <w:szCs w:val="32"/>
        </w:rPr>
        <w:t>效益</w:t>
      </w:r>
      <w:r>
        <w:rPr>
          <w:rFonts w:ascii="仿宋" w:eastAsia="仿宋" w:hAnsi="仿宋" w:hint="eastAsia"/>
          <w:sz w:val="32"/>
          <w:szCs w:val="32"/>
        </w:rPr>
        <w:t>指标低于预期等问题。</w:t>
      </w:r>
    </w:p>
    <w:p>
      <w:pPr>
        <w:spacing w:line="560" w:lineRule="exact"/>
        <w:ind w:firstLineChars="200" w:firstLine="640"/>
        <w:rPr>
          <w:rFonts w:ascii="楷体" w:eastAsia="楷体" w:hAnsi="楷体"/>
          <w:bCs/>
          <w:sz w:val="32"/>
          <w:szCs w:val="32"/>
        </w:rPr>
      </w:pPr>
      <w:r>
        <w:rPr>
          <w:rFonts w:ascii="楷体" w:eastAsia="楷体" w:hAnsi="楷体" w:hint="eastAsia"/>
          <w:bCs/>
          <w:sz w:val="32"/>
          <w:szCs w:val="32"/>
        </w:rPr>
        <w:t>（二）针对问题提出具体的改进措施或建议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1.提高项目预算管理水平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院将积极提高预算工作的准确性，在项目实施过程中监控项目执行计划，及时调整经费安排，若出现因客观原因导致项目进度暂缓或中止的情况，及时调整项目支出计划，并向市财政局申请对预算资金进行调剂或回收，以优化我院项目支出结构与进度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2.完善部门绩效指标体系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提高个性化绩效指标的合理性与可衡量性，我院将以此次绩效评价工作为契机，系统梳理部门履职内容及经费支出考核的结合点，在全院范围内扩大绩效指标构建的参与面，不断充实丰富和更新重点指标，建设“科学合理、细化量化、可比可测、动态调整、共建共享”的绩效指标体系，形成检察机关的特色工作领域动态指标库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3.加强部门绩效监督评价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进一步加强绩效运行情况、重大支出决策、资产处置及其他重要检察业务事项的督导。同时完善评价工作方案，明确评价内容、评价方法等，扎实开展年度预算绩效自评和重点评价工作，对评价中发现的问题及时整改，调整优化支出结构，切实提高财政资金使用效益。</w:t>
      </w:r>
    </w:p>
    <w:sectPr>
      <w:footerReference w:type="default" r:id="rId2"/>
      <w:pgSz w:w="11906" w:h="16838"/>
      <w:pgMar w:top="1440" w:right="1474" w:bottom="1440" w:left="1587" w:header="851" w:footer="992" w:gutter="0"/>
      <w:pgNumType w:fmt="numberInDash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298" distR="114298" simplePos="0" relativeHeight="19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-9922685</wp:posOffset>
              </wp:positionV>
              <wp:extent cx="209492" cy="162820"/>
              <wp:effectExtent l="0" t="0" r="0" b="0"/>
              <wp:wrapNone/>
              <wp:docPr id="1" name="Quad Arrow 3073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209492" cy="16282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Quad Arrow 3073 3" o:spid="_x0000_s3" filled="f" stroked="f" style="position:absolute;margin-left:0.0pt;margin-top:-781.3138pt;width:16.4955pt;height:12.820483pt;z-index:19;mso-position-horizontal:center;mso-position-horizontal-relative:margin;mso-position-vertical:absolute;mso-wrap-distance-left:8.999863pt;mso-wrap-distance-right:8.999863pt;mso-wrap-style:none;">
              <v:stroke color="#000000"/>
              <v:textbox id="855" inset="0mm,0mm,0mm,0mm" o:insetmode="custom" style="layout-flow:horizontal;v-text-anchor:top;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516AA81"/>
    <w:multiLevelType w:val="singleLevel"/>
    <w:tmpl w:val="0516AA81"/>
    <w:lvl w:ilvl="0">
      <w:start w:val="2"/>
      <w:numFmt w:val="chineseCounting"/>
      <w:lvlRestart w:val="0"/>
      <w:suff w:val="nothing"/>
      <w:lvlText w:val="（%1）"/>
      <w:lvlJc w:val="left"/>
      <w:pPr>
        <w:ind w:left="642" w:hanging="0"/>
      </w:pPr>
      <w:rPr>
        <w:rFonts w:hint="eastAsia"/>
      </w:rPr>
    </w:lvl>
  </w:abstractNum>
  <w:abstractNum w:abstractNumId="1">
    <w:nsid w:val="5E68489B"/>
    <w:multiLevelType w:val="singleLevel"/>
    <w:tmpl w:val="5E68489B"/>
    <w:lvl w:ilvl="0">
      <w:start w:val="1"/>
      <w:numFmt w:val="chineseCounting"/>
      <w:lvlRestart w:val="0"/>
      <w:suff w:val="nothing"/>
      <w:lvlText w:val="（%1）"/>
      <w:lvlJc w:val="left"/>
      <w:pPr>
        <w:ind w:left="0" w:hanging="0"/>
      </w:pPr>
      <w:rPr>
        <w:rFonts w:ascii="楷体" w:hAnsi="楷体" w:eastAsia="楷体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doNotSuppressIndentation/>
    <w:splitPgBreakAndParaMark/>
    <w:compatSetting w:name="compatibilityMode" w:uri="http://schemas.microsoft.com/office/word" w:val="11"/>
  </w:compat>
  <w:docVars>
    <w:docVar w:name="commondata" w:val="eyJoZGlkIjoiYzgxMzVhZTBlNDUyZWUxNDVhMjNkN2E1NjFlOTE5ND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黑体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png"/><Relationship Id="rId10" Type="http://schemas.openxmlformats.org/officeDocument/2006/relationships/styles" Target="styl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90255526-C6C6-437C-B586-62BB51C25B2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491</TotalTime>
  <Application>Yozo_Office27021597764231179</Application>
  <Pages>19</Pages>
  <Words>0</Words>
  <Characters>5224</Characters>
  <Lines>0</Lines>
  <Paragraphs>111</Paragraphs>
  <CharactersWithSpaces>6966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附件3：</dc:title>
  <dc:creator>欣欣大人</dc:creator>
  <cp:lastModifiedBy>Administrator</cp:lastModifiedBy>
  <cp:revision>3</cp:revision>
  <cp:lastPrinted>2026-03-03T01:23:50Z</cp:lastPrinted>
  <dcterms:created xsi:type="dcterms:W3CDTF">2020-02-04T03:46:00Z</dcterms:created>
  <dcterms:modified xsi:type="dcterms:W3CDTF">2026-07-20T01:29:20Z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96934721B1514D3FBAA28020338CE855_12</vt:lpwstr>
  </property>
  <property fmtid="{D5CDD505-2E9C-101B-9397-08002B2CF9AE}" pid="4" name="KSOTemplateDocerSaveRecord">
    <vt:lpwstr>eyJoZGlkIjoiMDRiNGJkYjBiMjRiNTM2Zjk5YWM2NmU3YTc2OThjMTYiLCJ1c2VySWQiOiIxMDI2NzA5MTgxIn0=</vt:lpwstr>
  </property>
</Properties>
</file>