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CCB4A">
      <w:pPr>
        <w:spacing w:line="560" w:lineRule="exact"/>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井陉县人民法院</w:t>
      </w:r>
    </w:p>
    <w:p w14:paraId="71578970">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7DB97C26">
      <w:pPr>
        <w:spacing w:line="560" w:lineRule="exact"/>
        <w:jc w:val="center"/>
        <w:rPr>
          <w:rFonts w:ascii="华文楷体" w:eastAsia="华文楷体"/>
          <w:sz w:val="32"/>
          <w:szCs w:val="32"/>
        </w:rPr>
      </w:pPr>
    </w:p>
    <w:p w14:paraId="7D228387">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w:t>
      </w:r>
      <w:r>
        <w:rPr>
          <w:rFonts w:hint="eastAsia" w:ascii="仿宋" w:hAnsi="仿宋" w:eastAsia="仿宋"/>
          <w:sz w:val="32"/>
          <w:szCs w:val="32"/>
          <w:lang w:val="en-US" w:eastAsia="zh-CN"/>
        </w:rPr>
        <w:t>井陉县人民法院</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w:t>
      </w:r>
    </w:p>
    <w:p w14:paraId="49821B4E">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自评价，形成本评价报告。</w:t>
      </w:r>
    </w:p>
    <w:p w14:paraId="104816EB">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3E4236F5">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013A932F">
      <w:pPr>
        <w:keepNext w:val="0"/>
        <w:keepLines w:val="0"/>
        <w:pageBreakBefore w:val="0"/>
        <w:widowControl w:val="0"/>
        <w:kinsoku/>
        <w:wordWrap/>
        <w:overflowPunct/>
        <w:topLinePunct w:val="0"/>
        <w:autoSpaceDE/>
        <w:bidi w:val="0"/>
        <w:adjustRightInd w:val="0"/>
        <w:snapToGrid w:val="0"/>
        <w:spacing w:line="560" w:lineRule="exact"/>
        <w:ind w:left="0" w:leftChars="0" w:right="0" w:firstLine="640" w:firstLineChars="200"/>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部门职能：</w:t>
      </w:r>
      <w:r>
        <w:rPr>
          <w:rFonts w:hint="eastAsia" w:ascii="仿宋_GB2312" w:hAnsi="Times New Roman" w:eastAsia="仿宋_GB2312" w:cs="仿宋_GB2312"/>
          <w:b w:val="0"/>
          <w:bCs/>
          <w:color w:val="000000"/>
          <w:kern w:val="0"/>
          <w:sz w:val="32"/>
          <w:szCs w:val="32"/>
          <w:shd w:val="clear" w:color="auto" w:fill="FFFFFF"/>
          <w:lang w:val="en-US" w:eastAsia="zh-CN" w:bidi="ar"/>
        </w:rPr>
        <w:t>依法审判法律规定由基层人民法院管辖的刑事、民事、行政等第一审案件及上级人民法院指定、同级人民法院移送的刑事、民事、行政等第一审案件；依法办理发生法律效力的民事、行政案件判决和裁定执行事项及刑事案件判决和裁定中关于财产部分的执行事项及其他法律文书的执行事项。协同上级法院及县主管部门管理全院的机构设置、人员编制工作。</w:t>
      </w:r>
    </w:p>
    <w:p w14:paraId="4503E5F8">
      <w:pPr>
        <w:keepNext w:val="0"/>
        <w:keepLines w:val="0"/>
        <w:pageBreakBefore w:val="0"/>
        <w:widowControl w:val="0"/>
        <w:kinsoku/>
        <w:wordWrap/>
        <w:overflowPunct/>
        <w:topLinePunct w:val="0"/>
        <w:autoSpaceDE/>
        <w:bidi w:val="0"/>
        <w:adjustRightInd w:val="0"/>
        <w:snapToGrid w:val="0"/>
        <w:spacing w:line="560" w:lineRule="exact"/>
        <w:ind w:right="0" w:firstLine="640" w:firstLineChars="200"/>
        <w:textAlignment w:val="auto"/>
        <w:outlineLvl w:val="9"/>
        <w:rPr>
          <w:rFonts w:hint="eastAsia" w:ascii="仿宋" w:hAnsi="仿宋" w:eastAsia="仿宋"/>
          <w:sz w:val="32"/>
          <w:szCs w:val="32"/>
          <w:lang w:eastAsia="zh-CN"/>
        </w:rPr>
      </w:pPr>
      <w:r>
        <w:rPr>
          <w:rFonts w:hint="eastAsia" w:ascii="仿宋" w:hAnsi="仿宋" w:eastAsia="仿宋"/>
          <w:sz w:val="32"/>
          <w:szCs w:val="32"/>
          <w:lang w:eastAsia="zh-CN"/>
        </w:rPr>
        <w:t>组织机构及人员：</w:t>
      </w:r>
    </w:p>
    <w:p w14:paraId="1A9720AD">
      <w:pPr>
        <w:keepNext w:val="0"/>
        <w:keepLines w:val="0"/>
        <w:pageBreakBefore w:val="0"/>
        <w:kinsoku/>
        <w:wordWrap/>
        <w:overflowPunct/>
        <w:topLinePunct w:val="0"/>
        <w:autoSpaceDE/>
        <w:bidi w:val="0"/>
        <w:spacing w:line="560" w:lineRule="exact"/>
        <w:ind w:firstLine="480" w:firstLineChars="150"/>
        <w:jc w:val="center"/>
        <w:rPr>
          <w:rFonts w:ascii="仿宋_GB2312"/>
          <w:sz w:val="32"/>
          <w:szCs w:val="32"/>
        </w:rPr>
      </w:pPr>
      <w:r>
        <w:rPr>
          <w:rFonts w:hint="eastAsia" w:ascii="仿宋_GB2312"/>
          <w:sz w:val="32"/>
          <w:szCs w:val="32"/>
        </w:rPr>
        <w:t>部门机构设置情况</w:t>
      </w:r>
    </w:p>
    <w:tbl>
      <w:tblPr>
        <w:tblStyle w:val="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55"/>
        <w:gridCol w:w="1380"/>
        <w:gridCol w:w="1197"/>
        <w:gridCol w:w="3033"/>
      </w:tblGrid>
      <w:tr w14:paraId="10425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AE64E8C">
            <w:pPr>
              <w:keepNext w:val="0"/>
              <w:keepLines w:val="0"/>
              <w:pageBreakBefore w:val="0"/>
              <w:kinsoku/>
              <w:wordWrap/>
              <w:overflowPunct/>
              <w:topLinePunct w:val="0"/>
              <w:autoSpaceDE/>
              <w:autoSpaceDN w:val="0"/>
              <w:bidi w:val="0"/>
              <w:spacing w:line="560" w:lineRule="exact"/>
              <w:ind w:firstLine="480"/>
              <w:textAlignment w:val="center"/>
              <w:rPr>
                <w:rFonts w:ascii="宋体"/>
                <w:sz w:val="24"/>
              </w:rPr>
            </w:pPr>
            <w:r>
              <w:rPr>
                <w:rFonts w:ascii="宋体" w:hAnsi="宋体"/>
                <w:sz w:val="24"/>
              </w:rPr>
              <w:t xml:space="preserve">   </w:t>
            </w:r>
            <w:r>
              <w:rPr>
                <w:rFonts w:hint="eastAsia" w:ascii="宋体" w:hAnsi="宋体"/>
                <w:sz w:val="24"/>
              </w:rPr>
              <w:t>单位名称</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2B47C7E">
            <w:pPr>
              <w:keepNext w:val="0"/>
              <w:keepLines w:val="0"/>
              <w:pageBreakBefore w:val="0"/>
              <w:kinsoku/>
              <w:wordWrap/>
              <w:overflowPunct/>
              <w:topLinePunct w:val="0"/>
              <w:autoSpaceDE/>
              <w:autoSpaceDN w:val="0"/>
              <w:bidi w:val="0"/>
              <w:spacing w:line="560" w:lineRule="exact"/>
              <w:textAlignment w:val="center"/>
              <w:rPr>
                <w:rFonts w:ascii="宋体"/>
                <w:sz w:val="24"/>
              </w:rPr>
            </w:pPr>
            <w:r>
              <w:rPr>
                <w:rFonts w:ascii="宋体" w:hAnsi="宋体"/>
                <w:sz w:val="24"/>
              </w:rPr>
              <w:t xml:space="preserve"> </w:t>
            </w:r>
            <w:r>
              <w:rPr>
                <w:rFonts w:hint="eastAsia" w:ascii="宋体" w:hAnsi="宋体"/>
                <w:sz w:val="24"/>
              </w:rPr>
              <w:t>单位性质</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36AF813C">
            <w:pPr>
              <w:keepNext w:val="0"/>
              <w:keepLines w:val="0"/>
              <w:pageBreakBefore w:val="0"/>
              <w:kinsoku/>
              <w:wordWrap/>
              <w:overflowPunct/>
              <w:topLinePunct w:val="0"/>
              <w:autoSpaceDE/>
              <w:autoSpaceDN w:val="0"/>
              <w:bidi w:val="0"/>
              <w:spacing w:line="560" w:lineRule="exact"/>
              <w:textAlignment w:val="center"/>
              <w:rPr>
                <w:rFonts w:ascii="宋体"/>
                <w:sz w:val="24"/>
              </w:rPr>
            </w:pPr>
            <w:r>
              <w:rPr>
                <w:rFonts w:hint="eastAsia" w:ascii="宋体" w:hAnsi="宋体"/>
                <w:sz w:val="24"/>
              </w:rPr>
              <w:t>单位规格</w:t>
            </w:r>
          </w:p>
        </w:tc>
        <w:tc>
          <w:tcPr>
            <w:tcW w:w="3033" w:type="dxa"/>
            <w:tcBorders>
              <w:top w:val="single" w:color="000000" w:sz="4" w:space="0"/>
              <w:left w:val="single" w:color="000000" w:sz="4" w:space="0"/>
              <w:bottom w:val="single" w:color="000000" w:sz="4" w:space="0"/>
              <w:right w:val="single" w:color="000000" w:sz="4" w:space="0"/>
            </w:tcBorders>
            <w:noWrap w:val="0"/>
            <w:vAlign w:val="center"/>
          </w:tcPr>
          <w:p w14:paraId="0F227B64">
            <w:pPr>
              <w:keepNext w:val="0"/>
              <w:keepLines w:val="0"/>
              <w:pageBreakBefore w:val="0"/>
              <w:kinsoku/>
              <w:wordWrap/>
              <w:overflowPunct/>
              <w:topLinePunct w:val="0"/>
              <w:autoSpaceDE/>
              <w:autoSpaceDN w:val="0"/>
              <w:bidi w:val="0"/>
              <w:spacing w:line="560" w:lineRule="exact"/>
              <w:ind w:firstLine="480"/>
              <w:textAlignment w:val="center"/>
              <w:rPr>
                <w:rFonts w:ascii="宋体"/>
                <w:sz w:val="24"/>
              </w:rPr>
            </w:pPr>
            <w:r>
              <w:rPr>
                <w:rFonts w:hint="eastAsia" w:ascii="宋体" w:hAnsi="宋体"/>
                <w:sz w:val="24"/>
              </w:rPr>
              <w:t>经费保障形式</w:t>
            </w:r>
          </w:p>
        </w:tc>
      </w:tr>
      <w:tr w14:paraId="3C907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2955" w:type="dxa"/>
            <w:tcBorders>
              <w:top w:val="single" w:color="000000" w:sz="4" w:space="0"/>
              <w:left w:val="single" w:color="000000" w:sz="4" w:space="0"/>
              <w:bottom w:val="single" w:color="000000" w:sz="4" w:space="0"/>
              <w:right w:val="single" w:color="000000" w:sz="4" w:space="0"/>
            </w:tcBorders>
            <w:noWrap w:val="0"/>
            <w:vAlign w:val="center"/>
          </w:tcPr>
          <w:p w14:paraId="7A8E0F4B">
            <w:pPr>
              <w:keepNext w:val="0"/>
              <w:keepLines w:val="0"/>
              <w:pageBreakBefore w:val="0"/>
              <w:kinsoku/>
              <w:wordWrap/>
              <w:overflowPunct/>
              <w:topLinePunct w:val="0"/>
              <w:autoSpaceDE/>
              <w:autoSpaceDN w:val="0"/>
              <w:bidi w:val="0"/>
              <w:spacing w:line="560" w:lineRule="exact"/>
              <w:jc w:val="center"/>
              <w:textAlignment w:val="center"/>
              <w:rPr>
                <w:rFonts w:ascii="宋体"/>
                <w:szCs w:val="21"/>
              </w:rPr>
            </w:pPr>
            <w:r>
              <w:rPr>
                <w:rFonts w:hint="eastAsia" w:ascii="宋体" w:hAnsi="宋体"/>
                <w:szCs w:val="21"/>
              </w:rPr>
              <w:t>井陉县人民法院</w:t>
            </w:r>
          </w:p>
        </w:tc>
        <w:tc>
          <w:tcPr>
            <w:tcW w:w="1380" w:type="dxa"/>
            <w:tcBorders>
              <w:top w:val="single" w:color="000000" w:sz="4" w:space="0"/>
              <w:left w:val="single" w:color="000000" w:sz="4" w:space="0"/>
              <w:bottom w:val="single" w:color="000000" w:sz="4" w:space="0"/>
              <w:right w:val="single" w:color="000000" w:sz="4" w:space="0"/>
            </w:tcBorders>
            <w:noWrap w:val="0"/>
            <w:vAlign w:val="center"/>
          </w:tcPr>
          <w:p w14:paraId="6CA2CC78">
            <w:pPr>
              <w:keepNext w:val="0"/>
              <w:keepLines w:val="0"/>
              <w:pageBreakBefore w:val="0"/>
              <w:kinsoku/>
              <w:wordWrap/>
              <w:overflowPunct/>
              <w:topLinePunct w:val="0"/>
              <w:autoSpaceDE/>
              <w:autoSpaceDN w:val="0"/>
              <w:bidi w:val="0"/>
              <w:spacing w:line="560" w:lineRule="exact"/>
              <w:jc w:val="center"/>
              <w:textAlignment w:val="center"/>
              <w:rPr>
                <w:rFonts w:ascii="宋体"/>
                <w:sz w:val="24"/>
              </w:rPr>
            </w:pPr>
            <w:r>
              <w:rPr>
                <w:rFonts w:hint="eastAsia" w:ascii="宋体" w:hAnsi="宋体"/>
                <w:sz w:val="24"/>
              </w:rPr>
              <w:t>行政</w:t>
            </w:r>
          </w:p>
        </w:tc>
        <w:tc>
          <w:tcPr>
            <w:tcW w:w="1197" w:type="dxa"/>
            <w:tcBorders>
              <w:top w:val="single" w:color="000000" w:sz="4" w:space="0"/>
              <w:left w:val="single" w:color="000000" w:sz="4" w:space="0"/>
              <w:bottom w:val="single" w:color="000000" w:sz="4" w:space="0"/>
              <w:right w:val="single" w:color="000000" w:sz="4" w:space="0"/>
            </w:tcBorders>
            <w:noWrap w:val="0"/>
            <w:vAlign w:val="center"/>
          </w:tcPr>
          <w:p w14:paraId="0EC5171E">
            <w:pPr>
              <w:keepNext w:val="0"/>
              <w:keepLines w:val="0"/>
              <w:pageBreakBefore w:val="0"/>
              <w:kinsoku/>
              <w:wordWrap/>
              <w:overflowPunct/>
              <w:topLinePunct w:val="0"/>
              <w:autoSpaceDE/>
              <w:autoSpaceDN w:val="0"/>
              <w:bidi w:val="0"/>
              <w:spacing w:line="560" w:lineRule="exact"/>
              <w:jc w:val="center"/>
              <w:textAlignment w:val="center"/>
              <w:rPr>
                <w:rFonts w:ascii="宋体"/>
                <w:sz w:val="24"/>
              </w:rPr>
            </w:pPr>
            <w:r>
              <w:rPr>
                <w:rFonts w:hint="eastAsia" w:ascii="宋体" w:hAnsi="宋体"/>
                <w:sz w:val="24"/>
              </w:rPr>
              <w:t>副处级</w:t>
            </w:r>
          </w:p>
        </w:tc>
        <w:tc>
          <w:tcPr>
            <w:tcW w:w="3033" w:type="dxa"/>
            <w:tcBorders>
              <w:top w:val="single" w:color="000000" w:sz="4" w:space="0"/>
              <w:left w:val="single" w:color="000000" w:sz="4" w:space="0"/>
              <w:bottom w:val="single" w:color="000000" w:sz="4" w:space="0"/>
              <w:right w:val="single" w:color="000000" w:sz="4" w:space="0"/>
            </w:tcBorders>
            <w:noWrap w:val="0"/>
            <w:vAlign w:val="center"/>
          </w:tcPr>
          <w:p w14:paraId="7F3741E9">
            <w:pPr>
              <w:keepNext w:val="0"/>
              <w:keepLines w:val="0"/>
              <w:pageBreakBefore w:val="0"/>
              <w:kinsoku/>
              <w:wordWrap/>
              <w:overflowPunct/>
              <w:topLinePunct w:val="0"/>
              <w:autoSpaceDE/>
              <w:autoSpaceDN w:val="0"/>
              <w:bidi w:val="0"/>
              <w:spacing w:line="560" w:lineRule="exact"/>
              <w:ind w:firstLine="480"/>
              <w:jc w:val="left"/>
              <w:textAlignment w:val="center"/>
              <w:rPr>
                <w:rFonts w:ascii="宋体"/>
                <w:sz w:val="24"/>
              </w:rPr>
            </w:pPr>
            <w:r>
              <w:rPr>
                <w:rFonts w:hint="eastAsia" w:ascii="宋体" w:hAnsi="宋体"/>
                <w:sz w:val="24"/>
              </w:rPr>
              <w:t>财政拨款</w:t>
            </w:r>
          </w:p>
        </w:tc>
      </w:tr>
    </w:tbl>
    <w:p w14:paraId="4F1B6577">
      <w:pPr>
        <w:keepNext w:val="0"/>
        <w:keepLines w:val="0"/>
        <w:pageBreakBefore w:val="0"/>
        <w:widowControl w:val="0"/>
        <w:kinsoku/>
        <w:wordWrap/>
        <w:overflowPunct/>
        <w:topLinePunct w:val="0"/>
        <w:autoSpaceDE/>
        <w:bidi w:val="0"/>
        <w:adjustRightInd w:val="0"/>
        <w:snapToGrid w:val="0"/>
        <w:spacing w:line="560" w:lineRule="exact"/>
        <w:ind w:left="0" w:leftChars="0" w:right="0" w:firstLine="640" w:firstLineChars="200"/>
        <w:textAlignment w:val="auto"/>
        <w:outlineLvl w:val="9"/>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截至2025年12月31日，我院在职干警67人，退休人员33人，离休1人。</w:t>
      </w:r>
      <w:bookmarkStart w:id="0" w:name="_GoBack"/>
      <w:bookmarkEnd w:id="0"/>
    </w:p>
    <w:p w14:paraId="2CF12E40">
      <w:pPr>
        <w:keepNext w:val="0"/>
        <w:keepLines w:val="0"/>
        <w:pageBreakBefore w:val="0"/>
        <w:widowControl w:val="0"/>
        <w:kinsoku/>
        <w:wordWrap/>
        <w:overflowPunct/>
        <w:topLinePunct w:val="0"/>
        <w:autoSpaceDE/>
        <w:bidi w:val="0"/>
        <w:adjustRightInd w:val="0"/>
        <w:snapToGrid w:val="0"/>
        <w:spacing w:line="560" w:lineRule="exact"/>
        <w:ind w:left="0" w:leftChars="0" w:right="0" w:firstLine="640" w:firstLineChars="200"/>
        <w:textAlignment w:val="auto"/>
        <w:outlineLvl w:val="9"/>
        <w:rPr>
          <w:rFonts w:hint="eastAsia" w:ascii="仿宋_GB2312" w:hAnsi="Times New Roman" w:eastAsia="仿宋_GB2312" w:cs="仿宋_GB2312"/>
          <w:b w:val="0"/>
          <w:bCs/>
          <w:color w:val="000000"/>
          <w:kern w:val="0"/>
          <w:sz w:val="32"/>
          <w:szCs w:val="32"/>
          <w:highlight w:val="yellow"/>
          <w:shd w:val="clear" w:color="auto" w:fill="FFFFFF"/>
          <w:lang w:val="en-US" w:eastAsia="zh-CN" w:bidi="ar"/>
        </w:rPr>
      </w:pPr>
      <w:r>
        <w:rPr>
          <w:rFonts w:hint="eastAsia" w:ascii="仿宋" w:hAnsi="仿宋" w:eastAsia="仿宋"/>
          <w:sz w:val="32"/>
          <w:szCs w:val="32"/>
          <w:lang w:val="en-US" w:eastAsia="zh-CN"/>
        </w:rPr>
        <w:t>国有</w:t>
      </w:r>
      <w:r>
        <w:rPr>
          <w:rFonts w:hint="eastAsia" w:ascii="仿宋" w:hAnsi="仿宋" w:eastAsia="仿宋"/>
          <w:sz w:val="32"/>
          <w:szCs w:val="32"/>
          <w:lang w:eastAsia="zh-CN"/>
        </w:rPr>
        <w:t>资产</w:t>
      </w:r>
      <w:r>
        <w:rPr>
          <w:rFonts w:hint="eastAsia" w:ascii="仿宋" w:hAnsi="仿宋" w:eastAsia="仿宋"/>
          <w:sz w:val="32"/>
          <w:szCs w:val="32"/>
          <w:lang w:val="en-US" w:eastAsia="zh-CN"/>
        </w:rPr>
        <w:t>信息：</w:t>
      </w:r>
      <w:r>
        <w:rPr>
          <w:rFonts w:hint="eastAsia" w:ascii="仿宋" w:hAnsi="仿宋" w:eastAsia="仿宋"/>
          <w:sz w:val="32"/>
          <w:szCs w:val="32"/>
          <w:highlight w:val="none"/>
          <w:lang w:val="en-US" w:eastAsia="zh-CN"/>
        </w:rPr>
        <w:t>截至2025年年底，井陉县人民法院国有资产累计金额48940873.92元，其中土地房屋总计31748704.54元，其他固定资产12894043.38元，无形资产4298126元，单位共有</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车辆11辆，总计金额1835701.77元。</w:t>
      </w:r>
    </w:p>
    <w:p w14:paraId="2409D09D">
      <w:pPr>
        <w:keepNext w:val="0"/>
        <w:keepLines w:val="0"/>
        <w:pageBreakBefore w:val="0"/>
        <w:widowControl w:val="0"/>
        <w:kinsoku/>
        <w:wordWrap/>
        <w:overflowPunct/>
        <w:topLinePunct w:val="0"/>
        <w:autoSpaceDE/>
        <w:bidi w:val="0"/>
        <w:adjustRightInd w:val="0"/>
        <w:snapToGrid w:val="0"/>
        <w:spacing w:line="560" w:lineRule="exact"/>
        <w:ind w:left="0" w:leftChars="0" w:right="0" w:firstLine="643" w:firstLineChars="200"/>
        <w:textAlignment w:val="auto"/>
        <w:outlineLvl w:val="9"/>
        <w:rPr>
          <w:rFonts w:hint="eastAsia" w:ascii="仿宋_GB2312" w:hAnsi="Times New Roman" w:eastAsia="仿宋_GB2312" w:cs="仿宋_GB2312"/>
          <w:b/>
          <w:bCs w:val="0"/>
          <w:color w:val="000000"/>
          <w:kern w:val="0"/>
          <w:sz w:val="32"/>
          <w:szCs w:val="32"/>
          <w:shd w:val="clear" w:color="auto" w:fill="FFFFFF"/>
          <w:lang w:val="en-US" w:eastAsia="zh-CN" w:bidi="ar"/>
        </w:rPr>
      </w:pPr>
      <w:r>
        <w:rPr>
          <w:rFonts w:hint="eastAsia" w:ascii="仿宋_GB2312" w:hAnsi="Times New Roman" w:eastAsia="仿宋_GB2312" w:cs="仿宋_GB2312"/>
          <w:b/>
          <w:bCs w:val="0"/>
          <w:color w:val="000000"/>
          <w:kern w:val="0"/>
          <w:sz w:val="32"/>
          <w:szCs w:val="32"/>
          <w:shd w:val="clear" w:color="auto" w:fill="FFFFFF"/>
          <w:lang w:val="en-US" w:eastAsia="zh-CN" w:bidi="ar"/>
        </w:rPr>
        <w:t>（二）部门收支预决算情况</w:t>
      </w:r>
    </w:p>
    <w:p w14:paraId="7D6856F5">
      <w:pPr>
        <w:keepNext w:val="0"/>
        <w:keepLines w:val="0"/>
        <w:pageBreakBefore w:val="0"/>
        <w:widowControl w:val="0"/>
        <w:kinsoku/>
        <w:wordWrap/>
        <w:overflowPunct/>
        <w:topLinePunct w:val="0"/>
        <w:autoSpaceDE/>
        <w:bidi w:val="0"/>
        <w:adjustRightInd w:val="0"/>
        <w:snapToGrid w:val="0"/>
        <w:spacing w:line="560" w:lineRule="exact"/>
        <w:ind w:right="0" w:firstLine="643" w:firstLineChars="200"/>
        <w:textAlignment w:val="auto"/>
        <w:outlineLvl w:val="9"/>
        <w:rPr>
          <w:rFonts w:hint="eastAsia" w:ascii="仿宋_GB2312" w:hAnsi="Times New Roman" w:eastAsia="仿宋_GB2312" w:cs="仿宋_GB2312"/>
          <w:b/>
          <w:bCs w:val="0"/>
          <w:color w:val="000000"/>
          <w:kern w:val="0"/>
          <w:sz w:val="32"/>
          <w:szCs w:val="32"/>
          <w:shd w:val="clear" w:color="auto" w:fill="FFFFFF"/>
          <w:lang w:val="en-US" w:eastAsia="zh-CN" w:bidi="ar"/>
        </w:rPr>
      </w:pPr>
      <w:r>
        <w:rPr>
          <w:rFonts w:hint="eastAsia" w:ascii="仿宋_GB2312" w:hAnsi="Times New Roman" w:eastAsia="仿宋_GB2312" w:cs="仿宋_GB2312"/>
          <w:b/>
          <w:bCs w:val="0"/>
          <w:color w:val="000000"/>
          <w:kern w:val="0"/>
          <w:sz w:val="32"/>
          <w:szCs w:val="32"/>
          <w:shd w:val="clear" w:color="auto" w:fill="FFFFFF"/>
          <w:lang w:val="en-US" w:eastAsia="zh-CN" w:bidi="ar"/>
        </w:rPr>
        <w:t>1、预算收入、支出情况</w:t>
      </w:r>
    </w:p>
    <w:p w14:paraId="706B9555">
      <w:pPr>
        <w:keepNext w:val="0"/>
        <w:keepLines w:val="0"/>
        <w:pageBreakBefore w:val="0"/>
        <w:widowControl w:val="0"/>
        <w:kinsoku/>
        <w:wordWrap/>
        <w:overflowPunct/>
        <w:topLinePunct w:val="0"/>
        <w:autoSpaceDE/>
        <w:bidi w:val="0"/>
        <w:adjustRightInd w:val="0"/>
        <w:snapToGrid w:val="0"/>
        <w:spacing w:line="560" w:lineRule="exact"/>
        <w:ind w:left="0" w:leftChars="0" w:right="0" w:firstLine="640" w:firstLineChars="200"/>
        <w:textAlignment w:val="auto"/>
        <w:outlineLvl w:val="9"/>
        <w:rPr>
          <w:rFonts w:hint="eastAsia" w:ascii="仿宋_GB2312" w:hAnsi="Times New Roman" w:eastAsia="仿宋_GB2312" w:cs="仿宋_GB2312"/>
          <w:b w:val="0"/>
          <w:bCs/>
          <w:color w:val="000000"/>
          <w:kern w:val="0"/>
          <w:sz w:val="32"/>
          <w:szCs w:val="32"/>
          <w:highlight w:val="none"/>
          <w:shd w:val="clear" w:color="auto" w:fill="FFFFFF"/>
          <w:lang w:val="en-US" w:eastAsia="zh-CN" w:bidi="ar"/>
        </w:rPr>
      </w:pPr>
      <w:r>
        <w:rPr>
          <w:rFonts w:hint="eastAsia" w:ascii="仿宋_GB2312" w:hAnsi="Times New Roman" w:eastAsia="仿宋_GB2312" w:cs="仿宋_GB2312"/>
          <w:b w:val="0"/>
          <w:bCs/>
          <w:color w:val="000000"/>
          <w:kern w:val="0"/>
          <w:sz w:val="32"/>
          <w:szCs w:val="32"/>
          <w:shd w:val="clear" w:color="auto" w:fill="FFFFFF"/>
          <w:lang w:val="en-US" w:eastAsia="zh-CN" w:bidi="ar"/>
        </w:rPr>
        <w:t>2025年度部门预算收入2443.4万元</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，其中：一般公共预算收入2443.4万元 ，基金预算收入 0万元 ，财政专户核拨收入 0 万元 ，其他来源收入 0 万元。</w:t>
      </w:r>
    </w:p>
    <w:p w14:paraId="7820A7D1">
      <w:pPr>
        <w:pStyle w:val="7"/>
        <w:keepNext w:val="0"/>
        <w:keepLines w:val="0"/>
        <w:pageBreakBefore w:val="0"/>
        <w:kinsoku/>
        <w:wordWrap/>
        <w:overflowPunct/>
        <w:topLinePunct w:val="0"/>
        <w:autoSpaceDE/>
        <w:autoSpaceDN/>
        <w:bidi w:val="0"/>
        <w:spacing w:before="0" w:line="240" w:lineRule="auto"/>
        <w:jc w:val="both"/>
        <w:textAlignment w:val="auto"/>
        <w:rPr>
          <w:rFonts w:hint="eastAsia" w:ascii="仿宋_GB2312" w:hAnsi="Times New Roman" w:eastAsia="仿宋_GB2312" w:cs="仿宋_GB2312"/>
          <w:b w:val="0"/>
          <w:bCs/>
          <w:color w:val="000000"/>
          <w:kern w:val="0"/>
          <w:sz w:val="32"/>
          <w:szCs w:val="32"/>
          <w:highlight w:val="none"/>
          <w:shd w:val="clear" w:color="auto" w:fill="FFFFFF"/>
          <w:lang w:val="en-US" w:eastAsia="zh-CN" w:bidi="ar"/>
        </w:rPr>
      </w:pP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202</w:t>
      </w:r>
      <w:r>
        <w:rPr>
          <w:rFonts w:hint="eastAsia" w:ascii="仿宋_GB2312" w:eastAsia="仿宋_GB2312" w:cs="仿宋_GB2312"/>
          <w:b w:val="0"/>
          <w:bCs/>
          <w:color w:val="000000"/>
          <w:kern w:val="0"/>
          <w:sz w:val="32"/>
          <w:szCs w:val="32"/>
          <w:highlight w:val="none"/>
          <w:shd w:val="clear" w:color="auto" w:fill="FFFFFF"/>
          <w:lang w:val="en-US" w:eastAsia="zh-CN" w:bidi="ar"/>
        </w:rPr>
        <w:t>5</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 xml:space="preserve">年支出预算 </w:t>
      </w:r>
      <w:r>
        <w:rPr>
          <w:rFonts w:hint="eastAsia" w:ascii="仿宋_GB2312" w:hAnsi="Times New Roman" w:eastAsia="仿宋_GB2312" w:cs="仿宋_GB2312"/>
          <w:b w:val="0"/>
          <w:bCs/>
          <w:color w:val="000000"/>
          <w:kern w:val="0"/>
          <w:sz w:val="32"/>
          <w:szCs w:val="32"/>
          <w:shd w:val="clear" w:color="auto" w:fill="FFFFFF"/>
          <w:lang w:val="en-US" w:eastAsia="zh-CN" w:bidi="ar"/>
        </w:rPr>
        <w:t>2443.4</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万元 ，其中基本支出</w:t>
      </w:r>
      <w:r>
        <w:rPr>
          <w:rFonts w:hint="eastAsia" w:ascii="仿宋_GB2312" w:hAnsi="Times New Roman" w:eastAsia="仿宋_GB2312" w:cs="仿宋_GB2312"/>
          <w:b w:val="0"/>
          <w:bCs/>
          <w:color w:val="000000"/>
          <w:kern w:val="0"/>
          <w:sz w:val="32"/>
          <w:szCs w:val="32"/>
          <w:shd w:val="clear" w:color="auto" w:fill="FFFFFF"/>
          <w:lang w:val="en-US" w:eastAsia="zh-CN" w:bidi="ar"/>
        </w:rPr>
        <w:t>1475.14</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万元 ，包括人员经费12</w:t>
      </w:r>
      <w:r>
        <w:rPr>
          <w:rFonts w:hint="eastAsia" w:ascii="仿宋_GB2312" w:eastAsia="仿宋_GB2312" w:cs="仿宋_GB2312"/>
          <w:b w:val="0"/>
          <w:bCs/>
          <w:color w:val="000000"/>
          <w:kern w:val="0"/>
          <w:sz w:val="32"/>
          <w:szCs w:val="32"/>
          <w:highlight w:val="none"/>
          <w:shd w:val="clear" w:color="auto" w:fill="FFFFFF"/>
          <w:lang w:val="en-US" w:eastAsia="zh-CN" w:bidi="ar"/>
        </w:rPr>
        <w:t>71.34</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万元和日常公用经费20</w:t>
      </w:r>
      <w:r>
        <w:rPr>
          <w:rFonts w:hint="eastAsia" w:ascii="仿宋_GB2312" w:eastAsia="仿宋_GB2312" w:cs="仿宋_GB2312"/>
          <w:b w:val="0"/>
          <w:bCs/>
          <w:color w:val="000000"/>
          <w:kern w:val="0"/>
          <w:sz w:val="32"/>
          <w:szCs w:val="32"/>
          <w:highlight w:val="none"/>
          <w:shd w:val="clear" w:color="auto" w:fill="FFFFFF"/>
          <w:lang w:val="en-US" w:eastAsia="zh-CN" w:bidi="ar"/>
        </w:rPr>
        <w:t>3.8</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万元；项目支出</w:t>
      </w:r>
      <w:r>
        <w:rPr>
          <w:rFonts w:hint="eastAsia" w:ascii="仿宋_GB2312" w:eastAsia="仿宋_GB2312" w:cs="仿宋_GB2312"/>
          <w:b w:val="0"/>
          <w:bCs/>
          <w:color w:val="000000"/>
          <w:kern w:val="0"/>
          <w:sz w:val="32"/>
          <w:szCs w:val="32"/>
          <w:highlight w:val="none"/>
          <w:shd w:val="clear" w:color="auto" w:fill="FFFFFF"/>
          <w:lang w:val="en-US" w:eastAsia="zh-CN" w:bidi="ar"/>
        </w:rPr>
        <w:t>968.26</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万元 ，主要为办案业务经费、辅助人员经费、设备购置等。</w:t>
      </w:r>
    </w:p>
    <w:p w14:paraId="04C62018">
      <w:pPr>
        <w:pStyle w:val="7"/>
        <w:keepNext w:val="0"/>
        <w:keepLines w:val="0"/>
        <w:pageBreakBefore w:val="0"/>
        <w:kinsoku/>
        <w:wordWrap/>
        <w:overflowPunct/>
        <w:topLinePunct w:val="0"/>
        <w:autoSpaceDE/>
        <w:autoSpaceDN/>
        <w:bidi w:val="0"/>
        <w:spacing w:before="0" w:line="240" w:lineRule="auto"/>
        <w:ind w:left="0" w:leftChars="0" w:firstLine="643" w:firstLineChars="200"/>
        <w:jc w:val="both"/>
        <w:textAlignment w:val="auto"/>
        <w:rPr>
          <w:rFonts w:hint="default" w:ascii="仿宋_GB2312" w:hAnsi="Times New Roman" w:eastAsia="仿宋_GB2312" w:cs="仿宋_GB2312"/>
          <w:b/>
          <w:bCs w:val="0"/>
          <w:color w:val="000000"/>
          <w:kern w:val="0"/>
          <w:sz w:val="32"/>
          <w:szCs w:val="32"/>
          <w:highlight w:val="none"/>
          <w:shd w:val="clear" w:color="auto" w:fill="FFFFFF"/>
          <w:lang w:val="en-US" w:eastAsia="zh-CN" w:bidi="ar"/>
        </w:rPr>
      </w:pPr>
      <w:r>
        <w:rPr>
          <w:rFonts w:hint="eastAsia" w:ascii="仿宋_GB2312" w:hAnsi="Times New Roman" w:eastAsia="仿宋_GB2312" w:cs="仿宋_GB2312"/>
          <w:b/>
          <w:bCs w:val="0"/>
          <w:color w:val="000000"/>
          <w:kern w:val="0"/>
          <w:sz w:val="32"/>
          <w:szCs w:val="32"/>
          <w:highlight w:val="none"/>
          <w:shd w:val="clear" w:color="auto" w:fill="FFFFFF"/>
          <w:lang w:val="en-US" w:eastAsia="zh-CN" w:bidi="ar"/>
        </w:rPr>
        <w:t>2、决算收入、支出情况</w:t>
      </w:r>
    </w:p>
    <w:p w14:paraId="247C3AB9">
      <w:pPr>
        <w:pStyle w:val="7"/>
        <w:keepNext w:val="0"/>
        <w:keepLines w:val="0"/>
        <w:pageBreakBefore w:val="0"/>
        <w:kinsoku/>
        <w:wordWrap/>
        <w:overflowPunct/>
        <w:topLinePunct w:val="0"/>
        <w:autoSpaceDE/>
        <w:autoSpaceDN/>
        <w:bidi w:val="0"/>
        <w:spacing w:before="0" w:line="240" w:lineRule="auto"/>
        <w:jc w:val="both"/>
        <w:textAlignment w:val="auto"/>
        <w:rPr>
          <w:rFonts w:hint="eastAsia" w:ascii="仿宋_GB2312" w:hAnsi="Times New Roman" w:eastAsia="仿宋_GB2312" w:cs="仿宋_GB2312"/>
          <w:b w:val="0"/>
          <w:bCs/>
          <w:color w:val="000000"/>
          <w:kern w:val="0"/>
          <w:sz w:val="32"/>
          <w:szCs w:val="32"/>
          <w:highlight w:val="none"/>
          <w:shd w:val="clear" w:color="auto" w:fill="FFFFFF"/>
          <w:lang w:val="en-US" w:eastAsia="zh-CN" w:bidi="ar"/>
        </w:rPr>
      </w:pP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202</w:t>
      </w:r>
      <w:r>
        <w:rPr>
          <w:rFonts w:hint="eastAsia" w:ascii="仿宋_GB2312" w:eastAsia="仿宋_GB2312" w:cs="仿宋_GB2312"/>
          <w:b w:val="0"/>
          <w:bCs/>
          <w:color w:val="000000"/>
          <w:kern w:val="0"/>
          <w:sz w:val="32"/>
          <w:szCs w:val="32"/>
          <w:highlight w:val="none"/>
          <w:shd w:val="clear" w:color="auto" w:fill="FFFFFF"/>
          <w:lang w:val="en-US" w:eastAsia="zh-CN" w:bidi="ar"/>
        </w:rPr>
        <w:t>5</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年决算收入</w:t>
      </w:r>
      <w:r>
        <w:rPr>
          <w:rFonts w:hint="eastAsia" w:ascii="仿宋_GB2312" w:eastAsia="仿宋_GB2312" w:cs="仿宋_GB2312"/>
          <w:b w:val="0"/>
          <w:bCs/>
          <w:color w:val="000000"/>
          <w:kern w:val="0"/>
          <w:sz w:val="32"/>
          <w:szCs w:val="32"/>
          <w:highlight w:val="none"/>
          <w:shd w:val="clear" w:color="auto" w:fill="FFFFFF"/>
          <w:lang w:val="en-US" w:eastAsia="zh-CN" w:bidi="ar"/>
        </w:rPr>
        <w:t>2378.18</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万元，本年支出2</w:t>
      </w:r>
      <w:r>
        <w:rPr>
          <w:rFonts w:hint="eastAsia" w:ascii="仿宋_GB2312" w:eastAsia="仿宋_GB2312" w:cs="仿宋_GB2312"/>
          <w:b w:val="0"/>
          <w:bCs/>
          <w:color w:val="000000"/>
          <w:kern w:val="0"/>
          <w:sz w:val="32"/>
          <w:szCs w:val="32"/>
          <w:highlight w:val="none"/>
          <w:shd w:val="clear" w:color="auto" w:fill="FFFFFF"/>
          <w:lang w:val="en-US" w:eastAsia="zh-CN" w:bidi="ar"/>
        </w:rPr>
        <w:t>378.18</w:t>
      </w: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万元，年末结转和结余0万元。</w:t>
      </w:r>
    </w:p>
    <w:p w14:paraId="1D1EDCF4">
      <w:pPr>
        <w:pStyle w:val="7"/>
        <w:keepNext w:val="0"/>
        <w:keepLines w:val="0"/>
        <w:pageBreakBefore w:val="0"/>
        <w:kinsoku/>
        <w:wordWrap/>
        <w:overflowPunct/>
        <w:topLinePunct w:val="0"/>
        <w:autoSpaceDE/>
        <w:autoSpaceDN/>
        <w:bidi w:val="0"/>
        <w:spacing w:before="0" w:line="240" w:lineRule="auto"/>
        <w:jc w:val="both"/>
        <w:textAlignment w:val="auto"/>
        <w:rPr>
          <w:rFonts w:hint="eastAsia" w:ascii="仿宋_GB2312" w:hAnsi="Times New Roman" w:eastAsia="仿宋_GB2312" w:cs="仿宋_GB2312"/>
          <w:b/>
          <w:bCs w:val="0"/>
          <w:color w:val="000000"/>
          <w:kern w:val="0"/>
          <w:sz w:val="32"/>
          <w:szCs w:val="32"/>
          <w:highlight w:val="none"/>
          <w:shd w:val="clear" w:color="auto" w:fill="FFFFFF"/>
          <w:lang w:val="en-US" w:eastAsia="zh-CN" w:bidi="ar"/>
        </w:rPr>
      </w:pPr>
      <w:r>
        <w:rPr>
          <w:rFonts w:hint="eastAsia" w:ascii="仿宋_GB2312" w:hAnsi="Times New Roman" w:eastAsia="仿宋_GB2312" w:cs="仿宋_GB2312"/>
          <w:b/>
          <w:bCs w:val="0"/>
          <w:color w:val="000000"/>
          <w:kern w:val="0"/>
          <w:sz w:val="32"/>
          <w:szCs w:val="32"/>
          <w:highlight w:val="none"/>
          <w:shd w:val="clear" w:color="auto" w:fill="FFFFFF"/>
          <w:lang w:val="en-US" w:eastAsia="zh-CN" w:bidi="ar"/>
        </w:rPr>
        <w:t>（三）部门整体支出绩效目标、指标</w:t>
      </w:r>
    </w:p>
    <w:p w14:paraId="2CDA80BB">
      <w:pPr>
        <w:pStyle w:val="7"/>
        <w:keepNext w:val="0"/>
        <w:keepLines w:val="0"/>
        <w:pageBreakBefore w:val="0"/>
        <w:kinsoku/>
        <w:wordWrap/>
        <w:overflowPunct/>
        <w:topLinePunct w:val="0"/>
        <w:autoSpaceDE/>
        <w:autoSpaceDN/>
        <w:bidi w:val="0"/>
        <w:spacing w:before="0" w:line="240" w:lineRule="auto"/>
        <w:jc w:val="both"/>
        <w:textAlignment w:val="auto"/>
        <w:rPr>
          <w:rFonts w:hint="eastAsia" w:ascii="仿宋_GB2312" w:hAnsi="Times New Roman" w:eastAsia="仿宋_GB2312" w:cs="仿宋_GB2312"/>
          <w:b/>
          <w:bCs w:val="0"/>
          <w:color w:val="000000"/>
          <w:kern w:val="0"/>
          <w:sz w:val="32"/>
          <w:szCs w:val="32"/>
          <w:highlight w:val="none"/>
          <w:shd w:val="clear" w:color="auto" w:fill="FFFFFF"/>
          <w:lang w:val="en-US" w:eastAsia="zh-CN" w:bidi="ar"/>
        </w:rPr>
      </w:pPr>
      <w:r>
        <w:rPr>
          <w:rFonts w:hint="eastAsia" w:ascii="仿宋_GB2312" w:hAnsi="Times New Roman" w:eastAsia="仿宋_GB2312" w:cs="仿宋_GB2312"/>
          <w:b/>
          <w:bCs w:val="0"/>
          <w:color w:val="000000"/>
          <w:kern w:val="0"/>
          <w:sz w:val="32"/>
          <w:szCs w:val="32"/>
          <w:highlight w:val="none"/>
          <w:shd w:val="clear" w:color="auto" w:fill="FFFFFF"/>
          <w:lang w:val="en-US" w:eastAsia="zh-CN" w:bidi="ar"/>
        </w:rPr>
        <w:t>1、总体绩效目标</w:t>
      </w:r>
    </w:p>
    <w:p w14:paraId="670A8870">
      <w:pPr>
        <w:pStyle w:val="7"/>
        <w:keepNext w:val="0"/>
        <w:keepLines w:val="0"/>
        <w:pageBreakBefore w:val="0"/>
        <w:kinsoku/>
        <w:wordWrap/>
        <w:overflowPunct/>
        <w:topLinePunct w:val="0"/>
        <w:autoSpaceDE/>
        <w:autoSpaceDN/>
        <w:bidi w:val="0"/>
        <w:spacing w:before="0" w:line="240" w:lineRule="auto"/>
        <w:jc w:val="both"/>
        <w:textAlignment w:val="auto"/>
        <w:rPr>
          <w:rFonts w:hint="eastAsia" w:ascii="仿宋_GB2312" w:hAnsi="Times New Roman" w:eastAsia="仿宋_GB2312" w:cs="仿宋_GB2312"/>
          <w:b w:val="0"/>
          <w:bCs/>
          <w:color w:val="000000"/>
          <w:kern w:val="0"/>
          <w:sz w:val="32"/>
          <w:szCs w:val="32"/>
          <w:highlight w:val="none"/>
          <w:shd w:val="clear" w:color="auto" w:fill="FFFFFF"/>
          <w:lang w:val="en-US" w:eastAsia="zh-CN" w:bidi="ar"/>
        </w:rPr>
      </w:pPr>
      <w:r>
        <w:rPr>
          <w:rFonts w:hint="eastAsia" w:ascii="仿宋_GB2312" w:hAnsi="Times New Roman" w:eastAsia="仿宋_GB2312" w:cs="仿宋_GB2312"/>
          <w:b w:val="0"/>
          <w:bCs/>
          <w:color w:val="000000"/>
          <w:kern w:val="0"/>
          <w:sz w:val="32"/>
          <w:szCs w:val="32"/>
          <w:highlight w:val="none"/>
          <w:shd w:val="clear" w:color="auto" w:fill="FFFFFF"/>
          <w:lang w:val="en-US" w:eastAsia="zh-CN" w:bidi="ar"/>
        </w:rPr>
        <w:t>始终围绕“执法办案”这个工作中心，狠抓办案质效，真正让人民群众在每一个司法案件中感受到公平正义。一是加强审判流程标准化建设，明确各流程节点职责要求，确保审判管理制度在各环节有效落实。推行绩效评估软件的适用，建立起以审判流程管理系统为支撑、法院案件质量评价体系为标尺的执法办案工作考评体系，全院法定期限结案率保持在90%以上，审判管理成效稳步提高。二是打造智慧法院。不断升级办公内网、外部专网等网系功能。深化网上办案、办公以及司法大数据应用，开通网上立案、缴费、送达、质证、庭审等功能。部署电子卷宗随案同步生成、审判智能化、执行智能化等多个系统，有力推进审执能力现代化建设。三是严格落实“由审理者裁判，让裁判者负责”，进一步细化法官权力和责任清单，完善案件质量评查、办案责任倒查等制度，构建起全方位的办案监管体系。充分发挥专业法官会议效能，保证管理监督的正当化、透明化。建立超审限案件的预警管理机制，做好案件评查和长期未结、久押不决案件的清理工作，提升审判质效。</w:t>
      </w:r>
    </w:p>
    <w:p w14:paraId="3257C6F4">
      <w:pPr>
        <w:keepNext w:val="0"/>
        <w:keepLines w:val="0"/>
        <w:pageBreakBefore w:val="0"/>
        <w:widowControl w:val="0"/>
        <w:kinsoku/>
        <w:wordWrap/>
        <w:overflowPunct/>
        <w:topLinePunct w:val="0"/>
        <w:autoSpaceDE/>
        <w:bidi w:val="0"/>
        <w:adjustRightInd w:val="0"/>
        <w:snapToGrid w:val="0"/>
        <w:spacing w:line="560" w:lineRule="exact"/>
        <w:ind w:left="0" w:leftChars="0" w:right="0" w:firstLine="643" w:firstLineChars="200"/>
        <w:textAlignment w:val="auto"/>
        <w:outlineLvl w:val="9"/>
        <w:rPr>
          <w:rFonts w:hint="eastAsia" w:ascii="仿宋" w:hAnsi="仿宋" w:eastAsia="仿宋" w:cs="楷体_GB2312"/>
          <w:b/>
          <w:bCs/>
          <w:sz w:val="32"/>
          <w:szCs w:val="32"/>
          <w:lang w:eastAsia="zh-CN"/>
        </w:rPr>
      </w:pPr>
      <w:r>
        <w:rPr>
          <w:rFonts w:hint="eastAsia" w:ascii="仿宋" w:hAnsi="仿宋" w:eastAsia="仿宋" w:cs="楷体_GB2312"/>
          <w:b/>
          <w:bCs/>
          <w:sz w:val="32"/>
          <w:szCs w:val="32"/>
          <w:lang w:val="en-US" w:eastAsia="zh-CN"/>
        </w:rPr>
        <w:t>2、</w:t>
      </w:r>
      <w:r>
        <w:rPr>
          <w:rFonts w:hint="eastAsia" w:ascii="仿宋" w:hAnsi="仿宋" w:eastAsia="仿宋" w:cs="楷体_GB2312"/>
          <w:b/>
          <w:bCs/>
          <w:sz w:val="32"/>
          <w:szCs w:val="32"/>
          <w:lang w:eastAsia="zh-CN"/>
        </w:rPr>
        <w:t>分项绩效目标</w:t>
      </w:r>
    </w:p>
    <w:p w14:paraId="5D481FFC">
      <w:pPr>
        <w:widowControl/>
        <w:shd w:val="clear" w:color="auto" w:fill="FFFFFF"/>
        <w:spacing w:line="600" w:lineRule="atLeast"/>
        <w:ind w:firstLine="640" w:firstLineChars="200"/>
        <w:rPr>
          <w:rFonts w:hint="eastAsia" w:ascii="仿宋_GB2312" w:hAnsi="Times New Roman" w:eastAsia="仿宋_GB2312" w:cs="仿宋_GB2312"/>
          <w:b w:val="0"/>
          <w:bCs/>
          <w:color w:val="000000"/>
          <w:kern w:val="0"/>
          <w:sz w:val="32"/>
          <w:szCs w:val="32"/>
          <w:shd w:val="clear" w:color="auto" w:fill="FFFFFF"/>
          <w:lang w:val="en-US" w:eastAsia="zh-CN" w:bidi="ar"/>
        </w:rPr>
      </w:pPr>
      <w:r>
        <w:rPr>
          <w:rFonts w:hint="eastAsia" w:ascii="仿宋_GB2312" w:hAnsi="Times New Roman" w:eastAsia="仿宋_GB2312" w:cs="仿宋_GB2312"/>
          <w:b w:val="0"/>
          <w:bCs/>
          <w:color w:val="000000"/>
          <w:kern w:val="0"/>
          <w:sz w:val="32"/>
          <w:szCs w:val="32"/>
          <w:shd w:val="clear" w:color="auto" w:fill="FFFFFF"/>
          <w:lang w:val="en-US" w:eastAsia="zh-CN" w:bidi="ar"/>
        </w:rPr>
        <w:t>1、突出审判管理创新。</w:t>
      </w:r>
    </w:p>
    <w:p w14:paraId="1A6CC8A7">
      <w:pPr>
        <w:widowControl/>
        <w:shd w:val="clear" w:color="auto" w:fill="FFFFFF"/>
        <w:spacing w:line="600" w:lineRule="atLeast"/>
        <w:ind w:firstLine="640" w:firstLineChars="200"/>
        <w:rPr>
          <w:rFonts w:hint="eastAsia" w:ascii="仿宋_GB2312" w:hAnsi="Times New Roman" w:eastAsia="仿宋_GB2312" w:cs="仿宋_GB2312"/>
          <w:b w:val="0"/>
          <w:bCs/>
          <w:color w:val="000000"/>
          <w:kern w:val="0"/>
          <w:sz w:val="32"/>
          <w:szCs w:val="32"/>
          <w:shd w:val="clear" w:color="auto" w:fill="FFFFFF"/>
          <w:lang w:val="en-US" w:eastAsia="zh-CN" w:bidi="ar"/>
        </w:rPr>
      </w:pPr>
      <w:r>
        <w:rPr>
          <w:rFonts w:hint="eastAsia" w:ascii="仿宋_GB2312" w:hAnsi="Times New Roman" w:eastAsia="仿宋_GB2312" w:cs="仿宋_GB2312"/>
          <w:b w:val="0"/>
          <w:bCs/>
          <w:color w:val="000000"/>
          <w:kern w:val="0"/>
          <w:sz w:val="32"/>
          <w:szCs w:val="32"/>
          <w:shd w:val="clear" w:color="auto" w:fill="FFFFFF"/>
          <w:lang w:val="en-US" w:eastAsia="zh-CN" w:bidi="ar"/>
        </w:rPr>
        <w:t>绩效目标：全院法定期限结案率保持在90%以上，审判管理成效稳步提高。</w:t>
      </w:r>
    </w:p>
    <w:p w14:paraId="39A9C2E1">
      <w:pPr>
        <w:widowControl/>
        <w:shd w:val="clear" w:color="auto" w:fill="FFFFFF"/>
        <w:spacing w:line="600" w:lineRule="atLeast"/>
        <w:ind w:firstLine="640" w:firstLineChars="200"/>
        <w:rPr>
          <w:rFonts w:hint="eastAsia" w:ascii="仿宋_GB2312" w:hAnsi="Times New Roman" w:eastAsia="仿宋_GB2312" w:cs="仿宋_GB2312"/>
          <w:b w:val="0"/>
          <w:bCs/>
          <w:color w:val="000000"/>
          <w:kern w:val="0"/>
          <w:sz w:val="32"/>
          <w:szCs w:val="32"/>
          <w:shd w:val="clear" w:color="auto" w:fill="FFFFFF"/>
          <w:lang w:val="en-US" w:eastAsia="zh-CN" w:bidi="ar"/>
        </w:rPr>
      </w:pPr>
      <w:r>
        <w:rPr>
          <w:rFonts w:hint="eastAsia" w:ascii="仿宋_GB2312" w:hAnsi="Times New Roman" w:eastAsia="仿宋_GB2312" w:cs="仿宋_GB2312"/>
          <w:b w:val="0"/>
          <w:bCs/>
          <w:color w:val="000000"/>
          <w:kern w:val="0"/>
          <w:sz w:val="32"/>
          <w:szCs w:val="32"/>
          <w:shd w:val="clear" w:color="auto" w:fill="FFFFFF"/>
          <w:lang w:val="en-US" w:eastAsia="zh-CN" w:bidi="ar"/>
        </w:rPr>
        <w:t>绩效指标：加强审判流程标准化建设，明确各流程节点职责要求，确保审判管理制度在各环节有效落实。</w:t>
      </w:r>
    </w:p>
    <w:p w14:paraId="115365E2">
      <w:pPr>
        <w:widowControl/>
        <w:shd w:val="clear" w:color="auto" w:fill="FFFFFF"/>
        <w:spacing w:line="600" w:lineRule="atLeast"/>
        <w:ind w:firstLine="640" w:firstLineChars="200"/>
        <w:rPr>
          <w:rFonts w:hint="eastAsia" w:ascii="仿宋_GB2312" w:hAnsi="Times New Roman" w:eastAsia="仿宋_GB2312" w:cs="仿宋_GB2312"/>
          <w:b w:val="0"/>
          <w:bCs/>
          <w:color w:val="000000"/>
          <w:kern w:val="0"/>
          <w:sz w:val="32"/>
          <w:szCs w:val="32"/>
          <w:shd w:val="clear" w:color="auto" w:fill="FFFFFF"/>
          <w:lang w:val="en-US" w:eastAsia="zh-CN" w:bidi="ar"/>
        </w:rPr>
      </w:pPr>
      <w:r>
        <w:rPr>
          <w:rFonts w:hint="eastAsia" w:ascii="仿宋_GB2312" w:hAnsi="Times New Roman" w:eastAsia="仿宋_GB2312" w:cs="仿宋_GB2312"/>
          <w:b w:val="0"/>
          <w:bCs/>
          <w:color w:val="000000"/>
          <w:kern w:val="0"/>
          <w:sz w:val="32"/>
          <w:szCs w:val="32"/>
          <w:shd w:val="clear" w:color="auto" w:fill="FFFFFF"/>
          <w:lang w:val="en-US" w:eastAsia="zh-CN" w:bidi="ar"/>
        </w:rPr>
        <w:t>2、着力打造智慧法院。</w:t>
      </w:r>
    </w:p>
    <w:p w14:paraId="2866E52A">
      <w:pPr>
        <w:widowControl/>
        <w:shd w:val="clear" w:color="auto" w:fill="FFFFFF"/>
        <w:spacing w:line="600" w:lineRule="atLeast"/>
        <w:ind w:firstLine="640" w:firstLineChars="200"/>
        <w:rPr>
          <w:rFonts w:hint="eastAsia" w:ascii="仿宋_GB2312" w:hAnsi="Times New Roman" w:eastAsia="仿宋_GB2312" w:cs="仿宋_GB2312"/>
          <w:b w:val="0"/>
          <w:bCs/>
          <w:color w:val="000000"/>
          <w:kern w:val="0"/>
          <w:sz w:val="32"/>
          <w:szCs w:val="32"/>
          <w:shd w:val="clear" w:color="auto" w:fill="FFFFFF"/>
          <w:lang w:val="en-US" w:eastAsia="zh-CN" w:bidi="ar"/>
        </w:rPr>
      </w:pPr>
      <w:r>
        <w:rPr>
          <w:rFonts w:hint="eastAsia" w:ascii="仿宋_GB2312" w:hAnsi="Times New Roman" w:eastAsia="仿宋_GB2312" w:cs="仿宋_GB2312"/>
          <w:b w:val="0"/>
          <w:bCs/>
          <w:color w:val="000000"/>
          <w:kern w:val="0"/>
          <w:sz w:val="32"/>
          <w:szCs w:val="32"/>
          <w:shd w:val="clear" w:color="auto" w:fill="FFFFFF"/>
          <w:lang w:val="en-US" w:eastAsia="zh-CN" w:bidi="ar"/>
        </w:rPr>
        <w:t>绩效目标：提高网上办案能力，推进审执能力现代化建设。</w:t>
      </w:r>
    </w:p>
    <w:p w14:paraId="5F25EFBF">
      <w:pPr>
        <w:widowControl/>
        <w:shd w:val="clear" w:color="auto" w:fill="FFFFFF"/>
        <w:spacing w:line="600" w:lineRule="atLeast"/>
        <w:ind w:firstLine="640" w:firstLineChars="200"/>
        <w:rPr>
          <w:rFonts w:hint="eastAsia" w:ascii="仿宋_GB2312" w:hAnsi="Times New Roman" w:eastAsia="仿宋_GB2312" w:cs="仿宋_GB2312"/>
          <w:b w:val="0"/>
          <w:bCs/>
          <w:color w:val="000000"/>
          <w:kern w:val="0"/>
          <w:sz w:val="32"/>
          <w:szCs w:val="32"/>
          <w:shd w:val="clear" w:color="auto" w:fill="FFFFFF"/>
          <w:lang w:val="en-US" w:eastAsia="zh-CN" w:bidi="ar"/>
        </w:rPr>
      </w:pPr>
      <w:r>
        <w:rPr>
          <w:rFonts w:hint="eastAsia" w:ascii="仿宋_GB2312" w:hAnsi="Times New Roman" w:eastAsia="仿宋_GB2312" w:cs="仿宋_GB2312"/>
          <w:b w:val="0"/>
          <w:bCs/>
          <w:color w:val="000000"/>
          <w:kern w:val="0"/>
          <w:sz w:val="32"/>
          <w:szCs w:val="32"/>
          <w:shd w:val="clear" w:color="auto" w:fill="FFFFFF"/>
          <w:lang w:val="en-US" w:eastAsia="zh-CN" w:bidi="ar"/>
        </w:rPr>
        <w:t>绩效指标：不断升级办公内网、外部专网等网系功能，深化网上办案、办公以及司法大数据应用。</w:t>
      </w:r>
    </w:p>
    <w:p w14:paraId="38351C24">
      <w:pPr>
        <w:widowControl/>
        <w:shd w:val="clear" w:color="auto" w:fill="FFFFFF"/>
        <w:spacing w:line="600" w:lineRule="atLeast"/>
        <w:ind w:firstLine="640" w:firstLineChars="200"/>
        <w:rPr>
          <w:rFonts w:hint="eastAsia" w:ascii="仿宋_GB2312" w:hAnsi="Times New Roman" w:eastAsia="仿宋_GB2312" w:cs="仿宋_GB2312"/>
          <w:b w:val="0"/>
          <w:bCs/>
          <w:color w:val="000000"/>
          <w:kern w:val="0"/>
          <w:sz w:val="32"/>
          <w:szCs w:val="32"/>
          <w:shd w:val="clear" w:color="auto" w:fill="FFFFFF"/>
          <w:lang w:val="en-US" w:eastAsia="zh-CN" w:bidi="ar"/>
        </w:rPr>
      </w:pPr>
      <w:r>
        <w:rPr>
          <w:rFonts w:hint="eastAsia" w:ascii="仿宋_GB2312" w:hAnsi="Times New Roman" w:eastAsia="仿宋_GB2312" w:cs="仿宋_GB2312"/>
          <w:b w:val="0"/>
          <w:bCs/>
          <w:color w:val="000000"/>
          <w:kern w:val="0"/>
          <w:sz w:val="32"/>
          <w:szCs w:val="32"/>
          <w:shd w:val="clear" w:color="auto" w:fill="FFFFFF"/>
          <w:lang w:val="en-US" w:eastAsia="zh-CN" w:bidi="ar"/>
        </w:rPr>
        <w:t>3、健全监督制约机制。</w:t>
      </w:r>
    </w:p>
    <w:p w14:paraId="572F6045">
      <w:pPr>
        <w:widowControl/>
        <w:shd w:val="clear" w:color="auto" w:fill="FFFFFF"/>
        <w:spacing w:line="600" w:lineRule="atLeast"/>
        <w:ind w:firstLine="640" w:firstLineChars="200"/>
        <w:rPr>
          <w:rFonts w:hint="eastAsia" w:ascii="仿宋_GB2312" w:hAnsi="Times New Roman" w:eastAsia="仿宋_GB2312" w:cs="仿宋_GB2312"/>
          <w:b w:val="0"/>
          <w:bCs/>
          <w:color w:val="000000"/>
          <w:kern w:val="0"/>
          <w:sz w:val="32"/>
          <w:szCs w:val="32"/>
          <w:shd w:val="clear" w:color="auto" w:fill="FFFFFF"/>
          <w:lang w:val="en-US" w:eastAsia="zh-CN" w:bidi="ar"/>
        </w:rPr>
      </w:pPr>
      <w:r>
        <w:rPr>
          <w:rFonts w:hint="eastAsia" w:ascii="仿宋_GB2312" w:hAnsi="Times New Roman" w:eastAsia="仿宋_GB2312" w:cs="仿宋_GB2312"/>
          <w:b w:val="0"/>
          <w:bCs/>
          <w:color w:val="000000"/>
          <w:kern w:val="0"/>
          <w:sz w:val="32"/>
          <w:szCs w:val="32"/>
          <w:shd w:val="clear" w:color="auto" w:fill="FFFFFF"/>
          <w:lang w:val="en-US" w:eastAsia="zh-CN" w:bidi="ar"/>
        </w:rPr>
        <w:t>绩效目标：落实“由审理者裁判，让裁判者负责”，进一步细化法官权力和责任清单，完善案件质量评查、办案责任倒查等制度，构建起全方位的办案监管体系。</w:t>
      </w:r>
    </w:p>
    <w:p w14:paraId="12970FBF">
      <w:pPr>
        <w:widowControl/>
        <w:shd w:val="clear" w:color="auto" w:fill="FFFFFF"/>
        <w:spacing w:line="600" w:lineRule="atLeast"/>
        <w:ind w:firstLine="640" w:firstLineChars="200"/>
        <w:rPr>
          <w:rFonts w:hint="eastAsia" w:ascii="仿宋_GB2312" w:hAnsi="Times New Roman" w:eastAsia="仿宋_GB2312" w:cs="仿宋_GB2312"/>
          <w:b w:val="0"/>
          <w:bCs/>
          <w:color w:val="000000"/>
          <w:kern w:val="0"/>
          <w:sz w:val="32"/>
          <w:szCs w:val="32"/>
          <w:shd w:val="clear" w:color="auto" w:fill="FFFFFF"/>
          <w:lang w:val="en-US" w:eastAsia="zh-CN" w:bidi="ar"/>
        </w:rPr>
      </w:pPr>
      <w:r>
        <w:rPr>
          <w:rFonts w:hint="eastAsia" w:ascii="仿宋_GB2312" w:hAnsi="Times New Roman" w:eastAsia="仿宋_GB2312" w:cs="仿宋_GB2312"/>
          <w:b w:val="0"/>
          <w:bCs/>
          <w:color w:val="000000"/>
          <w:kern w:val="0"/>
          <w:sz w:val="32"/>
          <w:szCs w:val="32"/>
          <w:shd w:val="clear" w:color="auto" w:fill="FFFFFF"/>
          <w:lang w:val="en-US" w:eastAsia="zh-CN" w:bidi="ar"/>
        </w:rPr>
        <w:t>绩效指标：保证管理监督的正当化、透明化，做好案件评查和长期未结、久押不决案件的清理工作，提升审判质效。</w:t>
      </w:r>
    </w:p>
    <w:p w14:paraId="2F4A2F6A">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75A4F82B">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55E70D28">
      <w:pPr>
        <w:keepNext w:val="0"/>
        <w:keepLines w:val="0"/>
        <w:pageBreakBefore w:val="0"/>
        <w:kinsoku/>
        <w:wordWrap/>
        <w:overflowPunct/>
        <w:topLinePunct w:val="0"/>
        <w:autoSpaceDE/>
        <w:bidi w:val="0"/>
        <w:spacing w:after="0" w:line="560" w:lineRule="exact"/>
        <w:ind w:firstLine="640" w:firstLineChars="200"/>
        <w:jc w:val="both"/>
        <w:textAlignment w:val="baseline"/>
        <w:rPr>
          <w:rFonts w:ascii="仿宋_GB2312" w:eastAsia="仿宋_GB2312" w:cs="DengXian-Regular"/>
          <w:sz w:val="32"/>
          <w:szCs w:val="32"/>
        </w:rPr>
      </w:pPr>
      <w:r>
        <w:rPr>
          <w:rFonts w:hint="eastAsia" w:ascii="仿宋_GB2312" w:eastAsia="仿宋_GB2312" w:cs="DengXian-Regular"/>
          <w:sz w:val="32"/>
          <w:szCs w:val="32"/>
        </w:rPr>
        <w:t>根据绩效评价</w:t>
      </w:r>
      <w:r>
        <w:rPr>
          <w:rFonts w:hint="eastAsia" w:ascii="仿宋_GB2312" w:eastAsia="仿宋_GB2312" w:cs="DengXian-Regular"/>
          <w:sz w:val="32"/>
          <w:szCs w:val="32"/>
          <w:lang w:val="en-US" w:eastAsia="zh-CN"/>
        </w:rPr>
        <w:t>计划</w:t>
      </w:r>
      <w:r>
        <w:rPr>
          <w:rFonts w:hint="eastAsia" w:ascii="仿宋_GB2312" w:eastAsia="仿宋_GB2312" w:cs="DengXian-Regular"/>
          <w:sz w:val="32"/>
          <w:szCs w:val="32"/>
        </w:rPr>
        <w:t>和指标体系，对</w:t>
      </w:r>
      <w:r>
        <w:rPr>
          <w:rFonts w:hint="eastAsia" w:ascii="仿宋_GB2312" w:eastAsia="仿宋_GB2312" w:cs="DengXian-Regular"/>
          <w:sz w:val="32"/>
          <w:szCs w:val="32"/>
          <w:lang w:val="en-US" w:eastAsia="zh-CN"/>
        </w:rPr>
        <w:t>我院预算项目</w:t>
      </w:r>
      <w:r>
        <w:rPr>
          <w:rFonts w:hint="eastAsia" w:ascii="仿宋_GB2312" w:eastAsia="仿宋_GB2312" w:cs="DengXian-Regular"/>
          <w:sz w:val="32"/>
          <w:szCs w:val="32"/>
        </w:rPr>
        <w:t>开展评价工作，包括查看预决算报表及单位工作活动绩效目标和指标；比对预决算的调整及执行情况</w:t>
      </w:r>
      <w:r>
        <w:rPr>
          <w:rFonts w:hint="eastAsia" w:ascii="仿宋_GB2312" w:eastAsia="仿宋_GB2312" w:cs="DengXian-Regular"/>
          <w:sz w:val="32"/>
          <w:szCs w:val="32"/>
          <w:lang w:eastAsia="zh-CN"/>
        </w:rPr>
        <w:t>，</w:t>
      </w:r>
      <w:r>
        <w:rPr>
          <w:rFonts w:hint="eastAsia" w:ascii="仿宋_GB2312" w:eastAsia="仿宋_GB2312" w:cs="DengXian-Regular"/>
          <w:sz w:val="32"/>
          <w:szCs w:val="32"/>
        </w:rPr>
        <w:t>根据收集的数据、资料进行核对、比较、计算，对单位整体支出进行评分。</w:t>
      </w:r>
    </w:p>
    <w:p w14:paraId="43626C88">
      <w:pPr>
        <w:numPr>
          <w:ilvl w:val="0"/>
          <w:numId w:val="0"/>
        </w:numPr>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lang w:eastAsia="zh-CN"/>
        </w:rPr>
        <w:t>（</w:t>
      </w:r>
      <w:r>
        <w:rPr>
          <w:rFonts w:hint="eastAsia" w:ascii="楷体" w:hAnsi="楷体" w:eastAsia="楷体" w:cs="楷体_GB2312"/>
          <w:bCs/>
          <w:sz w:val="32"/>
          <w:szCs w:val="32"/>
          <w:lang w:val="en-US" w:eastAsia="zh-CN"/>
        </w:rPr>
        <w:t>二</w:t>
      </w:r>
      <w:r>
        <w:rPr>
          <w:rFonts w:hint="eastAsia" w:ascii="楷体" w:hAnsi="楷体" w:eastAsia="楷体" w:cs="楷体_GB2312"/>
          <w:bCs/>
          <w:sz w:val="32"/>
          <w:szCs w:val="32"/>
          <w:lang w:eastAsia="zh-CN"/>
        </w:rPr>
        <w:t>）</w:t>
      </w:r>
      <w:r>
        <w:rPr>
          <w:rFonts w:hint="eastAsia" w:ascii="楷体" w:hAnsi="楷体" w:eastAsia="楷体" w:cs="楷体_GB2312"/>
          <w:bCs/>
          <w:sz w:val="32"/>
          <w:szCs w:val="32"/>
        </w:rPr>
        <w:t>自评的方法和过程</w:t>
      </w:r>
    </w:p>
    <w:p w14:paraId="22414677">
      <w:pPr>
        <w:numPr>
          <w:ilvl w:val="0"/>
          <w:numId w:val="0"/>
        </w:numPr>
        <w:spacing w:line="560" w:lineRule="exact"/>
        <w:ind w:firstLine="640" w:firstLineChars="200"/>
        <w:rPr>
          <w:rFonts w:ascii="楷体" w:hAnsi="楷体" w:eastAsia="楷体" w:cs="楷体_GB2312"/>
          <w:bCs/>
          <w:sz w:val="32"/>
          <w:szCs w:val="32"/>
        </w:rPr>
      </w:pPr>
      <w:r>
        <w:rPr>
          <w:rFonts w:hint="eastAsia" w:ascii="仿宋_GB2312" w:eastAsia="仿宋_GB2312"/>
          <w:sz w:val="32"/>
          <w:szCs w:val="32"/>
        </w:rPr>
        <w:t>绩效评价工作采用单位自评价的方式开展。自评价采取数据收集汇总、指标分析、询问查证等方法，形成了自评价报告。</w:t>
      </w:r>
    </w:p>
    <w:p w14:paraId="031BE99B">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67D76839">
      <w:pPr>
        <w:numPr>
          <w:ilvl w:val="0"/>
          <w:numId w:val="1"/>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137A7727">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2025年我院</w:t>
      </w:r>
      <w:r>
        <w:rPr>
          <w:rFonts w:hint="eastAsia" w:ascii="仿宋_GB2312" w:hAnsi="仿宋_GB2312" w:eastAsia="仿宋_GB2312" w:cs="仿宋_GB2312"/>
          <w:kern w:val="0"/>
          <w:sz w:val="32"/>
          <w:szCs w:val="32"/>
        </w:rPr>
        <w:t>围绕“执法办案”这个工作中心，狠抓办案质效</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一是加强审判流程标准化建设，建立起以审判</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"https://baike.sogou.com/lemma/ShowInnerLink.htm?lemmaId=63337567&amp;ss_c=ssc.citiao.link"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流程管理系统</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为支撑、法院案件质量评价体系为标尺的执法办案工作考评体系，全院法定期限</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"https://baike.sogou.com/lemma/ShowInnerLink.htm?lemmaId=73108083&amp;ss_c=ssc.citiao.link"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结案率</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保持在9</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%以上，审判管理成效稳步提高。二是打造</w:t>
      </w:r>
      <w:r>
        <w:rPr>
          <w:rFonts w:hint="eastAsia" w:ascii="仿宋_GB2312" w:hAnsi="仿宋_GB2312" w:eastAsia="仿宋_GB2312" w:cs="仿宋_GB2312"/>
          <w:kern w:val="0"/>
          <w:sz w:val="32"/>
          <w:szCs w:val="32"/>
        </w:rPr>
        <w:fldChar w:fldCharType="begin"/>
      </w:r>
      <w:r>
        <w:rPr>
          <w:rFonts w:hint="eastAsia" w:ascii="仿宋_GB2312" w:hAnsi="仿宋_GB2312" w:eastAsia="仿宋_GB2312" w:cs="仿宋_GB2312"/>
          <w:kern w:val="0"/>
          <w:sz w:val="32"/>
          <w:szCs w:val="32"/>
        </w:rPr>
        <w:instrText xml:space="preserve"> HYPERLINK "https://baike.sogou.com/lemma/ShowInnerLink.htm?lemmaId=99654420&amp;ss_c=ssc.citiao.link" </w:instrText>
      </w:r>
      <w:r>
        <w:rPr>
          <w:rFonts w:hint="eastAsia" w:ascii="仿宋_GB2312" w:hAnsi="仿宋_GB2312" w:eastAsia="仿宋_GB2312" w:cs="仿宋_GB2312"/>
          <w:kern w:val="0"/>
          <w:sz w:val="32"/>
          <w:szCs w:val="32"/>
        </w:rPr>
        <w:fldChar w:fldCharType="separate"/>
      </w:r>
      <w:r>
        <w:rPr>
          <w:rFonts w:hint="eastAsia" w:ascii="仿宋_GB2312" w:hAnsi="仿宋_GB2312" w:eastAsia="仿宋_GB2312" w:cs="仿宋_GB2312"/>
          <w:kern w:val="0"/>
          <w:sz w:val="32"/>
          <w:szCs w:val="32"/>
        </w:rPr>
        <w:t>智慧法院</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通过对“智慧法庭”项目建设、信息化建设等项目的实施，提升了</w:t>
      </w:r>
      <w:r>
        <w:rPr>
          <w:rFonts w:hint="eastAsia" w:ascii="仿宋_GB2312" w:hAnsi="仿宋_GB2312" w:eastAsia="仿宋_GB2312" w:cs="仿宋_GB2312"/>
          <w:kern w:val="0"/>
          <w:sz w:val="32"/>
          <w:szCs w:val="32"/>
        </w:rPr>
        <w:t>办公内网、外部专网等网系功能</w:t>
      </w:r>
      <w:r>
        <w:rPr>
          <w:rFonts w:hint="eastAsia" w:ascii="仿宋_GB2312" w:hAnsi="仿宋_GB2312" w:eastAsia="仿宋_GB2312" w:cs="仿宋_GB2312"/>
          <w:kern w:val="0"/>
          <w:sz w:val="32"/>
          <w:szCs w:val="32"/>
          <w:lang w:val="en-US" w:eastAsia="zh-CN"/>
        </w:rPr>
        <w:t>并通过</w:t>
      </w:r>
      <w:r>
        <w:rPr>
          <w:rFonts w:hint="eastAsia" w:ascii="仿宋_GB2312" w:hAnsi="仿宋_GB2312" w:eastAsia="仿宋_GB2312" w:cs="仿宋_GB2312"/>
          <w:kern w:val="0"/>
          <w:sz w:val="32"/>
          <w:szCs w:val="32"/>
        </w:rPr>
        <w:t>开通网上立案、缴费、送达、质证、庭审等功能，有力推进审执能力现代化建设。三是落实</w:t>
      </w:r>
      <w:r>
        <w:rPr>
          <w:rFonts w:hint="eastAsia" w:ascii="仿宋_GB2312" w:hAnsi="仿宋_GB2312" w:eastAsia="仿宋_GB2312" w:cs="仿宋_GB2312"/>
          <w:kern w:val="0"/>
          <w:sz w:val="32"/>
          <w:szCs w:val="32"/>
          <w:lang w:eastAsia="zh-CN"/>
        </w:rPr>
        <w:t>了</w:t>
      </w:r>
      <w:r>
        <w:rPr>
          <w:rFonts w:hint="eastAsia" w:ascii="仿宋_GB2312" w:hAnsi="仿宋_GB2312" w:eastAsia="仿宋_GB2312" w:cs="仿宋_GB2312"/>
          <w:kern w:val="0"/>
          <w:sz w:val="32"/>
          <w:szCs w:val="32"/>
        </w:rPr>
        <w:t>“由审理者裁判，让裁判者负责”，进一步细化法官权力和责任清单，完善</w:t>
      </w:r>
      <w:r>
        <w:rPr>
          <w:rFonts w:hint="eastAsia" w:ascii="仿宋_GB2312" w:hAnsi="仿宋_GB2312" w:eastAsia="仿宋_GB2312" w:cs="仿宋_GB2312"/>
          <w:kern w:val="0"/>
          <w:sz w:val="32"/>
          <w:szCs w:val="32"/>
          <w:lang w:eastAsia="zh-CN"/>
        </w:rPr>
        <w:t>了</w:t>
      </w:r>
      <w:r>
        <w:rPr>
          <w:rFonts w:hint="eastAsia" w:ascii="仿宋_GB2312" w:hAnsi="仿宋_GB2312" w:eastAsia="仿宋_GB2312" w:cs="仿宋_GB2312"/>
          <w:kern w:val="0"/>
          <w:sz w:val="32"/>
          <w:szCs w:val="32"/>
        </w:rPr>
        <w:t>案件质量评查、办案责任倒查等制度，构建起全方位的办案监管体系</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建立</w:t>
      </w:r>
      <w:r>
        <w:rPr>
          <w:rFonts w:hint="eastAsia" w:ascii="仿宋_GB2312" w:hAnsi="仿宋_GB2312" w:eastAsia="仿宋_GB2312" w:cs="仿宋_GB2312"/>
          <w:kern w:val="0"/>
          <w:sz w:val="32"/>
          <w:szCs w:val="32"/>
          <w:lang w:eastAsia="zh-CN"/>
        </w:rPr>
        <w:t>了</w:t>
      </w:r>
      <w:r>
        <w:rPr>
          <w:rFonts w:hint="eastAsia" w:ascii="仿宋_GB2312" w:hAnsi="仿宋_GB2312" w:eastAsia="仿宋_GB2312" w:cs="仿宋_GB2312"/>
          <w:kern w:val="0"/>
          <w:sz w:val="32"/>
          <w:szCs w:val="32"/>
        </w:rPr>
        <w:t>超审限案件的预警管理机制，做好案件评查和长期未结、久押不决案件的清理工作，</w:t>
      </w:r>
      <w:r>
        <w:rPr>
          <w:rFonts w:hint="eastAsia" w:ascii="仿宋_GB2312" w:hAnsi="仿宋_GB2312" w:eastAsia="仿宋_GB2312" w:cs="仿宋_GB2312"/>
          <w:kern w:val="0"/>
          <w:sz w:val="32"/>
          <w:szCs w:val="32"/>
          <w:lang w:val="en-US" w:eastAsia="zh-CN"/>
        </w:rPr>
        <w:t>大大</w:t>
      </w:r>
      <w:r>
        <w:rPr>
          <w:rFonts w:hint="eastAsia" w:ascii="仿宋_GB2312" w:hAnsi="仿宋_GB2312" w:eastAsia="仿宋_GB2312" w:cs="仿宋_GB2312"/>
          <w:kern w:val="0"/>
          <w:sz w:val="32"/>
          <w:szCs w:val="32"/>
        </w:rPr>
        <w:t>提升</w:t>
      </w:r>
      <w:r>
        <w:rPr>
          <w:rFonts w:hint="eastAsia" w:ascii="仿宋_GB2312" w:hAnsi="仿宋_GB2312" w:eastAsia="仿宋_GB2312" w:cs="仿宋_GB2312"/>
          <w:kern w:val="0"/>
          <w:sz w:val="32"/>
          <w:szCs w:val="32"/>
          <w:lang w:eastAsia="zh-CN"/>
        </w:rPr>
        <w:t>了</w:t>
      </w:r>
      <w:r>
        <w:rPr>
          <w:rFonts w:hint="eastAsia" w:ascii="仿宋_GB2312" w:hAnsi="仿宋_GB2312" w:eastAsia="仿宋_GB2312" w:cs="仿宋_GB2312"/>
          <w:kern w:val="0"/>
          <w:sz w:val="32"/>
          <w:szCs w:val="32"/>
        </w:rPr>
        <w:t>审判质效。</w:t>
      </w:r>
    </w:p>
    <w:p w14:paraId="6B4C98D7">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639BDB0D">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bidi="ar"/>
        </w:rPr>
        <w:t>1</w:t>
      </w: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bidi="ar"/>
        </w:rPr>
        <w:t>突出审判管理创新。</w:t>
      </w:r>
    </w:p>
    <w:p w14:paraId="1B5E88AA">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绩效目标：全院法定期限</w:t>
      </w:r>
      <w:r>
        <w:rPr>
          <w:rFonts w:hint="eastAsia" w:ascii="仿宋_GB2312" w:hAnsi="仿宋_GB2312" w:eastAsia="仿宋_GB2312" w:cs="仿宋_GB2312"/>
          <w:color w:val="000000"/>
          <w:kern w:val="0"/>
          <w:sz w:val="32"/>
          <w:szCs w:val="32"/>
          <w:shd w:val="clear" w:color="auto" w:fill="FFFFFF"/>
          <w:lang w:bidi="ar"/>
        </w:rPr>
        <w:fldChar w:fldCharType="begin"/>
      </w:r>
      <w:r>
        <w:rPr>
          <w:rFonts w:hint="eastAsia" w:ascii="仿宋_GB2312" w:hAnsi="仿宋_GB2312" w:eastAsia="仿宋_GB2312" w:cs="仿宋_GB2312"/>
          <w:color w:val="000000"/>
          <w:kern w:val="0"/>
          <w:sz w:val="32"/>
          <w:szCs w:val="32"/>
          <w:shd w:val="clear" w:color="auto" w:fill="FFFFFF"/>
          <w:lang w:bidi="ar"/>
        </w:rPr>
        <w:instrText xml:space="preserve"> HYPERLINK "https://baike.sogou.com/lemma/ShowInnerLink.htm?lemmaId=73108083&amp;ss_c=ssc.citiao.link" </w:instrText>
      </w:r>
      <w:r>
        <w:rPr>
          <w:rFonts w:hint="eastAsia" w:ascii="仿宋_GB2312" w:hAnsi="仿宋_GB2312" w:eastAsia="仿宋_GB2312" w:cs="仿宋_GB2312"/>
          <w:color w:val="000000"/>
          <w:kern w:val="0"/>
          <w:sz w:val="32"/>
          <w:szCs w:val="32"/>
          <w:shd w:val="clear" w:color="auto" w:fill="FFFFFF"/>
          <w:lang w:bidi="ar"/>
        </w:rPr>
        <w:fldChar w:fldCharType="separate"/>
      </w:r>
      <w:r>
        <w:rPr>
          <w:rFonts w:hint="eastAsia" w:ascii="仿宋_GB2312" w:hAnsi="仿宋_GB2312" w:eastAsia="仿宋_GB2312" w:cs="仿宋_GB2312"/>
          <w:color w:val="000000"/>
          <w:kern w:val="0"/>
          <w:sz w:val="32"/>
          <w:szCs w:val="32"/>
          <w:shd w:val="clear" w:color="auto" w:fill="FFFFFF"/>
          <w:lang w:bidi="ar"/>
        </w:rPr>
        <w:t>结案率</w:t>
      </w:r>
      <w:r>
        <w:rPr>
          <w:rFonts w:hint="eastAsia" w:ascii="仿宋_GB2312" w:hAnsi="仿宋_GB2312" w:eastAsia="仿宋_GB2312" w:cs="仿宋_GB2312"/>
          <w:color w:val="000000"/>
          <w:kern w:val="0"/>
          <w:sz w:val="32"/>
          <w:szCs w:val="32"/>
          <w:shd w:val="clear" w:color="auto" w:fill="FFFFFF"/>
          <w:lang w:bidi="ar"/>
        </w:rPr>
        <w:fldChar w:fldCharType="end"/>
      </w:r>
      <w:r>
        <w:rPr>
          <w:rFonts w:hint="eastAsia" w:ascii="仿宋_GB2312" w:hAnsi="仿宋_GB2312" w:eastAsia="仿宋_GB2312" w:cs="仿宋_GB2312"/>
          <w:color w:val="000000"/>
          <w:kern w:val="0"/>
          <w:sz w:val="32"/>
          <w:szCs w:val="32"/>
          <w:shd w:val="clear" w:color="auto" w:fill="FFFFFF"/>
          <w:lang w:bidi="ar"/>
        </w:rPr>
        <w:t>保持在9</w:t>
      </w:r>
      <w:r>
        <w:rPr>
          <w:rFonts w:hint="eastAsia" w:ascii="仿宋_GB2312" w:hAnsi="仿宋_GB2312" w:eastAsia="仿宋_GB2312" w:cs="仿宋_GB2312"/>
          <w:color w:val="000000"/>
          <w:kern w:val="0"/>
          <w:sz w:val="32"/>
          <w:szCs w:val="32"/>
          <w:shd w:val="clear" w:color="auto" w:fill="FFFFFF"/>
          <w:lang w:val="en-US" w:eastAsia="zh-CN" w:bidi="ar"/>
        </w:rPr>
        <w:t>0</w:t>
      </w:r>
      <w:r>
        <w:rPr>
          <w:rFonts w:hint="eastAsia" w:ascii="仿宋_GB2312" w:hAnsi="仿宋_GB2312" w:eastAsia="仿宋_GB2312" w:cs="仿宋_GB2312"/>
          <w:color w:val="000000"/>
          <w:kern w:val="0"/>
          <w:sz w:val="32"/>
          <w:szCs w:val="32"/>
          <w:shd w:val="clear" w:color="auto" w:fill="FFFFFF"/>
          <w:lang w:bidi="ar"/>
        </w:rPr>
        <w:t>%以上，审判管理成效稳步提高。</w:t>
      </w:r>
    </w:p>
    <w:p w14:paraId="4AEB8BDF">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绩效指标：加强审判流程标准化建设，明确各流程节点职责要求，确保审判管理制度在各环节有效落实。</w:t>
      </w:r>
    </w:p>
    <w:p w14:paraId="2B5A66CF">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bidi="ar"/>
        </w:rPr>
        <w:t>产出指标（40</w:t>
      </w:r>
      <w:r>
        <w:rPr>
          <w:rFonts w:hint="eastAsia" w:ascii="仿宋_GB2312" w:hAnsi="仿宋_GB2312" w:eastAsia="仿宋_GB2312" w:cs="仿宋_GB2312"/>
          <w:color w:val="000000"/>
          <w:kern w:val="0"/>
          <w:sz w:val="32"/>
          <w:szCs w:val="32"/>
          <w:shd w:val="clear" w:color="auto" w:fill="FFFFFF"/>
          <w:lang w:val="en-US" w:eastAsia="zh-CN" w:bidi="ar"/>
        </w:rPr>
        <w:t>分</w:t>
      </w:r>
      <w:r>
        <w:rPr>
          <w:rFonts w:hint="eastAsia" w:ascii="仿宋_GB2312" w:hAnsi="仿宋_GB2312" w:eastAsia="仿宋_GB2312" w:cs="仿宋_GB2312"/>
          <w:color w:val="000000"/>
          <w:kern w:val="0"/>
          <w:sz w:val="32"/>
          <w:szCs w:val="32"/>
          <w:shd w:val="clear" w:color="auto" w:fill="FFFFFF"/>
          <w:lang w:bidi="ar"/>
        </w:rPr>
        <w:t>）</w:t>
      </w:r>
      <w:r>
        <w:rPr>
          <w:rFonts w:hint="eastAsia" w:ascii="仿宋_GB2312" w:hAnsi="仿宋_GB2312" w:eastAsia="仿宋_GB2312" w:cs="仿宋_GB2312"/>
          <w:color w:val="000000"/>
          <w:kern w:val="0"/>
          <w:sz w:val="32"/>
          <w:szCs w:val="32"/>
          <w:shd w:val="clear" w:color="auto" w:fill="FFFFFF"/>
          <w:lang w:val="en-US" w:eastAsia="zh-CN" w:bidi="ar"/>
        </w:rPr>
        <w:t xml:space="preserve"> 一是</w:t>
      </w:r>
      <w:r>
        <w:rPr>
          <w:rFonts w:hint="eastAsia" w:ascii="仿宋_GB2312" w:hAnsi="仿宋_GB2312" w:eastAsia="仿宋_GB2312" w:cs="仿宋_GB2312"/>
          <w:color w:val="000000"/>
          <w:kern w:val="0"/>
          <w:sz w:val="32"/>
          <w:szCs w:val="32"/>
          <w:shd w:val="clear" w:color="auto" w:fill="FFFFFF"/>
          <w:lang w:bidi="ar"/>
        </w:rPr>
        <w:t>已结案件占全部案件比率</w:t>
      </w:r>
      <w:r>
        <w:rPr>
          <w:rFonts w:hint="eastAsia" w:ascii="仿宋_GB2312" w:hAnsi="仿宋_GB2312" w:eastAsia="仿宋_GB2312" w:cs="仿宋_GB2312"/>
          <w:color w:val="000000"/>
          <w:kern w:val="0"/>
          <w:sz w:val="32"/>
          <w:szCs w:val="32"/>
          <w:shd w:val="clear" w:color="auto" w:fill="FFFFFF"/>
          <w:lang w:val="en-US" w:eastAsia="zh-CN" w:bidi="ar"/>
        </w:rPr>
        <w:t>的90%以上；二是法定审限内结案率95%以上；三是在法律规定时效内完成案件办理程序达98%以上；四是办理案件经费投入占90%以上。</w:t>
      </w:r>
    </w:p>
    <w:p w14:paraId="1AF00FBE">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效益指标（40分） 一是当年办理案件规范率占90%以上；二是年内完成的案件数量与计划完成的办案数量比例占90%以上；三是当年办理案件结案比率达90%以上。</w:t>
      </w:r>
    </w:p>
    <w:p w14:paraId="5F625F80">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满意度指标（10分） 调查群众对法院办理案件满意度，调查中满意和较满意群众数量占全部调查人数比率的90%以上。</w:t>
      </w:r>
    </w:p>
    <w:p w14:paraId="35BBA43E">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eastAsia="zh-CN" w:bidi="ar"/>
        </w:rPr>
        <w:t>支出合理性</w:t>
      </w:r>
      <w:r>
        <w:rPr>
          <w:rFonts w:hint="eastAsia" w:ascii="仿宋_GB2312" w:hAnsi="仿宋_GB2312" w:eastAsia="仿宋_GB2312" w:cs="仿宋_GB2312"/>
          <w:color w:val="000000"/>
          <w:kern w:val="0"/>
          <w:sz w:val="32"/>
          <w:szCs w:val="32"/>
          <w:shd w:val="clear" w:color="auto" w:fill="FFFFFF"/>
          <w:lang w:bidi="ar"/>
        </w:rPr>
        <w:t>情况分析（10分）</w:t>
      </w:r>
      <w:r>
        <w:rPr>
          <w:rFonts w:hint="eastAsia" w:ascii="仿宋_GB2312" w:hAnsi="仿宋_GB2312" w:eastAsia="仿宋_GB2312" w:cs="仿宋_GB2312"/>
          <w:color w:val="000000"/>
          <w:kern w:val="0"/>
          <w:sz w:val="32"/>
          <w:szCs w:val="32"/>
          <w:shd w:val="clear" w:color="auto" w:fill="FFFFFF"/>
          <w:lang w:val="en-US" w:eastAsia="zh-CN" w:bidi="ar"/>
        </w:rPr>
        <w:t xml:space="preserve"> </w:t>
      </w:r>
      <w:r>
        <w:rPr>
          <w:rFonts w:hint="eastAsia" w:ascii="仿宋_GB2312" w:hAnsi="仿宋_GB2312" w:eastAsia="仿宋_GB2312" w:cs="仿宋_GB2312"/>
          <w:color w:val="000000"/>
          <w:kern w:val="0"/>
          <w:sz w:val="32"/>
          <w:szCs w:val="32"/>
          <w:shd w:val="clear" w:color="auto" w:fill="FFFFFF"/>
          <w:lang w:bidi="ar"/>
        </w:rPr>
        <w:t>经评估，</w:t>
      </w:r>
      <w:r>
        <w:rPr>
          <w:rFonts w:hint="eastAsia" w:ascii="仿宋_GB2312" w:hAnsi="仿宋_GB2312" w:eastAsia="仿宋_GB2312" w:cs="仿宋_GB2312"/>
          <w:color w:val="000000"/>
          <w:kern w:val="0"/>
          <w:sz w:val="32"/>
          <w:szCs w:val="32"/>
          <w:shd w:val="clear" w:color="auto" w:fill="FFFFFF"/>
          <w:lang w:eastAsia="zh-CN" w:bidi="ar"/>
        </w:rPr>
        <w:t>全局整体支出的每项</w:t>
      </w:r>
      <w:r>
        <w:rPr>
          <w:rFonts w:hint="eastAsia" w:ascii="仿宋_GB2312" w:hAnsi="仿宋_GB2312" w:eastAsia="仿宋_GB2312" w:cs="仿宋_GB2312"/>
          <w:color w:val="000000"/>
          <w:kern w:val="0"/>
          <w:sz w:val="32"/>
          <w:szCs w:val="32"/>
          <w:shd w:val="clear" w:color="auto" w:fill="FFFFFF"/>
          <w:lang w:bidi="ar"/>
        </w:rPr>
        <w:t>依据</w:t>
      </w:r>
      <w:r>
        <w:rPr>
          <w:rFonts w:hint="eastAsia" w:ascii="仿宋_GB2312" w:hAnsi="仿宋_GB2312" w:eastAsia="仿宋_GB2312" w:cs="仿宋_GB2312"/>
          <w:color w:val="000000"/>
          <w:kern w:val="0"/>
          <w:sz w:val="32"/>
          <w:szCs w:val="32"/>
          <w:shd w:val="clear" w:color="auto" w:fill="FFFFFF"/>
          <w:lang w:eastAsia="zh-CN" w:bidi="ar"/>
        </w:rPr>
        <w:t>充分、</w:t>
      </w:r>
      <w:r>
        <w:rPr>
          <w:rFonts w:hint="eastAsia" w:ascii="仿宋_GB2312" w:hAnsi="仿宋_GB2312" w:eastAsia="仿宋_GB2312" w:cs="仿宋_GB2312"/>
          <w:color w:val="000000"/>
          <w:kern w:val="0"/>
          <w:sz w:val="32"/>
          <w:szCs w:val="32"/>
          <w:shd w:val="clear" w:color="auto" w:fill="FFFFFF"/>
          <w:lang w:bidi="ar"/>
        </w:rPr>
        <w:t>合理。</w:t>
      </w:r>
    </w:p>
    <w:p w14:paraId="471ABCA1">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bidi="ar"/>
        </w:rPr>
        <w:t>2</w:t>
      </w: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bidi="ar"/>
        </w:rPr>
        <w:t>着力打造智慧法院。</w:t>
      </w:r>
    </w:p>
    <w:p w14:paraId="34CD007A">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绩效目标：提高网上办案能力，推进审执能力现代化建设。</w:t>
      </w:r>
    </w:p>
    <w:p w14:paraId="4BB17EC4">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绩效指标：不断升级办公内网、外部专网等网系功能，深化网上办案、办公以及司法</w:t>
      </w:r>
      <w:r>
        <w:rPr>
          <w:rFonts w:hint="eastAsia" w:ascii="仿宋_GB2312" w:hAnsi="仿宋_GB2312" w:eastAsia="仿宋_GB2312" w:cs="仿宋_GB2312"/>
          <w:color w:val="000000"/>
          <w:kern w:val="0"/>
          <w:sz w:val="32"/>
          <w:szCs w:val="32"/>
          <w:shd w:val="clear" w:color="auto" w:fill="FFFFFF"/>
          <w:lang w:bidi="ar"/>
        </w:rPr>
        <w:fldChar w:fldCharType="begin"/>
      </w:r>
      <w:r>
        <w:rPr>
          <w:rFonts w:hint="eastAsia" w:ascii="仿宋_GB2312" w:hAnsi="仿宋_GB2312" w:eastAsia="仿宋_GB2312" w:cs="仿宋_GB2312"/>
          <w:color w:val="000000"/>
          <w:kern w:val="0"/>
          <w:sz w:val="32"/>
          <w:szCs w:val="32"/>
          <w:shd w:val="clear" w:color="auto" w:fill="FFFFFF"/>
          <w:lang w:bidi="ar"/>
        </w:rPr>
        <w:instrText xml:space="preserve"> HYPERLINK "https://baike.sogou.com/lemma/ShowInnerLink.htm?lemmaId=183364656&amp;ss_c=ssc.citiao.link" </w:instrText>
      </w:r>
      <w:r>
        <w:rPr>
          <w:rFonts w:hint="eastAsia" w:ascii="仿宋_GB2312" w:hAnsi="仿宋_GB2312" w:eastAsia="仿宋_GB2312" w:cs="仿宋_GB2312"/>
          <w:color w:val="000000"/>
          <w:kern w:val="0"/>
          <w:sz w:val="32"/>
          <w:szCs w:val="32"/>
          <w:shd w:val="clear" w:color="auto" w:fill="FFFFFF"/>
          <w:lang w:bidi="ar"/>
        </w:rPr>
        <w:fldChar w:fldCharType="separate"/>
      </w:r>
      <w:r>
        <w:rPr>
          <w:rFonts w:hint="eastAsia" w:ascii="仿宋_GB2312" w:hAnsi="仿宋_GB2312" w:eastAsia="仿宋_GB2312" w:cs="仿宋_GB2312"/>
          <w:color w:val="000000"/>
          <w:kern w:val="0"/>
          <w:sz w:val="32"/>
          <w:szCs w:val="32"/>
          <w:shd w:val="clear" w:color="auto" w:fill="FFFFFF"/>
          <w:lang w:bidi="ar"/>
        </w:rPr>
        <w:t>大数据应用</w:t>
      </w:r>
      <w:r>
        <w:rPr>
          <w:rFonts w:hint="eastAsia" w:ascii="仿宋_GB2312" w:hAnsi="仿宋_GB2312" w:eastAsia="仿宋_GB2312" w:cs="仿宋_GB2312"/>
          <w:color w:val="000000"/>
          <w:kern w:val="0"/>
          <w:sz w:val="32"/>
          <w:szCs w:val="32"/>
          <w:shd w:val="clear" w:color="auto" w:fill="FFFFFF"/>
          <w:lang w:bidi="ar"/>
        </w:rPr>
        <w:fldChar w:fldCharType="end"/>
      </w:r>
      <w:r>
        <w:rPr>
          <w:rFonts w:hint="eastAsia" w:ascii="仿宋_GB2312" w:hAnsi="仿宋_GB2312" w:eastAsia="仿宋_GB2312" w:cs="仿宋_GB2312"/>
          <w:color w:val="000000"/>
          <w:kern w:val="0"/>
          <w:sz w:val="32"/>
          <w:szCs w:val="32"/>
          <w:shd w:val="clear" w:color="auto" w:fill="FFFFFF"/>
          <w:lang w:bidi="ar"/>
        </w:rPr>
        <w:t>。</w:t>
      </w:r>
    </w:p>
    <w:p w14:paraId="10865D93">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bidi="ar"/>
        </w:rPr>
        <w:t>产出指标（40</w:t>
      </w:r>
      <w:r>
        <w:rPr>
          <w:rFonts w:hint="eastAsia" w:ascii="仿宋_GB2312" w:hAnsi="仿宋_GB2312" w:eastAsia="仿宋_GB2312" w:cs="仿宋_GB2312"/>
          <w:color w:val="000000"/>
          <w:kern w:val="0"/>
          <w:sz w:val="32"/>
          <w:szCs w:val="32"/>
          <w:shd w:val="clear" w:color="auto" w:fill="FFFFFF"/>
          <w:lang w:val="en-US" w:eastAsia="zh-CN" w:bidi="ar"/>
        </w:rPr>
        <w:t>分</w:t>
      </w:r>
      <w:r>
        <w:rPr>
          <w:rFonts w:hint="eastAsia" w:ascii="仿宋_GB2312" w:hAnsi="仿宋_GB2312" w:eastAsia="仿宋_GB2312" w:cs="仿宋_GB2312"/>
          <w:color w:val="000000"/>
          <w:kern w:val="0"/>
          <w:sz w:val="32"/>
          <w:szCs w:val="32"/>
          <w:shd w:val="clear" w:color="auto" w:fill="FFFFFF"/>
          <w:lang w:bidi="ar"/>
        </w:rPr>
        <w:t>）</w:t>
      </w:r>
      <w:r>
        <w:rPr>
          <w:rFonts w:hint="eastAsia" w:ascii="仿宋_GB2312" w:hAnsi="仿宋_GB2312" w:eastAsia="仿宋_GB2312" w:cs="仿宋_GB2312"/>
          <w:color w:val="000000"/>
          <w:kern w:val="0"/>
          <w:sz w:val="32"/>
          <w:szCs w:val="32"/>
          <w:shd w:val="clear" w:color="auto" w:fill="FFFFFF"/>
          <w:lang w:val="en-US" w:eastAsia="zh-CN" w:bidi="ar"/>
        </w:rPr>
        <w:t xml:space="preserve"> 一是</w:t>
      </w:r>
      <w:r>
        <w:rPr>
          <w:rFonts w:hint="eastAsia" w:ascii="仿宋_GB2312" w:hAnsi="仿宋_GB2312" w:eastAsia="仿宋_GB2312" w:cs="仿宋_GB2312"/>
          <w:color w:val="000000"/>
          <w:kern w:val="0"/>
          <w:sz w:val="32"/>
          <w:szCs w:val="32"/>
          <w:shd w:val="clear" w:color="auto" w:fill="FFFFFF"/>
          <w:lang w:bidi="ar"/>
        </w:rPr>
        <w:t>已结案件占全部案件比率</w:t>
      </w:r>
      <w:r>
        <w:rPr>
          <w:rFonts w:hint="eastAsia" w:ascii="仿宋_GB2312" w:hAnsi="仿宋_GB2312" w:eastAsia="仿宋_GB2312" w:cs="仿宋_GB2312"/>
          <w:color w:val="000000"/>
          <w:kern w:val="0"/>
          <w:sz w:val="32"/>
          <w:szCs w:val="32"/>
          <w:shd w:val="clear" w:color="auto" w:fill="FFFFFF"/>
          <w:lang w:val="en-US" w:eastAsia="zh-CN" w:bidi="ar"/>
        </w:rPr>
        <w:t>的90%以上；二是法定审限内结案率90%以上；三是在法律规定时效内完成案件办理程序达90%以上；四是办理案件经费投入占90%以上。</w:t>
      </w:r>
    </w:p>
    <w:p w14:paraId="4A6710AD">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效益指标（40分） 一是当年办理案件规范率占90%以上；二是年内完成的案件数量与计划完成的办案数量比例占90%以上；三是当年办理案件结案比率达90%以上。</w:t>
      </w:r>
    </w:p>
    <w:p w14:paraId="5B4CA873">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满意度指标（10分） 调查群众对法院办理案件满意度，调查中满意和较满意群众数量占全部调查人数比率的90%以上。</w:t>
      </w:r>
    </w:p>
    <w:p w14:paraId="3DC0FB06">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eastAsia="zh-CN" w:bidi="ar"/>
        </w:rPr>
        <w:t>支出合理性</w:t>
      </w:r>
      <w:r>
        <w:rPr>
          <w:rFonts w:hint="eastAsia" w:ascii="仿宋_GB2312" w:hAnsi="仿宋_GB2312" w:eastAsia="仿宋_GB2312" w:cs="仿宋_GB2312"/>
          <w:color w:val="000000"/>
          <w:kern w:val="0"/>
          <w:sz w:val="32"/>
          <w:szCs w:val="32"/>
          <w:shd w:val="clear" w:color="auto" w:fill="FFFFFF"/>
          <w:lang w:bidi="ar"/>
        </w:rPr>
        <w:t>情况分析（10分）</w:t>
      </w:r>
      <w:r>
        <w:rPr>
          <w:rFonts w:hint="eastAsia" w:ascii="仿宋_GB2312" w:hAnsi="仿宋_GB2312" w:eastAsia="仿宋_GB2312" w:cs="仿宋_GB2312"/>
          <w:color w:val="000000"/>
          <w:kern w:val="0"/>
          <w:sz w:val="32"/>
          <w:szCs w:val="32"/>
          <w:shd w:val="clear" w:color="auto" w:fill="FFFFFF"/>
          <w:lang w:val="en-US" w:eastAsia="zh-CN" w:bidi="ar"/>
        </w:rPr>
        <w:t xml:space="preserve"> </w:t>
      </w:r>
      <w:r>
        <w:rPr>
          <w:rFonts w:hint="eastAsia" w:ascii="仿宋_GB2312" w:hAnsi="仿宋_GB2312" w:eastAsia="仿宋_GB2312" w:cs="仿宋_GB2312"/>
          <w:color w:val="000000"/>
          <w:kern w:val="0"/>
          <w:sz w:val="32"/>
          <w:szCs w:val="32"/>
          <w:shd w:val="clear" w:color="auto" w:fill="FFFFFF"/>
          <w:lang w:bidi="ar"/>
        </w:rPr>
        <w:t>经评估，</w:t>
      </w:r>
      <w:r>
        <w:rPr>
          <w:rFonts w:hint="eastAsia" w:ascii="仿宋_GB2312" w:hAnsi="仿宋_GB2312" w:eastAsia="仿宋_GB2312" w:cs="仿宋_GB2312"/>
          <w:color w:val="000000"/>
          <w:kern w:val="0"/>
          <w:sz w:val="32"/>
          <w:szCs w:val="32"/>
          <w:shd w:val="clear" w:color="auto" w:fill="FFFFFF"/>
          <w:lang w:eastAsia="zh-CN" w:bidi="ar"/>
        </w:rPr>
        <w:t>全局整体支出的每项</w:t>
      </w:r>
      <w:r>
        <w:rPr>
          <w:rFonts w:hint="eastAsia" w:ascii="仿宋_GB2312" w:hAnsi="仿宋_GB2312" w:eastAsia="仿宋_GB2312" w:cs="仿宋_GB2312"/>
          <w:color w:val="000000"/>
          <w:kern w:val="0"/>
          <w:sz w:val="32"/>
          <w:szCs w:val="32"/>
          <w:shd w:val="clear" w:color="auto" w:fill="FFFFFF"/>
          <w:lang w:bidi="ar"/>
        </w:rPr>
        <w:t>依据</w:t>
      </w:r>
      <w:r>
        <w:rPr>
          <w:rFonts w:hint="eastAsia" w:ascii="仿宋_GB2312" w:hAnsi="仿宋_GB2312" w:eastAsia="仿宋_GB2312" w:cs="仿宋_GB2312"/>
          <w:color w:val="000000"/>
          <w:kern w:val="0"/>
          <w:sz w:val="32"/>
          <w:szCs w:val="32"/>
          <w:shd w:val="clear" w:color="auto" w:fill="FFFFFF"/>
          <w:lang w:eastAsia="zh-CN" w:bidi="ar"/>
        </w:rPr>
        <w:t>充分、</w:t>
      </w:r>
      <w:r>
        <w:rPr>
          <w:rFonts w:hint="eastAsia" w:ascii="仿宋_GB2312" w:hAnsi="仿宋_GB2312" w:eastAsia="仿宋_GB2312" w:cs="仿宋_GB2312"/>
          <w:color w:val="000000"/>
          <w:kern w:val="0"/>
          <w:sz w:val="32"/>
          <w:szCs w:val="32"/>
          <w:shd w:val="clear" w:color="auto" w:fill="FFFFFF"/>
          <w:lang w:bidi="ar"/>
        </w:rPr>
        <w:t>合理。</w:t>
      </w:r>
    </w:p>
    <w:p w14:paraId="499CECDC">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bidi="ar"/>
        </w:rPr>
        <w:t>3</w:t>
      </w:r>
      <w:r>
        <w:rPr>
          <w:rFonts w:hint="eastAsia" w:ascii="仿宋_GB2312" w:hAnsi="仿宋_GB2312" w:eastAsia="仿宋_GB2312" w:cs="仿宋_GB2312"/>
          <w:color w:val="000000"/>
          <w:kern w:val="0"/>
          <w:sz w:val="32"/>
          <w:szCs w:val="32"/>
          <w:shd w:val="clear" w:color="auto" w:fill="FFFFFF"/>
          <w:lang w:eastAsia="zh-CN" w:bidi="ar"/>
        </w:rPr>
        <w:t>）</w:t>
      </w:r>
      <w:r>
        <w:rPr>
          <w:rFonts w:hint="eastAsia" w:ascii="仿宋_GB2312" w:hAnsi="仿宋_GB2312" w:eastAsia="仿宋_GB2312" w:cs="仿宋_GB2312"/>
          <w:color w:val="000000"/>
          <w:kern w:val="0"/>
          <w:sz w:val="32"/>
          <w:szCs w:val="32"/>
          <w:shd w:val="clear" w:color="auto" w:fill="FFFFFF"/>
          <w:lang w:bidi="ar"/>
        </w:rPr>
        <w:t>健全监督制约机制。</w:t>
      </w:r>
    </w:p>
    <w:p w14:paraId="74643338">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绩效目标：落实“由审理者裁判，让裁判者负责”，进一步细化法官权力和责任清单，完善案件质量评查、办案责任倒查等制度，构建起全方位的办案监管体系。</w:t>
      </w:r>
    </w:p>
    <w:p w14:paraId="307A8929">
      <w:pPr>
        <w:keepNext w:val="0"/>
        <w:keepLines w:val="0"/>
        <w:pageBreakBefore w:val="0"/>
        <w:widowControl w:val="0"/>
        <w:kinsoku/>
        <w:wordWrap/>
        <w:overflowPunct/>
        <w:topLinePunct w:val="0"/>
        <w:autoSpaceDE/>
        <w:bidi w:val="0"/>
        <w:adjustRightInd w:val="0"/>
        <w:snapToGrid w:val="0"/>
        <w:spacing w:line="560" w:lineRule="exact"/>
        <w:ind w:left="0" w:leftChars="0" w:right="0" w:firstLine="640" w:firstLineChars="200"/>
        <w:textAlignment w:val="auto"/>
        <w:outlineLvl w:val="9"/>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bidi="ar"/>
        </w:rPr>
        <w:t>绩效指标：保证管理监督的正当化、透明化，做好案件评查和长期未结、久押不决案件的清理工作，提升审判质效。</w:t>
      </w:r>
    </w:p>
    <w:p w14:paraId="3FDE5033">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bidi="ar"/>
        </w:rPr>
        <w:t>产出指标（40</w:t>
      </w:r>
      <w:r>
        <w:rPr>
          <w:rFonts w:hint="eastAsia" w:ascii="仿宋_GB2312" w:hAnsi="仿宋_GB2312" w:eastAsia="仿宋_GB2312" w:cs="仿宋_GB2312"/>
          <w:color w:val="000000"/>
          <w:kern w:val="0"/>
          <w:sz w:val="32"/>
          <w:szCs w:val="32"/>
          <w:shd w:val="clear" w:color="auto" w:fill="FFFFFF"/>
          <w:lang w:val="en-US" w:eastAsia="zh-CN" w:bidi="ar"/>
        </w:rPr>
        <w:t>分</w:t>
      </w:r>
      <w:r>
        <w:rPr>
          <w:rFonts w:hint="eastAsia" w:ascii="仿宋_GB2312" w:hAnsi="仿宋_GB2312" w:eastAsia="仿宋_GB2312" w:cs="仿宋_GB2312"/>
          <w:color w:val="000000"/>
          <w:kern w:val="0"/>
          <w:sz w:val="32"/>
          <w:szCs w:val="32"/>
          <w:shd w:val="clear" w:color="auto" w:fill="FFFFFF"/>
          <w:lang w:bidi="ar"/>
        </w:rPr>
        <w:t>）</w:t>
      </w:r>
      <w:r>
        <w:rPr>
          <w:rFonts w:hint="eastAsia" w:ascii="仿宋_GB2312" w:hAnsi="仿宋_GB2312" w:eastAsia="仿宋_GB2312" w:cs="仿宋_GB2312"/>
          <w:color w:val="000000"/>
          <w:kern w:val="0"/>
          <w:sz w:val="32"/>
          <w:szCs w:val="32"/>
          <w:shd w:val="clear" w:color="auto" w:fill="FFFFFF"/>
          <w:lang w:val="en-US" w:eastAsia="zh-CN" w:bidi="ar"/>
        </w:rPr>
        <w:t xml:space="preserve"> 一是</w:t>
      </w:r>
      <w:r>
        <w:rPr>
          <w:rFonts w:hint="eastAsia" w:ascii="仿宋_GB2312" w:hAnsi="仿宋_GB2312" w:eastAsia="仿宋_GB2312" w:cs="仿宋_GB2312"/>
          <w:color w:val="000000"/>
          <w:kern w:val="0"/>
          <w:sz w:val="32"/>
          <w:szCs w:val="32"/>
          <w:shd w:val="clear" w:color="auto" w:fill="FFFFFF"/>
          <w:lang w:bidi="ar"/>
        </w:rPr>
        <w:t>已结案件占全部案件比率</w:t>
      </w:r>
      <w:r>
        <w:rPr>
          <w:rFonts w:hint="eastAsia" w:ascii="仿宋_GB2312" w:hAnsi="仿宋_GB2312" w:eastAsia="仿宋_GB2312" w:cs="仿宋_GB2312"/>
          <w:color w:val="000000"/>
          <w:kern w:val="0"/>
          <w:sz w:val="32"/>
          <w:szCs w:val="32"/>
          <w:shd w:val="clear" w:color="auto" w:fill="FFFFFF"/>
          <w:lang w:val="en-US" w:eastAsia="zh-CN" w:bidi="ar"/>
        </w:rPr>
        <w:t>的05%以上；二是法定审限内结案率98%以上；三是在法律规定时效内完成案件办理程序达98%以上；四是办理案件经费投入占90%以上。</w:t>
      </w:r>
    </w:p>
    <w:p w14:paraId="2EE84190">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效益指标（40分） 一是当年办理案件规范率占90%以上；二是年内完成的案件数量与计划完成的办案数量比例占90%以上；三是当年办理案件结案比率达90%以上。</w:t>
      </w:r>
    </w:p>
    <w:p w14:paraId="274305A6">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val="en-US" w:eastAsia="zh-CN" w:bidi="ar"/>
        </w:rPr>
      </w:pPr>
      <w:r>
        <w:rPr>
          <w:rFonts w:hint="eastAsia" w:ascii="仿宋_GB2312" w:hAnsi="仿宋_GB2312" w:eastAsia="仿宋_GB2312" w:cs="仿宋_GB2312"/>
          <w:color w:val="000000"/>
          <w:kern w:val="0"/>
          <w:sz w:val="32"/>
          <w:szCs w:val="32"/>
          <w:shd w:val="clear" w:color="auto" w:fill="FFFFFF"/>
          <w:lang w:val="en-US" w:eastAsia="zh-CN" w:bidi="ar"/>
        </w:rPr>
        <w:t>满意度指标（10分） 调查群众对法院办理案件满意度，调查中满意和较满意群众数量占全部调查人数比率的90%以上。</w:t>
      </w:r>
    </w:p>
    <w:p w14:paraId="4DE87F2C">
      <w:pPr>
        <w:keepNext w:val="0"/>
        <w:keepLines w:val="0"/>
        <w:pageBreakBefore w:val="0"/>
        <w:kinsoku/>
        <w:wordWrap/>
        <w:overflowPunct/>
        <w:topLinePunct w:val="0"/>
        <w:autoSpaceDE/>
        <w:bidi w:val="0"/>
        <w:spacing w:line="560" w:lineRule="exact"/>
        <w:ind w:firstLine="640" w:firstLineChars="200"/>
        <w:jc w:val="left"/>
        <w:rPr>
          <w:rFonts w:hint="eastAsia" w:ascii="仿宋_GB2312" w:hAnsi="仿宋_GB2312" w:eastAsia="仿宋_GB2312" w:cs="仿宋_GB2312"/>
          <w:color w:val="000000"/>
          <w:kern w:val="0"/>
          <w:sz w:val="32"/>
          <w:szCs w:val="32"/>
          <w:shd w:val="clear" w:color="auto" w:fill="FFFFFF"/>
          <w:lang w:bidi="ar"/>
        </w:rPr>
      </w:pPr>
      <w:r>
        <w:rPr>
          <w:rFonts w:hint="eastAsia" w:ascii="仿宋_GB2312" w:hAnsi="仿宋_GB2312" w:eastAsia="仿宋_GB2312" w:cs="仿宋_GB2312"/>
          <w:color w:val="000000"/>
          <w:kern w:val="0"/>
          <w:sz w:val="32"/>
          <w:szCs w:val="32"/>
          <w:shd w:val="clear" w:color="auto" w:fill="FFFFFF"/>
          <w:lang w:eastAsia="zh-CN" w:bidi="ar"/>
        </w:rPr>
        <w:t>支出合理性</w:t>
      </w:r>
      <w:r>
        <w:rPr>
          <w:rFonts w:hint="eastAsia" w:ascii="仿宋_GB2312" w:hAnsi="仿宋_GB2312" w:eastAsia="仿宋_GB2312" w:cs="仿宋_GB2312"/>
          <w:color w:val="000000"/>
          <w:kern w:val="0"/>
          <w:sz w:val="32"/>
          <w:szCs w:val="32"/>
          <w:shd w:val="clear" w:color="auto" w:fill="FFFFFF"/>
          <w:lang w:bidi="ar"/>
        </w:rPr>
        <w:t>情况分析（10分）</w:t>
      </w:r>
      <w:r>
        <w:rPr>
          <w:rFonts w:hint="eastAsia" w:ascii="仿宋_GB2312" w:hAnsi="仿宋_GB2312" w:eastAsia="仿宋_GB2312" w:cs="仿宋_GB2312"/>
          <w:color w:val="000000"/>
          <w:kern w:val="0"/>
          <w:sz w:val="32"/>
          <w:szCs w:val="32"/>
          <w:shd w:val="clear" w:color="auto" w:fill="FFFFFF"/>
          <w:lang w:val="en-US" w:eastAsia="zh-CN" w:bidi="ar"/>
        </w:rPr>
        <w:t xml:space="preserve"> </w:t>
      </w:r>
      <w:r>
        <w:rPr>
          <w:rFonts w:hint="eastAsia" w:ascii="仿宋_GB2312" w:hAnsi="仿宋_GB2312" w:eastAsia="仿宋_GB2312" w:cs="仿宋_GB2312"/>
          <w:color w:val="000000"/>
          <w:kern w:val="0"/>
          <w:sz w:val="32"/>
          <w:szCs w:val="32"/>
          <w:shd w:val="clear" w:color="auto" w:fill="FFFFFF"/>
          <w:lang w:bidi="ar"/>
        </w:rPr>
        <w:t>经评估，</w:t>
      </w:r>
      <w:r>
        <w:rPr>
          <w:rFonts w:hint="eastAsia" w:ascii="仿宋_GB2312" w:hAnsi="仿宋_GB2312" w:eastAsia="仿宋_GB2312" w:cs="仿宋_GB2312"/>
          <w:color w:val="000000"/>
          <w:kern w:val="0"/>
          <w:sz w:val="32"/>
          <w:szCs w:val="32"/>
          <w:shd w:val="clear" w:color="auto" w:fill="FFFFFF"/>
          <w:lang w:eastAsia="zh-CN" w:bidi="ar"/>
        </w:rPr>
        <w:t>全局整体支出的每项</w:t>
      </w:r>
      <w:r>
        <w:rPr>
          <w:rFonts w:hint="eastAsia" w:ascii="仿宋_GB2312" w:hAnsi="仿宋_GB2312" w:eastAsia="仿宋_GB2312" w:cs="仿宋_GB2312"/>
          <w:color w:val="000000"/>
          <w:kern w:val="0"/>
          <w:sz w:val="32"/>
          <w:szCs w:val="32"/>
          <w:shd w:val="clear" w:color="auto" w:fill="FFFFFF"/>
          <w:lang w:bidi="ar"/>
        </w:rPr>
        <w:t>依据</w:t>
      </w:r>
      <w:r>
        <w:rPr>
          <w:rFonts w:hint="eastAsia" w:ascii="仿宋_GB2312" w:hAnsi="仿宋_GB2312" w:eastAsia="仿宋_GB2312" w:cs="仿宋_GB2312"/>
          <w:color w:val="000000"/>
          <w:kern w:val="0"/>
          <w:sz w:val="32"/>
          <w:szCs w:val="32"/>
          <w:shd w:val="clear" w:color="auto" w:fill="FFFFFF"/>
          <w:lang w:eastAsia="zh-CN" w:bidi="ar"/>
        </w:rPr>
        <w:t>充分、</w:t>
      </w:r>
      <w:r>
        <w:rPr>
          <w:rFonts w:hint="eastAsia" w:ascii="仿宋_GB2312" w:hAnsi="仿宋_GB2312" w:eastAsia="仿宋_GB2312" w:cs="仿宋_GB2312"/>
          <w:color w:val="000000"/>
          <w:kern w:val="0"/>
          <w:sz w:val="32"/>
          <w:szCs w:val="32"/>
          <w:shd w:val="clear" w:color="auto" w:fill="FFFFFF"/>
          <w:lang w:bidi="ar"/>
        </w:rPr>
        <w:t>合理。</w:t>
      </w:r>
    </w:p>
    <w:p w14:paraId="179C6653">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2F17569A">
      <w:pPr>
        <w:spacing w:line="560" w:lineRule="exact"/>
        <w:ind w:firstLine="640" w:firstLineChars="200"/>
        <w:rPr>
          <w:rFonts w:hint="eastAsia" w:ascii="仿宋" w:hAnsi="仿宋" w:eastAsia="仿宋"/>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25</w:t>
      </w:r>
      <w:r>
        <w:rPr>
          <w:rFonts w:hint="eastAsia" w:ascii="仿宋_GB2312" w:eastAsia="仿宋_GB2312"/>
          <w:sz w:val="32"/>
          <w:szCs w:val="32"/>
        </w:rPr>
        <w:t>年度，</w:t>
      </w:r>
      <w:r>
        <w:rPr>
          <w:rFonts w:hint="eastAsia" w:ascii="仿宋_GB2312" w:eastAsia="仿宋_GB2312"/>
          <w:sz w:val="32"/>
          <w:szCs w:val="32"/>
          <w:lang w:eastAsia="zh-CN"/>
        </w:rPr>
        <w:t>我</w:t>
      </w:r>
      <w:r>
        <w:rPr>
          <w:rFonts w:hint="eastAsia" w:ascii="仿宋_GB2312" w:eastAsia="仿宋_GB2312"/>
          <w:sz w:val="32"/>
          <w:szCs w:val="32"/>
          <w:lang w:val="en-US" w:eastAsia="zh-CN"/>
        </w:rPr>
        <w:t>院</w:t>
      </w:r>
      <w:r>
        <w:rPr>
          <w:rFonts w:hint="eastAsia" w:ascii="仿宋_GB2312" w:eastAsia="仿宋_GB2312"/>
          <w:sz w:val="32"/>
          <w:szCs w:val="32"/>
          <w:lang w:eastAsia="zh-CN"/>
        </w:rPr>
        <w:t>的各项</w:t>
      </w:r>
      <w:r>
        <w:rPr>
          <w:rFonts w:hint="eastAsia" w:ascii="仿宋_GB2312" w:eastAsia="仿宋_GB2312"/>
          <w:sz w:val="32"/>
          <w:szCs w:val="32"/>
        </w:rPr>
        <w:t>经费</w:t>
      </w:r>
      <w:r>
        <w:rPr>
          <w:rFonts w:hint="eastAsia" w:ascii="仿宋_GB2312" w:hAnsi="宋体" w:eastAsia="仿宋_GB2312" w:cs="宋体"/>
          <w:color w:val="000000"/>
          <w:sz w:val="32"/>
          <w:szCs w:val="32"/>
        </w:rPr>
        <w:t>投入</w:t>
      </w:r>
      <w:r>
        <w:rPr>
          <w:rFonts w:hint="eastAsia" w:ascii="仿宋_GB2312" w:eastAsia="仿宋_GB2312"/>
          <w:sz w:val="32"/>
          <w:szCs w:val="32"/>
          <w:lang w:eastAsia="zh-CN"/>
        </w:rPr>
        <w:t>支出</w:t>
      </w:r>
      <w:r>
        <w:rPr>
          <w:rFonts w:hint="eastAsia" w:ascii="仿宋_GB2312" w:hAnsi="宋体" w:eastAsia="仿宋_GB2312" w:cs="宋体"/>
          <w:color w:val="000000"/>
          <w:sz w:val="32"/>
          <w:szCs w:val="32"/>
        </w:rPr>
        <w:t>合理，资金落实到位，使用规范透明，监督及时有效，</w:t>
      </w:r>
      <w:r>
        <w:rPr>
          <w:rFonts w:hint="eastAsia" w:ascii="仿宋_GB2312" w:hAnsi="仿宋_GB2312" w:eastAsia="仿宋_GB2312" w:cs="仿宋_GB2312"/>
          <w:kern w:val="0"/>
          <w:sz w:val="32"/>
          <w:szCs w:val="32"/>
          <w:u w:val="none"/>
          <w:shd w:val="clear" w:color="auto" w:fill="FFFFFF"/>
          <w:lang w:val="en-US" w:eastAsia="zh-CN" w:bidi="ar"/>
        </w:rPr>
        <w:t>扎实做好各项审执工作。</w:t>
      </w:r>
      <w:r>
        <w:rPr>
          <w:rFonts w:hint="eastAsia" w:ascii="仿宋_GB2312" w:eastAsia="仿宋_GB2312"/>
          <w:sz w:val="32"/>
          <w:szCs w:val="32"/>
        </w:rPr>
        <w:t>总体来看，</w:t>
      </w:r>
      <w:r>
        <w:rPr>
          <w:rFonts w:hint="eastAsia" w:ascii="仿宋_GB2312" w:eastAsia="仿宋_GB2312"/>
          <w:sz w:val="32"/>
          <w:szCs w:val="32"/>
          <w:lang w:eastAsia="zh-CN"/>
        </w:rPr>
        <w:t>我</w:t>
      </w:r>
      <w:r>
        <w:rPr>
          <w:rFonts w:hint="eastAsia" w:ascii="仿宋_GB2312" w:eastAsia="仿宋_GB2312"/>
          <w:sz w:val="32"/>
          <w:szCs w:val="32"/>
          <w:lang w:val="en-US" w:eastAsia="zh-CN"/>
        </w:rPr>
        <w:t>院</w:t>
      </w:r>
      <w:r>
        <w:rPr>
          <w:rFonts w:hint="eastAsia" w:ascii="仿宋_GB2312" w:eastAsia="仿宋_GB2312"/>
          <w:sz w:val="32"/>
          <w:szCs w:val="32"/>
          <w:lang w:eastAsia="zh-CN"/>
        </w:rPr>
        <w:t>整体支出</w:t>
      </w:r>
      <w:r>
        <w:rPr>
          <w:rFonts w:hint="eastAsia" w:ascii="仿宋_GB2312" w:eastAsia="仿宋_GB2312"/>
          <w:sz w:val="32"/>
          <w:szCs w:val="32"/>
        </w:rPr>
        <w:t>完成情况好，取得了良好的社会效益，绩效评价总</w:t>
      </w:r>
      <w:r>
        <w:rPr>
          <w:rFonts w:hint="eastAsia" w:ascii="仿宋_GB2312" w:eastAsia="仿宋_GB2312"/>
          <w:sz w:val="32"/>
          <w:szCs w:val="32"/>
          <w:highlight w:val="none"/>
        </w:rPr>
        <w:t>体得分为</w:t>
      </w:r>
      <w:r>
        <w:rPr>
          <w:rFonts w:hint="eastAsia" w:ascii="仿宋_GB2312" w:eastAsia="仿宋_GB2312"/>
          <w:sz w:val="32"/>
          <w:szCs w:val="32"/>
          <w:highlight w:val="none"/>
          <w:lang w:val="en-US" w:eastAsia="zh-CN"/>
        </w:rPr>
        <w:t>97</w:t>
      </w:r>
      <w:r>
        <w:rPr>
          <w:rFonts w:hint="eastAsia" w:ascii="仿宋_GB2312" w:eastAsia="仿宋_GB2312"/>
          <w:sz w:val="32"/>
          <w:szCs w:val="32"/>
          <w:highlight w:val="none"/>
        </w:rPr>
        <w:t>分</w:t>
      </w:r>
      <w:r>
        <w:rPr>
          <w:rFonts w:hint="eastAsia" w:ascii="仿宋_GB2312" w:eastAsia="仿宋_GB2312"/>
          <w:sz w:val="32"/>
          <w:szCs w:val="32"/>
        </w:rPr>
        <w:t>，自评为</w:t>
      </w:r>
      <w:r>
        <w:rPr>
          <w:rFonts w:hint="eastAsia" w:ascii="仿宋_GB2312" w:eastAsia="仿宋_GB2312"/>
          <w:sz w:val="32"/>
          <w:szCs w:val="32"/>
          <w:highlight w:val="none"/>
        </w:rPr>
        <w:t>优秀</w:t>
      </w:r>
      <w:r>
        <w:rPr>
          <w:rFonts w:hint="eastAsia" w:ascii="仿宋_GB2312" w:eastAsia="仿宋_GB2312"/>
          <w:sz w:val="32"/>
          <w:szCs w:val="32"/>
        </w:rPr>
        <w:t>。</w:t>
      </w:r>
    </w:p>
    <w:p w14:paraId="55A41225">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5972F63C">
      <w:pPr>
        <w:spacing w:line="56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（一）存在的主要问题</w:t>
      </w:r>
    </w:p>
    <w:p w14:paraId="3539CEAA">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对于绩效评价的认识不够深入，把预算绩效等同于工作目标、工作考核和业务管理。绩效目标和指标往往根据活动实际完成情况制定，对活动执行过程有效约束不够，存在一定偏差。</w:t>
      </w:r>
    </w:p>
    <w:p w14:paraId="2E4FD2EB">
      <w:pPr>
        <w:numPr>
          <w:ilvl w:val="0"/>
          <w:numId w:val="1"/>
        </w:numPr>
        <w:spacing w:line="560" w:lineRule="exact"/>
        <w:ind w:left="0" w:leftChars="0" w:firstLine="643" w:firstLineChars="200"/>
        <w:rPr>
          <w:rFonts w:hint="eastAsia" w:ascii="仿宋_GB2312" w:eastAsia="仿宋_GB2312"/>
          <w:b/>
          <w:bCs/>
          <w:sz w:val="32"/>
          <w:szCs w:val="32"/>
        </w:rPr>
      </w:pPr>
      <w:r>
        <w:rPr>
          <w:rFonts w:hint="eastAsia" w:ascii="仿宋_GB2312" w:eastAsia="仿宋_GB2312"/>
          <w:b/>
          <w:bCs/>
          <w:sz w:val="32"/>
          <w:szCs w:val="32"/>
        </w:rPr>
        <w:t>针对问题提出具体的改进措施或建议</w:t>
      </w:r>
    </w:p>
    <w:p w14:paraId="4EAC573B">
      <w:pPr>
        <w:numPr>
          <w:ilvl w:val="0"/>
          <w:numId w:val="0"/>
        </w:numPr>
        <w:spacing w:line="560" w:lineRule="exact"/>
        <w:ind w:leftChars="2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加强绩效评价管理制度和流程的建设，进一步深化、完善</w:t>
      </w:r>
    </w:p>
    <w:p w14:paraId="31FC82F4">
      <w:pPr>
        <w:numPr>
          <w:ilvl w:val="0"/>
          <w:numId w:val="0"/>
        </w:numPr>
        <w:spacing w:line="560" w:lineRule="exact"/>
        <w:rPr>
          <w:rFonts w:hint="default" w:ascii="仿宋_GB2312" w:eastAsia="仿宋_GB2312"/>
          <w:sz w:val="32"/>
          <w:szCs w:val="32"/>
          <w:lang w:val="en-US" w:eastAsia="zh-CN"/>
        </w:rPr>
      </w:pPr>
      <w:r>
        <w:rPr>
          <w:rFonts w:hint="eastAsia" w:ascii="仿宋_GB2312" w:eastAsia="仿宋_GB2312"/>
          <w:sz w:val="32"/>
          <w:szCs w:val="32"/>
          <w:lang w:val="en-US" w:eastAsia="zh-CN"/>
        </w:rPr>
        <w:t>绩效管理体系，建立全过程的预算绩效管理机制，促进绩效管理工作向广度和深度延伸。</w:t>
      </w:r>
    </w:p>
    <w:p w14:paraId="57DAB05C">
      <w:pPr>
        <w:spacing w:line="560" w:lineRule="exact"/>
        <w:ind w:firstLine="640" w:firstLineChars="200"/>
        <w:rPr>
          <w:rFonts w:hint="eastAsia" w:ascii="仿宋_GB2312" w:eastAsia="仿宋_GB2312"/>
          <w:sz w:val="32"/>
          <w:szCs w:val="32"/>
        </w:rPr>
      </w:pPr>
    </w:p>
    <w:p w14:paraId="7828D202">
      <w:pPr>
        <w:spacing w:line="560" w:lineRule="exact"/>
        <w:ind w:firstLine="640" w:firstLineChars="200"/>
        <w:rPr>
          <w:rFonts w:hint="eastAsia" w:ascii="仿宋_GB2312" w:eastAsia="仿宋_GB2312"/>
          <w:sz w:val="32"/>
          <w:szCs w:val="32"/>
        </w:rPr>
      </w:pPr>
    </w:p>
    <w:p w14:paraId="2B78F229">
      <w:pPr>
        <w:spacing w:line="560" w:lineRule="exact"/>
        <w:ind w:firstLine="640" w:firstLineChars="200"/>
        <w:rPr>
          <w:rFonts w:hint="eastAsia" w:ascii="仿宋_GB2312" w:eastAsia="仿宋_GB2312"/>
          <w:sz w:val="32"/>
          <w:szCs w:val="32"/>
        </w:rPr>
      </w:pPr>
    </w:p>
    <w:p w14:paraId="4B717A9E">
      <w:pPr>
        <w:spacing w:line="560" w:lineRule="exact"/>
        <w:ind w:firstLine="640" w:firstLineChars="200"/>
        <w:rPr>
          <w:rFonts w:hint="eastAsia" w:ascii="仿宋_GB2312" w:eastAsia="仿宋_GB2312"/>
          <w:sz w:val="32"/>
          <w:szCs w:val="32"/>
        </w:rPr>
      </w:pPr>
    </w:p>
    <w:p w14:paraId="174F0B48">
      <w:pPr>
        <w:spacing w:line="560" w:lineRule="exact"/>
        <w:ind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2026年4月28日</w:t>
      </w:r>
    </w:p>
    <w:p w14:paraId="65862311">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DengXian-Regular">
    <w:altName w:val="宋体"/>
    <w:panose1 w:val="00000000000000000000"/>
    <w:charset w:val="86"/>
    <w:family w:val="auto"/>
    <w:pitch w:val="default"/>
    <w:sig w:usb0="00000000" w:usb1="00000000" w:usb2="0000001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3E62">
    <w:pPr>
      <w:pStyle w:val="3"/>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1CD7A13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1F187B"/>
    <w:rsid w:val="007E6C1F"/>
    <w:rsid w:val="00956A93"/>
    <w:rsid w:val="009E575C"/>
    <w:rsid w:val="00AF167E"/>
    <w:rsid w:val="00AF566A"/>
    <w:rsid w:val="00B478EA"/>
    <w:rsid w:val="00B6553A"/>
    <w:rsid w:val="00BC6576"/>
    <w:rsid w:val="00CE06BA"/>
    <w:rsid w:val="00F441CC"/>
    <w:rsid w:val="01B104CA"/>
    <w:rsid w:val="02106AB0"/>
    <w:rsid w:val="02B43A28"/>
    <w:rsid w:val="046F331E"/>
    <w:rsid w:val="07956271"/>
    <w:rsid w:val="09721397"/>
    <w:rsid w:val="0BB63BED"/>
    <w:rsid w:val="0DEC0C03"/>
    <w:rsid w:val="0EB97A43"/>
    <w:rsid w:val="0EBD2122"/>
    <w:rsid w:val="0F214EAE"/>
    <w:rsid w:val="11B71E6A"/>
    <w:rsid w:val="152E4CA7"/>
    <w:rsid w:val="1AAF0063"/>
    <w:rsid w:val="1BE140DE"/>
    <w:rsid w:val="1E542E40"/>
    <w:rsid w:val="21B026A3"/>
    <w:rsid w:val="22250FCC"/>
    <w:rsid w:val="23B37A7D"/>
    <w:rsid w:val="248C197D"/>
    <w:rsid w:val="252959AF"/>
    <w:rsid w:val="25F31F6B"/>
    <w:rsid w:val="277A6671"/>
    <w:rsid w:val="292D35B7"/>
    <w:rsid w:val="33EB6CFF"/>
    <w:rsid w:val="35A12947"/>
    <w:rsid w:val="37387040"/>
    <w:rsid w:val="3A347BA7"/>
    <w:rsid w:val="3B625C0A"/>
    <w:rsid w:val="3CEE1963"/>
    <w:rsid w:val="41241AED"/>
    <w:rsid w:val="436B78D3"/>
    <w:rsid w:val="482F6B0F"/>
    <w:rsid w:val="4C9C27FE"/>
    <w:rsid w:val="4D351B4B"/>
    <w:rsid w:val="50772144"/>
    <w:rsid w:val="50923421"/>
    <w:rsid w:val="512260B4"/>
    <w:rsid w:val="52BD6ACB"/>
    <w:rsid w:val="53B034B1"/>
    <w:rsid w:val="55537534"/>
    <w:rsid w:val="56074FF7"/>
    <w:rsid w:val="561A74F1"/>
    <w:rsid w:val="58B17416"/>
    <w:rsid w:val="597244E8"/>
    <w:rsid w:val="5EB71C30"/>
    <w:rsid w:val="5F553907"/>
    <w:rsid w:val="66AF0CE5"/>
    <w:rsid w:val="682556EC"/>
    <w:rsid w:val="68AC2130"/>
    <w:rsid w:val="69262831"/>
    <w:rsid w:val="6AC537CF"/>
    <w:rsid w:val="6E5B14A6"/>
    <w:rsid w:val="711B255E"/>
    <w:rsid w:val="7BB51E06"/>
    <w:rsid w:val="7C387F7C"/>
    <w:rsid w:val="7FA04967"/>
    <w:rsid w:val="7FE83423"/>
    <w:rsid w:val="7FF512A8"/>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7">
    <w:name w:val="插入文本样式-插入总体目标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3257</Words>
  <Characters>3457</Characters>
  <Lines>4</Lines>
  <Paragraphs>1</Paragraphs>
  <TotalTime>455</TotalTime>
  <ScaleCrop>false</ScaleCrop>
  <LinksUpToDate>false</LinksUpToDate>
  <CharactersWithSpaces>3504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灵魂有香气</cp:lastModifiedBy>
  <cp:lastPrinted>2026-04-27T08:34:08Z</cp:lastPrinted>
  <dcterms:modified xsi:type="dcterms:W3CDTF">2026-04-27T08:34:09Z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96934721B1514D3FBAA28020338CE855_12</vt:lpwstr>
  </property>
  <property fmtid="{D5CDD505-2E9C-101B-9397-08002B2CF9AE}" pid="4" name="KSOTemplateDocerSaveRecord">
    <vt:lpwstr>eyJoZGlkIjoiNWMyNjllMmU0YTcwZjNhMTY0NmE1Zjk3MGY5NmI4MWYiLCJ1c2VySWQiOiI0Mjc3MjcxNTQifQ==</vt:lpwstr>
  </property>
</Properties>
</file>