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2C21C">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0658804C">
      <w:pPr>
        <w:keepNext w:val="0"/>
        <w:keepLines w:val="0"/>
        <w:pageBreakBefore w:val="0"/>
        <w:widowControl w:val="0"/>
        <w:kinsoku/>
        <w:wordWrap/>
        <w:overflowPunct/>
        <w:topLinePunct w:val="0"/>
        <w:autoSpaceDE/>
        <w:autoSpaceDN/>
        <w:bidi w:val="0"/>
        <w:spacing w:line="540" w:lineRule="exact"/>
        <w:jc w:val="center"/>
        <w:textAlignment w:val="auto"/>
        <w:rPr>
          <w:rFonts w:ascii="宋体" w:hAnsi="宋体" w:cs="宋体"/>
          <w:b/>
          <w:bCs/>
          <w:sz w:val="44"/>
          <w:szCs w:val="44"/>
        </w:rPr>
      </w:pPr>
    </w:p>
    <w:p w14:paraId="47D4E091">
      <w:pPr>
        <w:keepNext w:val="0"/>
        <w:keepLines w:val="0"/>
        <w:pageBreakBefore w:val="0"/>
        <w:widowControl w:val="0"/>
        <w:kinsoku/>
        <w:wordWrap/>
        <w:overflowPunct/>
        <w:topLinePunct w:val="0"/>
        <w:autoSpaceDE/>
        <w:autoSpaceDN/>
        <w:bidi w:val="0"/>
        <w:spacing w:line="540" w:lineRule="exact"/>
        <w:jc w:val="center"/>
        <w:textAlignment w:val="auto"/>
        <w:rPr>
          <w:rFonts w:hint="eastAsia" w:ascii="宋体" w:hAnsi="宋体" w:cs="宋体"/>
          <w:b/>
          <w:bCs/>
          <w:sz w:val="44"/>
          <w:szCs w:val="44"/>
        </w:rPr>
      </w:pPr>
      <w:r>
        <w:rPr>
          <w:rFonts w:hint="eastAsia" w:ascii="宋体" w:hAnsi="宋体" w:cs="宋体"/>
          <w:b/>
          <w:bCs/>
          <w:sz w:val="44"/>
          <w:szCs w:val="44"/>
          <w:lang w:eastAsia="zh-CN"/>
        </w:rPr>
        <w:t>石家庄市文化广电和旅游局</w:t>
      </w:r>
      <w:r>
        <w:rPr>
          <w:rFonts w:hint="eastAsia" w:ascii="宋体" w:hAnsi="宋体" w:cs="宋体"/>
          <w:b/>
          <w:bCs/>
          <w:sz w:val="44"/>
          <w:szCs w:val="44"/>
        </w:rPr>
        <w:t>部门</w:t>
      </w:r>
    </w:p>
    <w:p w14:paraId="71578970">
      <w:pPr>
        <w:keepNext w:val="0"/>
        <w:keepLines w:val="0"/>
        <w:pageBreakBefore w:val="0"/>
        <w:widowControl w:val="0"/>
        <w:kinsoku/>
        <w:wordWrap/>
        <w:overflowPunct/>
        <w:topLinePunct w:val="0"/>
        <w:autoSpaceDE/>
        <w:autoSpaceDN/>
        <w:bidi w:val="0"/>
        <w:spacing w:line="540" w:lineRule="exact"/>
        <w:jc w:val="center"/>
        <w:textAlignment w:val="auto"/>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14:paraId="7DB97C26">
      <w:pPr>
        <w:keepNext w:val="0"/>
        <w:keepLines w:val="0"/>
        <w:pageBreakBefore w:val="0"/>
        <w:widowControl w:val="0"/>
        <w:kinsoku/>
        <w:wordWrap/>
        <w:overflowPunct/>
        <w:topLinePunct w:val="0"/>
        <w:autoSpaceDE/>
        <w:autoSpaceDN/>
        <w:bidi w:val="0"/>
        <w:spacing w:line="540" w:lineRule="exact"/>
        <w:jc w:val="center"/>
        <w:textAlignment w:val="auto"/>
        <w:rPr>
          <w:rFonts w:ascii="华文楷体" w:eastAsia="华文楷体"/>
          <w:sz w:val="32"/>
          <w:szCs w:val="32"/>
        </w:rPr>
      </w:pPr>
    </w:p>
    <w:p w14:paraId="49821B4E">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 w:hAnsi="仿宋" w:eastAsia="仿宋"/>
          <w:sz w:val="32"/>
          <w:szCs w:val="32"/>
        </w:rPr>
      </w:pPr>
      <w:r>
        <w:rPr>
          <w:rFonts w:hint="eastAsia" w:ascii="仿宋" w:hAnsi="仿宋" w:eastAsia="仿宋"/>
          <w:sz w:val="32"/>
          <w:szCs w:val="32"/>
        </w:rPr>
        <w:t>贯彻落实市委市政府《关于全面落实预算绩效管理的实施意见》（石发﹝2019﹞8号）文件精神，遵循“科学性、规范性、客观性和公正性”的原则，对</w:t>
      </w:r>
      <w:r>
        <w:rPr>
          <w:rFonts w:hint="eastAsia" w:ascii="仿宋" w:hAnsi="仿宋" w:eastAsia="仿宋"/>
          <w:sz w:val="32"/>
          <w:szCs w:val="32"/>
          <w:lang w:eastAsia="zh-CN"/>
        </w:rPr>
        <w:t>石家庄市文化广电和旅游局</w:t>
      </w:r>
      <w:r>
        <w:rPr>
          <w:rFonts w:hint="eastAsia" w:ascii="仿宋" w:hAnsi="仿宋" w:eastAsia="仿宋"/>
          <w:sz w:val="32"/>
          <w:szCs w:val="32"/>
        </w:rPr>
        <w:t>部门202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年整体支出情况实施了财政支出绩效自评，形成本评价报告。</w:t>
      </w:r>
    </w:p>
    <w:p w14:paraId="104816EB">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3E4236F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（一）部门概况</w:t>
      </w:r>
    </w:p>
    <w:p w14:paraId="6943524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1．主要职能。</w:t>
      </w:r>
    </w:p>
    <w:p w14:paraId="0F38BB4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贯彻执行党和国家文化、广播电视、网络视听节目服务管理和旅游工作方针政策和法律法规。研究拟订全市文化、广播电视和旅游政策措施，起草全市文化、广播电视、网络视听节目和旅游地方性法规、政府规章草案。</w:t>
      </w:r>
    </w:p>
    <w:p w14:paraId="3B41328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(2)拟订全市文化事业、文化产业、广播电视领域和旅游业发展规划并组织实施，推进文化、广播电视和旅游融合发展，推进文化、广播电视和旅游体制机制改革。</w:t>
      </w:r>
    </w:p>
    <w:p w14:paraId="1B36724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(3)管理和组织全市性重大文化和旅游活动，组织实施全市广播电视公共服务重大公益工程和公益活动。监管全市重点文化和旅游设施建设，组织石家庄文化和旅游整体形象推广，促进文化产业和旅游产业对外合作和国际市场推广;负责组织推进全</w:t>
      </w:r>
      <w:r>
        <w:rPr>
          <w:rFonts w:hint="eastAsia" w:ascii="仿宋" w:hAnsi="仿宋" w:eastAsia="仿宋"/>
          <w:sz w:val="32"/>
          <w:szCs w:val="32"/>
          <w:lang w:eastAsia="zh-CN"/>
        </w:rPr>
        <w:t>市</w:t>
      </w:r>
      <w:bookmarkStart w:id="0" w:name="_GoBack"/>
      <w:bookmarkEnd w:id="0"/>
      <w:r>
        <w:rPr>
          <w:rFonts w:hint="eastAsia" w:ascii="仿宋" w:hAnsi="仿宋" w:eastAsia="仿宋"/>
          <w:sz w:val="32"/>
          <w:szCs w:val="32"/>
        </w:rPr>
        <w:t>旅游工作。</w:t>
      </w:r>
    </w:p>
    <w:p w14:paraId="47647F9E">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(4)指导、管理全市文艺事业。指导艺术创作生产，推动全市各门类艺术、各艺术品种发展。指导全市电视剧行业发展和电视剧创作生产。</w:t>
      </w:r>
    </w:p>
    <w:p w14:paraId="23BFC44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(5)负责全市公共文化和旅游事业发展。推动全市文化、广播电视和旅游公共服务体系建设，深入实施文化惠民工程，统筹推进全市文化、广播电视和旅游服务标准化、均等化。</w:t>
      </w:r>
    </w:p>
    <w:p w14:paraId="5D09D12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(6)推进全市文化、广播电视和旅游科技创新发展，推进文化和旅游行业信息化、标准化建设;负责对全市广播电视节目传输覆盖、监听、监看、监测的监管，会同有关部门做好对网络视听节目和公共视听载体播放的视听节目的监管工作，指导、监管全市广播电視广告播放。推进全市应急广播体系建设，监管协调调度全市广播电视安全播出。</w:t>
      </w:r>
    </w:p>
    <w:p w14:paraId="31F20E2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(7)负责对全市各类广播电视机构进行业务指导和监管，会同有关部门对全市网络视听节目服务机构进行管理，推进广播电视与新媒体新技术新业态融合发展，推进广电网与电信网、互联网三网融合。</w:t>
      </w:r>
    </w:p>
    <w:p w14:paraId="0C825B5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(8)负责全市非物质文化遗产保护，推动非物质文化遗产保护、传承、普及、弘扬和振兴。</w:t>
      </w:r>
    </w:p>
    <w:p w14:paraId="4ED4E1D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(9)统筹规划全市文化产业、广播电视产业和旅游产业。组织实施文化和旅游资源普查、挖掘、保护和开发利用工作，促进文化产业、广播电视产业和旅游产业发展。</w:t>
      </w:r>
    </w:p>
    <w:p w14:paraId="305B276E">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(10)指导全市文化、广播电视和旅游市场发展。对文化、广播电视和旅游市场经营进行行业监管，推进全市文化、广播电视和旅游行业信用体系建设，依法规范文化、广播电视和旅游市场。</w:t>
      </w:r>
    </w:p>
    <w:p w14:paraId="18F05CD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(11)负责文化、文物、新闻出版(版权)、广播电视、电影、旅游等市场综合执法;负责督查督办全市性、跨区域性大案要案，维护市场秩序。</w:t>
      </w:r>
    </w:p>
    <w:p w14:paraId="3CB59FC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(12)负责文化遗产的管理和保护，指导和管理文物、博物馆事业，组织指导文物的保护抢救、考古发掘和开发利用工作。</w:t>
      </w:r>
    </w:p>
    <w:p w14:paraId="6FC0ACC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(13)承担全市文化、广播电视和旅游行业安全综合协调和监督管理工作，负责全市文化、广播电视和旅游行业突发应急事件的处理工作。</w:t>
      </w:r>
    </w:p>
    <w:p w14:paraId="1D02481E">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(14)指导、管理全市文化、广播电视和旅游对外及对港澳台交流、合作和宣传、推广工作，组织大型文化、广播电视和旅游对外及对港澳台交流活动。</w:t>
      </w:r>
    </w:p>
    <w:p w14:paraId="0530EB5E">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(15)完成市委、市政府交办的其他任务。</w:t>
      </w:r>
    </w:p>
    <w:p w14:paraId="6F3020F4">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outlineLvl w:val="2"/>
        <w:rPr>
          <w:rFonts w:hint="eastAsia" w:ascii="仿宋_GB2312" w:hAnsi="仿宋" w:eastAsia="仿宋_GB2312"/>
          <w:sz w:val="32"/>
          <w:szCs w:val="32"/>
        </w:rPr>
      </w:pPr>
      <w:r>
        <w:rPr>
          <w:rFonts w:hint="eastAsia" w:ascii="仿宋_GB2312" w:hAnsi="仿宋" w:eastAsia="仿宋_GB2312"/>
          <w:sz w:val="32"/>
          <w:szCs w:val="32"/>
        </w:rPr>
        <w:t>2．机构情况</w:t>
      </w:r>
    </w:p>
    <w:p w14:paraId="70C42E4C">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outlineLvl w:val="9"/>
        <w:rPr>
          <w:rFonts w:hint="eastAsia" w:ascii="仿宋" w:hAnsi="仿宋" w:eastAsia="仿宋_GB2312"/>
          <w:sz w:val="32"/>
          <w:szCs w:val="32"/>
          <w:lang w:eastAsia="zh-CN"/>
        </w:rPr>
      </w:pPr>
      <w:r>
        <w:rPr>
          <w:rFonts w:hint="eastAsia" w:ascii="仿宋" w:hAnsi="仿宋" w:eastAsia="仿宋"/>
          <w:sz w:val="32"/>
          <w:szCs w:val="32"/>
        </w:rPr>
        <w:t>本部门的独立核算单位（以下简称“单位”）共10个</w:t>
      </w:r>
      <w:r>
        <w:rPr>
          <w:rFonts w:hint="eastAsia" w:ascii="仿宋" w:hAnsi="仿宋" w:eastAsia="仿宋"/>
          <w:sz w:val="32"/>
          <w:szCs w:val="32"/>
          <w:lang w:eastAsia="zh-CN"/>
        </w:rPr>
        <w:t>。</w:t>
      </w:r>
    </w:p>
    <w:tbl>
      <w:tblPr>
        <w:tblStyle w:val="4"/>
        <w:tblW w:w="4997"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145"/>
        <w:gridCol w:w="4485"/>
        <w:gridCol w:w="3426"/>
      </w:tblGrid>
      <w:tr w14:paraId="47D97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632" w:type="pct"/>
            <w:vAlign w:val="bottom"/>
          </w:tcPr>
          <w:p w14:paraId="520DBF7A">
            <w:pPr>
              <w:keepNext w:val="0"/>
              <w:keepLines w:val="0"/>
              <w:pageBreakBefore w:val="0"/>
              <w:widowControl w:val="0"/>
              <w:kinsoku/>
              <w:wordWrap/>
              <w:overflowPunct/>
              <w:topLinePunct w:val="0"/>
              <w:autoSpaceDE/>
              <w:autoSpaceDN/>
              <w:bidi w:val="0"/>
              <w:adjustRightInd/>
              <w:spacing w:line="540" w:lineRule="exact"/>
              <w:ind w:left="102" w:leftChars="0"/>
              <w:jc w:val="center"/>
              <w:textAlignment w:val="auto"/>
              <w:rPr>
                <w:rFonts w:hint="eastAsia" w:ascii="仿宋" w:hAnsi="仿宋" w:eastAsia="仿宋"/>
                <w:sz w:val="32"/>
                <w:szCs w:val="32"/>
              </w:rPr>
            </w:pPr>
            <w:r>
              <w:rPr>
                <w:rFonts w:hint="eastAsia" w:ascii="仿宋" w:hAnsi="仿宋" w:eastAsia="仿宋" w:cs="仿宋"/>
                <w:sz w:val="28"/>
                <w:szCs w:val="28"/>
              </w:rPr>
              <w:t>序号</w:t>
            </w:r>
          </w:p>
        </w:tc>
        <w:tc>
          <w:tcPr>
            <w:tcW w:w="2475" w:type="pct"/>
            <w:vAlign w:val="bottom"/>
          </w:tcPr>
          <w:p w14:paraId="10DC708D">
            <w:pPr>
              <w:keepNext w:val="0"/>
              <w:keepLines w:val="0"/>
              <w:pageBreakBefore w:val="0"/>
              <w:widowControl w:val="0"/>
              <w:kinsoku/>
              <w:wordWrap/>
              <w:overflowPunct/>
              <w:topLinePunct w:val="0"/>
              <w:autoSpaceDE/>
              <w:autoSpaceDN/>
              <w:bidi w:val="0"/>
              <w:adjustRightInd/>
              <w:spacing w:line="540" w:lineRule="exact"/>
              <w:ind w:left="105" w:leftChars="0"/>
              <w:jc w:val="center"/>
              <w:textAlignment w:val="auto"/>
              <w:rPr>
                <w:rFonts w:hint="eastAsia" w:ascii="仿宋" w:hAnsi="仿宋" w:eastAsia="仿宋"/>
                <w:sz w:val="32"/>
                <w:szCs w:val="32"/>
              </w:rPr>
            </w:pPr>
            <w:r>
              <w:rPr>
                <w:rFonts w:hint="eastAsia" w:ascii="仿宋" w:hAnsi="仿宋" w:eastAsia="仿宋" w:cs="仿宋"/>
                <w:sz w:val="28"/>
                <w:szCs w:val="28"/>
              </w:rPr>
              <w:t>单位名称</w:t>
            </w:r>
          </w:p>
        </w:tc>
        <w:tc>
          <w:tcPr>
            <w:tcW w:w="1891" w:type="pct"/>
            <w:vAlign w:val="bottom"/>
          </w:tcPr>
          <w:p w14:paraId="0B9A4BB1">
            <w:pPr>
              <w:keepNext w:val="0"/>
              <w:keepLines w:val="0"/>
              <w:pageBreakBefore w:val="0"/>
              <w:widowControl w:val="0"/>
              <w:kinsoku/>
              <w:wordWrap/>
              <w:overflowPunct/>
              <w:topLinePunct w:val="0"/>
              <w:autoSpaceDE/>
              <w:autoSpaceDN/>
              <w:bidi w:val="0"/>
              <w:adjustRightInd/>
              <w:spacing w:line="540" w:lineRule="exact"/>
              <w:ind w:left="271" w:leftChars="0"/>
              <w:jc w:val="center"/>
              <w:textAlignment w:val="auto"/>
              <w:rPr>
                <w:rFonts w:hint="eastAsia" w:ascii="仿宋" w:hAnsi="仿宋" w:eastAsia="仿宋"/>
                <w:sz w:val="32"/>
                <w:szCs w:val="32"/>
              </w:rPr>
            </w:pPr>
            <w:r>
              <w:rPr>
                <w:rFonts w:hint="eastAsia" w:ascii="仿宋" w:hAnsi="仿宋" w:eastAsia="仿宋" w:cs="仿宋"/>
                <w:sz w:val="28"/>
                <w:szCs w:val="28"/>
              </w:rPr>
              <w:t>单位基本性质</w:t>
            </w:r>
          </w:p>
        </w:tc>
      </w:tr>
      <w:tr w14:paraId="397AE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pct"/>
            <w:vAlign w:val="center"/>
          </w:tcPr>
          <w:p w14:paraId="3550742E">
            <w:pPr>
              <w:keepNext w:val="0"/>
              <w:keepLines w:val="0"/>
              <w:pageBreakBefore w:val="0"/>
              <w:widowControl w:val="0"/>
              <w:kinsoku/>
              <w:wordWrap/>
              <w:overflowPunct/>
              <w:topLinePunct w:val="0"/>
              <w:autoSpaceDE/>
              <w:autoSpaceDN/>
              <w:bidi w:val="0"/>
              <w:adjustRightInd/>
              <w:spacing w:line="540" w:lineRule="exact"/>
              <w:ind w:left="103" w:leftChars="0"/>
              <w:jc w:val="center"/>
              <w:textAlignment w:val="auto"/>
              <w:rPr>
                <w:rFonts w:hint="eastAsia" w:ascii="仿宋" w:hAnsi="仿宋" w:eastAsia="仿宋"/>
                <w:sz w:val="32"/>
                <w:szCs w:val="32"/>
              </w:rPr>
            </w:pPr>
            <w:r>
              <w:rPr>
                <w:rFonts w:hint="eastAsia" w:ascii="仿宋" w:hAnsi="仿宋" w:eastAsia="仿宋" w:cs="仿宋"/>
                <w:sz w:val="24"/>
                <w:szCs w:val="24"/>
              </w:rPr>
              <w:t>1</w:t>
            </w:r>
          </w:p>
        </w:tc>
        <w:tc>
          <w:tcPr>
            <w:tcW w:w="2475" w:type="pct"/>
            <w:vAlign w:val="center"/>
          </w:tcPr>
          <w:p w14:paraId="00627A6F">
            <w:pPr>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sz w:val="32"/>
                <w:szCs w:val="32"/>
              </w:rPr>
            </w:pPr>
            <w:r>
              <w:rPr>
                <w:rFonts w:hint="eastAsia" w:ascii="仿宋" w:hAnsi="仿宋" w:eastAsia="仿宋" w:cs="仿宋"/>
                <w:sz w:val="24"/>
                <w:szCs w:val="24"/>
              </w:rPr>
              <w:t>石家庄市文化广电和旅游局</w:t>
            </w:r>
          </w:p>
        </w:tc>
        <w:tc>
          <w:tcPr>
            <w:tcW w:w="1891" w:type="pct"/>
            <w:vAlign w:val="center"/>
          </w:tcPr>
          <w:p w14:paraId="550AB51B">
            <w:pPr>
              <w:keepNext w:val="0"/>
              <w:keepLines w:val="0"/>
              <w:pageBreakBefore w:val="0"/>
              <w:widowControl w:val="0"/>
              <w:kinsoku/>
              <w:wordWrap/>
              <w:overflowPunct/>
              <w:topLinePunct w:val="0"/>
              <w:autoSpaceDE/>
              <w:autoSpaceDN/>
              <w:bidi w:val="0"/>
              <w:adjustRightInd/>
              <w:spacing w:line="540" w:lineRule="exact"/>
              <w:ind w:left="106" w:leftChars="0"/>
              <w:jc w:val="center"/>
              <w:textAlignment w:val="auto"/>
              <w:rPr>
                <w:rFonts w:hint="eastAsia" w:ascii="仿宋" w:hAnsi="仿宋" w:eastAsia="仿宋"/>
                <w:sz w:val="32"/>
                <w:szCs w:val="32"/>
              </w:rPr>
            </w:pPr>
            <w:r>
              <w:rPr>
                <w:rFonts w:hint="eastAsia" w:ascii="仿宋" w:hAnsi="仿宋" w:eastAsia="仿宋" w:cs="仿宋"/>
                <w:sz w:val="24"/>
                <w:szCs w:val="24"/>
              </w:rPr>
              <w:t>行政单位</w:t>
            </w:r>
          </w:p>
        </w:tc>
      </w:tr>
      <w:tr w14:paraId="2FE32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pct"/>
            <w:vAlign w:val="center"/>
          </w:tcPr>
          <w:p w14:paraId="4F16C619">
            <w:pPr>
              <w:keepNext w:val="0"/>
              <w:keepLines w:val="0"/>
              <w:pageBreakBefore w:val="0"/>
              <w:widowControl w:val="0"/>
              <w:kinsoku/>
              <w:wordWrap/>
              <w:overflowPunct/>
              <w:topLinePunct w:val="0"/>
              <w:autoSpaceDE/>
              <w:autoSpaceDN/>
              <w:bidi w:val="0"/>
              <w:adjustRightInd/>
              <w:spacing w:line="540" w:lineRule="exact"/>
              <w:ind w:left="103" w:leftChars="0"/>
              <w:jc w:val="center"/>
              <w:textAlignment w:val="auto"/>
              <w:rPr>
                <w:rFonts w:hint="eastAsia" w:ascii="仿宋" w:hAnsi="仿宋" w:eastAsia="仿宋"/>
                <w:sz w:val="32"/>
                <w:szCs w:val="32"/>
              </w:rPr>
            </w:pPr>
            <w:r>
              <w:rPr>
                <w:rFonts w:hint="eastAsia" w:ascii="仿宋" w:hAnsi="仿宋" w:eastAsia="仿宋" w:cs="仿宋"/>
                <w:sz w:val="24"/>
                <w:szCs w:val="24"/>
              </w:rPr>
              <w:t>2</w:t>
            </w:r>
          </w:p>
        </w:tc>
        <w:tc>
          <w:tcPr>
            <w:tcW w:w="2475" w:type="pct"/>
            <w:vAlign w:val="center"/>
          </w:tcPr>
          <w:p w14:paraId="4A50B3FD">
            <w:pPr>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sz w:val="32"/>
                <w:szCs w:val="32"/>
              </w:rPr>
            </w:pPr>
            <w:r>
              <w:rPr>
                <w:rFonts w:hint="eastAsia" w:ascii="仿宋" w:hAnsi="仿宋" w:eastAsia="仿宋" w:cs="仿宋"/>
                <w:color w:val="auto"/>
                <w:sz w:val="24"/>
                <w:szCs w:val="24"/>
              </w:rPr>
              <w:t>石家庄市图书馆</w:t>
            </w:r>
          </w:p>
        </w:tc>
        <w:tc>
          <w:tcPr>
            <w:tcW w:w="1891" w:type="pct"/>
            <w:vAlign w:val="center"/>
          </w:tcPr>
          <w:p w14:paraId="71D6710E">
            <w:pPr>
              <w:keepNext w:val="0"/>
              <w:keepLines w:val="0"/>
              <w:pageBreakBefore w:val="0"/>
              <w:widowControl w:val="0"/>
              <w:kinsoku/>
              <w:wordWrap/>
              <w:overflowPunct/>
              <w:topLinePunct w:val="0"/>
              <w:autoSpaceDE/>
              <w:autoSpaceDN/>
              <w:bidi w:val="0"/>
              <w:adjustRightInd/>
              <w:spacing w:line="540" w:lineRule="exact"/>
              <w:ind w:left="106" w:leftChars="0"/>
              <w:jc w:val="center"/>
              <w:textAlignment w:val="auto"/>
              <w:rPr>
                <w:rFonts w:hint="eastAsia" w:ascii="仿宋" w:hAnsi="仿宋" w:eastAsia="仿宋"/>
                <w:sz w:val="32"/>
                <w:szCs w:val="32"/>
              </w:rPr>
            </w:pPr>
            <w:r>
              <w:rPr>
                <w:rFonts w:hint="eastAsia" w:ascii="仿宋" w:hAnsi="仿宋" w:eastAsia="仿宋" w:cs="仿宋"/>
                <w:sz w:val="24"/>
                <w:szCs w:val="24"/>
              </w:rPr>
              <w:t>公益一类</w:t>
            </w:r>
            <w:r>
              <w:rPr>
                <w:rFonts w:hint="eastAsia" w:ascii="仿宋" w:hAnsi="仿宋" w:eastAsia="仿宋" w:cs="仿宋"/>
                <w:sz w:val="24"/>
                <w:szCs w:val="24"/>
                <w:lang w:eastAsia="zh-CN"/>
              </w:rPr>
              <w:t>事业单位</w:t>
            </w:r>
          </w:p>
        </w:tc>
      </w:tr>
      <w:tr w14:paraId="005C2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pct"/>
            <w:vAlign w:val="bottom"/>
          </w:tcPr>
          <w:p w14:paraId="70CBB2D4">
            <w:pPr>
              <w:keepNext w:val="0"/>
              <w:keepLines w:val="0"/>
              <w:pageBreakBefore w:val="0"/>
              <w:widowControl w:val="0"/>
              <w:kinsoku/>
              <w:wordWrap/>
              <w:overflowPunct/>
              <w:topLinePunct w:val="0"/>
              <w:autoSpaceDE/>
              <w:autoSpaceDN/>
              <w:bidi w:val="0"/>
              <w:adjustRightInd/>
              <w:spacing w:line="540" w:lineRule="exact"/>
              <w:ind w:left="103" w:leftChars="0"/>
              <w:jc w:val="center"/>
              <w:textAlignment w:val="auto"/>
              <w:rPr>
                <w:rFonts w:hint="eastAsia" w:ascii="仿宋" w:hAnsi="仿宋" w:eastAsia="仿宋"/>
                <w:sz w:val="32"/>
                <w:szCs w:val="32"/>
              </w:rPr>
            </w:pPr>
            <w:r>
              <w:rPr>
                <w:rFonts w:hint="eastAsia" w:ascii="仿宋" w:hAnsi="仿宋" w:eastAsia="仿宋" w:cs="仿宋"/>
                <w:sz w:val="24"/>
                <w:szCs w:val="24"/>
              </w:rPr>
              <w:t>3</w:t>
            </w:r>
          </w:p>
        </w:tc>
        <w:tc>
          <w:tcPr>
            <w:tcW w:w="2475" w:type="pct"/>
            <w:vAlign w:val="center"/>
          </w:tcPr>
          <w:p w14:paraId="7FAE1EC4">
            <w:pPr>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sz w:val="32"/>
                <w:szCs w:val="32"/>
              </w:rPr>
            </w:pPr>
            <w:r>
              <w:rPr>
                <w:rFonts w:hint="eastAsia" w:ascii="仿宋" w:hAnsi="仿宋" w:eastAsia="仿宋" w:cs="仿宋"/>
                <w:sz w:val="24"/>
                <w:szCs w:val="24"/>
              </w:rPr>
              <w:t>石家庄市艺术中心</w:t>
            </w:r>
          </w:p>
        </w:tc>
        <w:tc>
          <w:tcPr>
            <w:tcW w:w="1891" w:type="pct"/>
            <w:vAlign w:val="center"/>
          </w:tcPr>
          <w:p w14:paraId="2C6556A5">
            <w:pPr>
              <w:keepNext w:val="0"/>
              <w:keepLines w:val="0"/>
              <w:pageBreakBefore w:val="0"/>
              <w:widowControl w:val="0"/>
              <w:kinsoku/>
              <w:wordWrap/>
              <w:overflowPunct/>
              <w:topLinePunct w:val="0"/>
              <w:autoSpaceDE/>
              <w:autoSpaceDN/>
              <w:bidi w:val="0"/>
              <w:adjustRightInd/>
              <w:spacing w:line="540" w:lineRule="exact"/>
              <w:ind w:left="106" w:leftChars="0"/>
              <w:jc w:val="center"/>
              <w:textAlignment w:val="auto"/>
              <w:rPr>
                <w:rFonts w:hint="eastAsia" w:ascii="仿宋" w:hAnsi="仿宋" w:eastAsia="仿宋"/>
                <w:sz w:val="32"/>
                <w:szCs w:val="32"/>
              </w:rPr>
            </w:pPr>
            <w:r>
              <w:rPr>
                <w:rFonts w:hint="eastAsia" w:ascii="仿宋" w:hAnsi="仿宋" w:eastAsia="仿宋" w:cs="仿宋"/>
                <w:sz w:val="24"/>
                <w:szCs w:val="24"/>
              </w:rPr>
              <w:t>公益一类</w:t>
            </w:r>
            <w:r>
              <w:rPr>
                <w:rFonts w:hint="eastAsia" w:ascii="仿宋" w:hAnsi="仿宋" w:eastAsia="仿宋" w:cs="仿宋"/>
                <w:sz w:val="24"/>
                <w:szCs w:val="24"/>
                <w:lang w:eastAsia="zh-CN"/>
              </w:rPr>
              <w:t>事业单位</w:t>
            </w:r>
          </w:p>
        </w:tc>
      </w:tr>
      <w:tr w14:paraId="4321E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pct"/>
            <w:vAlign w:val="center"/>
          </w:tcPr>
          <w:p w14:paraId="0404101F">
            <w:pPr>
              <w:keepNext w:val="0"/>
              <w:keepLines w:val="0"/>
              <w:pageBreakBefore w:val="0"/>
              <w:widowControl w:val="0"/>
              <w:kinsoku/>
              <w:wordWrap/>
              <w:overflowPunct/>
              <w:topLinePunct w:val="0"/>
              <w:autoSpaceDE/>
              <w:autoSpaceDN/>
              <w:bidi w:val="0"/>
              <w:adjustRightInd/>
              <w:spacing w:line="540" w:lineRule="exact"/>
              <w:ind w:left="103" w:leftChars="0"/>
              <w:jc w:val="center"/>
              <w:textAlignment w:val="auto"/>
              <w:rPr>
                <w:rFonts w:hint="eastAsia" w:ascii="仿宋" w:hAnsi="仿宋" w:eastAsia="仿宋"/>
                <w:sz w:val="32"/>
                <w:szCs w:val="32"/>
              </w:rPr>
            </w:pPr>
            <w:r>
              <w:rPr>
                <w:rFonts w:hint="eastAsia" w:ascii="仿宋" w:hAnsi="仿宋" w:eastAsia="仿宋" w:cs="仿宋"/>
                <w:sz w:val="24"/>
                <w:szCs w:val="24"/>
              </w:rPr>
              <w:t>4</w:t>
            </w:r>
          </w:p>
        </w:tc>
        <w:tc>
          <w:tcPr>
            <w:tcW w:w="2475" w:type="pct"/>
            <w:vAlign w:val="center"/>
          </w:tcPr>
          <w:p w14:paraId="31DCA857">
            <w:pPr>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sz w:val="32"/>
                <w:szCs w:val="32"/>
              </w:rPr>
            </w:pPr>
            <w:r>
              <w:rPr>
                <w:rFonts w:hint="eastAsia" w:ascii="仿宋" w:hAnsi="仿宋" w:eastAsia="仿宋" w:cs="仿宋"/>
                <w:sz w:val="24"/>
                <w:szCs w:val="24"/>
              </w:rPr>
              <w:t>石家庄市美术馆</w:t>
            </w:r>
          </w:p>
        </w:tc>
        <w:tc>
          <w:tcPr>
            <w:tcW w:w="1891" w:type="pct"/>
            <w:vAlign w:val="center"/>
          </w:tcPr>
          <w:p w14:paraId="0DAAEE17">
            <w:pPr>
              <w:keepNext w:val="0"/>
              <w:keepLines w:val="0"/>
              <w:pageBreakBefore w:val="0"/>
              <w:widowControl w:val="0"/>
              <w:kinsoku/>
              <w:wordWrap/>
              <w:overflowPunct/>
              <w:topLinePunct w:val="0"/>
              <w:autoSpaceDE/>
              <w:autoSpaceDN/>
              <w:bidi w:val="0"/>
              <w:adjustRightInd/>
              <w:spacing w:line="540" w:lineRule="exact"/>
              <w:ind w:left="106" w:leftChars="0"/>
              <w:jc w:val="center"/>
              <w:textAlignment w:val="auto"/>
              <w:rPr>
                <w:rFonts w:hint="eastAsia" w:ascii="仿宋" w:hAnsi="仿宋" w:eastAsia="仿宋"/>
                <w:sz w:val="32"/>
                <w:szCs w:val="32"/>
              </w:rPr>
            </w:pPr>
            <w:r>
              <w:rPr>
                <w:rFonts w:hint="eastAsia" w:ascii="仿宋" w:hAnsi="仿宋" w:eastAsia="仿宋" w:cs="仿宋"/>
                <w:sz w:val="24"/>
                <w:szCs w:val="24"/>
              </w:rPr>
              <w:t>公益一类</w:t>
            </w:r>
            <w:r>
              <w:rPr>
                <w:rFonts w:hint="eastAsia" w:ascii="仿宋" w:hAnsi="仿宋" w:eastAsia="仿宋" w:cs="仿宋"/>
                <w:sz w:val="24"/>
                <w:szCs w:val="24"/>
                <w:lang w:eastAsia="zh-CN"/>
              </w:rPr>
              <w:t>事业单位</w:t>
            </w:r>
          </w:p>
        </w:tc>
      </w:tr>
      <w:tr w14:paraId="68A97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pct"/>
            <w:vAlign w:val="center"/>
          </w:tcPr>
          <w:p w14:paraId="04CECA6B">
            <w:pPr>
              <w:keepNext w:val="0"/>
              <w:keepLines w:val="0"/>
              <w:pageBreakBefore w:val="0"/>
              <w:widowControl w:val="0"/>
              <w:kinsoku/>
              <w:wordWrap/>
              <w:overflowPunct/>
              <w:topLinePunct w:val="0"/>
              <w:autoSpaceDE/>
              <w:autoSpaceDN/>
              <w:bidi w:val="0"/>
              <w:adjustRightInd/>
              <w:spacing w:line="540" w:lineRule="exact"/>
              <w:ind w:left="103" w:leftChars="0"/>
              <w:jc w:val="center"/>
              <w:textAlignment w:val="auto"/>
              <w:rPr>
                <w:rFonts w:hint="eastAsia" w:ascii="仿宋" w:hAnsi="仿宋" w:eastAsia="仿宋"/>
                <w:sz w:val="32"/>
                <w:szCs w:val="32"/>
              </w:rPr>
            </w:pPr>
            <w:r>
              <w:rPr>
                <w:rFonts w:hint="eastAsia" w:ascii="仿宋" w:hAnsi="仿宋" w:eastAsia="仿宋" w:cs="仿宋"/>
                <w:sz w:val="24"/>
                <w:szCs w:val="24"/>
              </w:rPr>
              <w:t>5</w:t>
            </w:r>
          </w:p>
        </w:tc>
        <w:tc>
          <w:tcPr>
            <w:tcW w:w="2475" w:type="pct"/>
            <w:vAlign w:val="center"/>
          </w:tcPr>
          <w:p w14:paraId="7B76CF8B">
            <w:pPr>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sz w:val="32"/>
                <w:szCs w:val="32"/>
              </w:rPr>
            </w:pPr>
            <w:r>
              <w:rPr>
                <w:rFonts w:hint="eastAsia" w:ascii="仿宋" w:hAnsi="仿宋" w:eastAsia="仿宋" w:cs="仿宋"/>
                <w:sz w:val="24"/>
                <w:szCs w:val="24"/>
              </w:rPr>
              <w:t>石家庄市文化市场</w:t>
            </w:r>
            <w:r>
              <w:rPr>
                <w:rFonts w:hint="eastAsia" w:ascii="仿宋" w:hAnsi="仿宋" w:eastAsia="仿宋" w:cs="仿宋"/>
                <w:sz w:val="24"/>
                <w:szCs w:val="24"/>
                <w:lang w:eastAsia="zh-CN"/>
              </w:rPr>
              <w:t>综合行政执法局</w:t>
            </w:r>
          </w:p>
        </w:tc>
        <w:tc>
          <w:tcPr>
            <w:tcW w:w="1891" w:type="pct"/>
            <w:vAlign w:val="center"/>
          </w:tcPr>
          <w:p w14:paraId="7E430669">
            <w:pPr>
              <w:keepNext w:val="0"/>
              <w:keepLines w:val="0"/>
              <w:pageBreakBefore w:val="0"/>
              <w:widowControl w:val="0"/>
              <w:kinsoku/>
              <w:wordWrap/>
              <w:overflowPunct/>
              <w:topLinePunct w:val="0"/>
              <w:autoSpaceDE/>
              <w:autoSpaceDN/>
              <w:bidi w:val="0"/>
              <w:adjustRightInd/>
              <w:spacing w:line="540" w:lineRule="exact"/>
              <w:ind w:left="106" w:leftChars="0"/>
              <w:jc w:val="center"/>
              <w:textAlignment w:val="auto"/>
              <w:rPr>
                <w:rFonts w:hint="eastAsia" w:ascii="仿宋" w:hAnsi="仿宋" w:eastAsia="仿宋"/>
                <w:sz w:val="32"/>
                <w:szCs w:val="32"/>
              </w:rPr>
            </w:pPr>
            <w:r>
              <w:rPr>
                <w:rFonts w:hint="eastAsia" w:ascii="仿宋" w:hAnsi="仿宋" w:eastAsia="仿宋" w:cs="仿宋"/>
                <w:sz w:val="24"/>
                <w:szCs w:val="24"/>
              </w:rPr>
              <w:t>公益一类</w:t>
            </w:r>
            <w:r>
              <w:rPr>
                <w:rFonts w:hint="eastAsia" w:ascii="仿宋" w:hAnsi="仿宋" w:eastAsia="仿宋" w:cs="仿宋"/>
                <w:sz w:val="24"/>
                <w:szCs w:val="24"/>
                <w:lang w:eastAsia="zh-CN"/>
              </w:rPr>
              <w:t>事业单位</w:t>
            </w:r>
          </w:p>
        </w:tc>
      </w:tr>
      <w:tr w14:paraId="64C1E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pct"/>
            <w:vAlign w:val="center"/>
          </w:tcPr>
          <w:p w14:paraId="69309DC2">
            <w:pPr>
              <w:keepNext w:val="0"/>
              <w:keepLines w:val="0"/>
              <w:pageBreakBefore w:val="0"/>
              <w:widowControl w:val="0"/>
              <w:kinsoku/>
              <w:wordWrap/>
              <w:overflowPunct/>
              <w:topLinePunct w:val="0"/>
              <w:autoSpaceDE/>
              <w:autoSpaceDN/>
              <w:bidi w:val="0"/>
              <w:adjustRightInd/>
              <w:spacing w:line="540" w:lineRule="exact"/>
              <w:ind w:left="103" w:leftChars="0"/>
              <w:jc w:val="center"/>
              <w:textAlignment w:val="auto"/>
              <w:rPr>
                <w:rFonts w:hint="eastAsia" w:ascii="仿宋" w:hAnsi="仿宋" w:eastAsia="仿宋"/>
                <w:sz w:val="32"/>
                <w:szCs w:val="32"/>
              </w:rPr>
            </w:pPr>
            <w:r>
              <w:rPr>
                <w:rFonts w:hint="eastAsia" w:ascii="仿宋" w:hAnsi="仿宋" w:eastAsia="仿宋" w:cs="仿宋"/>
                <w:sz w:val="24"/>
                <w:szCs w:val="24"/>
              </w:rPr>
              <w:t>6</w:t>
            </w:r>
          </w:p>
        </w:tc>
        <w:tc>
          <w:tcPr>
            <w:tcW w:w="2475" w:type="pct"/>
            <w:vAlign w:val="center"/>
          </w:tcPr>
          <w:p w14:paraId="23A05D02">
            <w:pPr>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sz w:val="32"/>
                <w:szCs w:val="32"/>
              </w:rPr>
            </w:pPr>
            <w:r>
              <w:rPr>
                <w:rFonts w:hint="eastAsia" w:ascii="仿宋" w:hAnsi="仿宋" w:eastAsia="仿宋" w:cs="仿宋"/>
                <w:sz w:val="24"/>
                <w:szCs w:val="24"/>
              </w:rPr>
              <w:t>石家庄市群众艺术馆</w:t>
            </w:r>
          </w:p>
        </w:tc>
        <w:tc>
          <w:tcPr>
            <w:tcW w:w="1891" w:type="pct"/>
            <w:vAlign w:val="center"/>
          </w:tcPr>
          <w:p w14:paraId="7B0230DB">
            <w:pPr>
              <w:keepNext w:val="0"/>
              <w:keepLines w:val="0"/>
              <w:pageBreakBefore w:val="0"/>
              <w:widowControl w:val="0"/>
              <w:kinsoku/>
              <w:wordWrap/>
              <w:overflowPunct/>
              <w:topLinePunct w:val="0"/>
              <w:autoSpaceDE/>
              <w:autoSpaceDN/>
              <w:bidi w:val="0"/>
              <w:adjustRightInd/>
              <w:spacing w:line="540" w:lineRule="exact"/>
              <w:ind w:left="106" w:leftChars="0"/>
              <w:jc w:val="center"/>
              <w:textAlignment w:val="auto"/>
              <w:rPr>
                <w:rFonts w:hint="eastAsia" w:ascii="仿宋" w:hAnsi="仿宋" w:eastAsia="仿宋"/>
                <w:sz w:val="32"/>
                <w:szCs w:val="32"/>
              </w:rPr>
            </w:pPr>
            <w:r>
              <w:rPr>
                <w:rFonts w:hint="eastAsia" w:ascii="仿宋" w:hAnsi="仿宋" w:eastAsia="仿宋" w:cs="仿宋"/>
                <w:sz w:val="24"/>
                <w:szCs w:val="24"/>
              </w:rPr>
              <w:t>公益一类</w:t>
            </w:r>
            <w:r>
              <w:rPr>
                <w:rFonts w:hint="eastAsia" w:ascii="仿宋" w:hAnsi="仿宋" w:eastAsia="仿宋" w:cs="仿宋"/>
                <w:sz w:val="24"/>
                <w:szCs w:val="24"/>
                <w:lang w:eastAsia="zh-CN"/>
              </w:rPr>
              <w:t>事业单位</w:t>
            </w:r>
          </w:p>
        </w:tc>
      </w:tr>
      <w:tr w14:paraId="73FC3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pct"/>
            <w:vAlign w:val="center"/>
          </w:tcPr>
          <w:p w14:paraId="406DF05B">
            <w:pPr>
              <w:keepNext w:val="0"/>
              <w:keepLines w:val="0"/>
              <w:pageBreakBefore w:val="0"/>
              <w:widowControl w:val="0"/>
              <w:kinsoku/>
              <w:wordWrap/>
              <w:overflowPunct/>
              <w:topLinePunct w:val="0"/>
              <w:autoSpaceDE/>
              <w:autoSpaceDN/>
              <w:bidi w:val="0"/>
              <w:adjustRightInd/>
              <w:spacing w:line="540" w:lineRule="exact"/>
              <w:ind w:left="103" w:leftChars="0"/>
              <w:jc w:val="center"/>
              <w:textAlignment w:val="auto"/>
              <w:rPr>
                <w:rFonts w:hint="eastAsia" w:ascii="仿宋" w:hAnsi="仿宋" w:eastAsia="仿宋"/>
                <w:sz w:val="32"/>
                <w:szCs w:val="32"/>
              </w:rPr>
            </w:pPr>
            <w:r>
              <w:rPr>
                <w:rFonts w:hint="eastAsia" w:ascii="仿宋" w:hAnsi="仿宋" w:eastAsia="仿宋" w:cs="仿宋"/>
                <w:sz w:val="24"/>
                <w:szCs w:val="24"/>
              </w:rPr>
              <w:t>7</w:t>
            </w:r>
          </w:p>
        </w:tc>
        <w:tc>
          <w:tcPr>
            <w:tcW w:w="2475" w:type="pct"/>
            <w:vAlign w:val="center"/>
          </w:tcPr>
          <w:p w14:paraId="4FE70E24">
            <w:pPr>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sz w:val="32"/>
                <w:szCs w:val="32"/>
              </w:rPr>
            </w:pPr>
            <w:r>
              <w:rPr>
                <w:rFonts w:hint="eastAsia" w:ascii="仿宋" w:hAnsi="仿宋" w:eastAsia="仿宋" w:cs="仿宋"/>
                <w:sz w:val="24"/>
                <w:szCs w:val="24"/>
              </w:rPr>
              <w:t>石家庄市文物保护研究所</w:t>
            </w:r>
          </w:p>
        </w:tc>
        <w:tc>
          <w:tcPr>
            <w:tcW w:w="1891" w:type="pct"/>
            <w:vAlign w:val="center"/>
          </w:tcPr>
          <w:p w14:paraId="7F8F65CD">
            <w:pPr>
              <w:keepNext w:val="0"/>
              <w:keepLines w:val="0"/>
              <w:pageBreakBefore w:val="0"/>
              <w:widowControl w:val="0"/>
              <w:kinsoku/>
              <w:wordWrap/>
              <w:overflowPunct/>
              <w:topLinePunct w:val="0"/>
              <w:autoSpaceDE/>
              <w:autoSpaceDN/>
              <w:bidi w:val="0"/>
              <w:adjustRightInd/>
              <w:spacing w:line="540" w:lineRule="exact"/>
              <w:ind w:left="106" w:leftChars="0"/>
              <w:jc w:val="center"/>
              <w:textAlignment w:val="auto"/>
              <w:rPr>
                <w:rFonts w:hint="eastAsia" w:ascii="仿宋" w:hAnsi="仿宋" w:eastAsia="仿宋"/>
                <w:sz w:val="32"/>
                <w:szCs w:val="32"/>
              </w:rPr>
            </w:pPr>
            <w:r>
              <w:rPr>
                <w:rFonts w:hint="eastAsia" w:ascii="仿宋" w:hAnsi="仿宋" w:eastAsia="仿宋" w:cs="仿宋"/>
                <w:sz w:val="24"/>
                <w:szCs w:val="24"/>
              </w:rPr>
              <w:t>公益一类</w:t>
            </w:r>
            <w:r>
              <w:rPr>
                <w:rFonts w:hint="eastAsia" w:ascii="仿宋" w:hAnsi="仿宋" w:eastAsia="仿宋" w:cs="仿宋"/>
                <w:sz w:val="24"/>
                <w:szCs w:val="24"/>
                <w:lang w:eastAsia="zh-CN"/>
              </w:rPr>
              <w:t>事业单位</w:t>
            </w:r>
          </w:p>
        </w:tc>
      </w:tr>
      <w:tr w14:paraId="1C677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pct"/>
            <w:vAlign w:val="center"/>
          </w:tcPr>
          <w:p w14:paraId="27C2B247">
            <w:pPr>
              <w:keepNext w:val="0"/>
              <w:keepLines w:val="0"/>
              <w:pageBreakBefore w:val="0"/>
              <w:widowControl w:val="0"/>
              <w:kinsoku/>
              <w:wordWrap/>
              <w:overflowPunct/>
              <w:topLinePunct w:val="0"/>
              <w:autoSpaceDE/>
              <w:autoSpaceDN/>
              <w:bidi w:val="0"/>
              <w:adjustRightInd/>
              <w:spacing w:line="540" w:lineRule="exact"/>
              <w:ind w:left="103" w:leftChars="0"/>
              <w:jc w:val="center"/>
              <w:textAlignment w:val="auto"/>
              <w:rPr>
                <w:rFonts w:hint="eastAsia" w:ascii="仿宋" w:hAnsi="仿宋" w:eastAsia="仿宋"/>
                <w:sz w:val="32"/>
                <w:szCs w:val="32"/>
              </w:rPr>
            </w:pPr>
            <w:r>
              <w:rPr>
                <w:rFonts w:hint="eastAsia" w:ascii="仿宋" w:hAnsi="仿宋" w:eastAsia="仿宋" w:cs="仿宋"/>
                <w:sz w:val="24"/>
                <w:szCs w:val="24"/>
              </w:rPr>
              <w:t>8</w:t>
            </w:r>
          </w:p>
        </w:tc>
        <w:tc>
          <w:tcPr>
            <w:tcW w:w="2475" w:type="pct"/>
            <w:vAlign w:val="center"/>
          </w:tcPr>
          <w:p w14:paraId="1A81C6CE">
            <w:pPr>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sz w:val="32"/>
                <w:szCs w:val="32"/>
              </w:rPr>
            </w:pPr>
            <w:r>
              <w:rPr>
                <w:rFonts w:hint="eastAsia" w:ascii="仿宋" w:hAnsi="仿宋" w:eastAsia="仿宋" w:cs="仿宋"/>
                <w:sz w:val="24"/>
                <w:szCs w:val="24"/>
              </w:rPr>
              <w:t>石家庄市博物馆</w:t>
            </w:r>
          </w:p>
        </w:tc>
        <w:tc>
          <w:tcPr>
            <w:tcW w:w="1891" w:type="pct"/>
            <w:vAlign w:val="center"/>
          </w:tcPr>
          <w:p w14:paraId="7C873579">
            <w:pPr>
              <w:keepNext w:val="0"/>
              <w:keepLines w:val="0"/>
              <w:pageBreakBefore w:val="0"/>
              <w:widowControl w:val="0"/>
              <w:kinsoku/>
              <w:wordWrap/>
              <w:overflowPunct/>
              <w:topLinePunct w:val="0"/>
              <w:autoSpaceDE/>
              <w:autoSpaceDN/>
              <w:bidi w:val="0"/>
              <w:adjustRightInd/>
              <w:spacing w:line="540" w:lineRule="exact"/>
              <w:ind w:left="106" w:leftChars="0"/>
              <w:jc w:val="center"/>
              <w:textAlignment w:val="auto"/>
              <w:rPr>
                <w:rFonts w:hint="eastAsia" w:ascii="仿宋" w:hAnsi="仿宋" w:eastAsia="仿宋"/>
                <w:sz w:val="32"/>
                <w:szCs w:val="32"/>
              </w:rPr>
            </w:pPr>
            <w:r>
              <w:rPr>
                <w:rFonts w:hint="eastAsia" w:ascii="仿宋" w:hAnsi="仿宋" w:eastAsia="仿宋" w:cs="仿宋"/>
                <w:sz w:val="24"/>
                <w:szCs w:val="24"/>
              </w:rPr>
              <w:t>公益一类</w:t>
            </w:r>
            <w:r>
              <w:rPr>
                <w:rFonts w:hint="eastAsia" w:ascii="仿宋" w:hAnsi="仿宋" w:eastAsia="仿宋" w:cs="仿宋"/>
                <w:sz w:val="24"/>
                <w:szCs w:val="24"/>
                <w:lang w:eastAsia="zh-CN"/>
              </w:rPr>
              <w:t>事业单位</w:t>
            </w:r>
          </w:p>
        </w:tc>
      </w:tr>
      <w:tr w14:paraId="03DC7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pct"/>
            <w:vAlign w:val="center"/>
          </w:tcPr>
          <w:p w14:paraId="10C1A509">
            <w:pPr>
              <w:keepNext w:val="0"/>
              <w:keepLines w:val="0"/>
              <w:pageBreakBefore w:val="0"/>
              <w:widowControl w:val="0"/>
              <w:kinsoku/>
              <w:wordWrap/>
              <w:overflowPunct/>
              <w:topLinePunct w:val="0"/>
              <w:autoSpaceDE/>
              <w:autoSpaceDN/>
              <w:bidi w:val="0"/>
              <w:adjustRightInd/>
              <w:spacing w:line="540" w:lineRule="exact"/>
              <w:ind w:left="103" w:leftChars="0"/>
              <w:jc w:val="center"/>
              <w:textAlignment w:val="auto"/>
              <w:rPr>
                <w:rFonts w:hint="eastAsia" w:ascii="仿宋" w:hAnsi="仿宋" w:eastAsia="仿宋"/>
                <w:sz w:val="32"/>
                <w:szCs w:val="32"/>
              </w:rPr>
            </w:pPr>
            <w:r>
              <w:rPr>
                <w:rFonts w:hint="eastAsia" w:ascii="仿宋" w:hAnsi="仿宋" w:eastAsia="仿宋" w:cs="仿宋"/>
                <w:sz w:val="24"/>
                <w:szCs w:val="24"/>
              </w:rPr>
              <w:t>9</w:t>
            </w:r>
          </w:p>
        </w:tc>
        <w:tc>
          <w:tcPr>
            <w:tcW w:w="2475" w:type="pct"/>
            <w:vAlign w:val="center"/>
          </w:tcPr>
          <w:p w14:paraId="3B339673">
            <w:pPr>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sz w:val="32"/>
                <w:szCs w:val="32"/>
              </w:rPr>
            </w:pPr>
            <w:r>
              <w:rPr>
                <w:rFonts w:hint="eastAsia" w:ascii="仿宋" w:hAnsi="仿宋" w:eastAsia="仿宋" w:cs="仿宋"/>
                <w:sz w:val="24"/>
                <w:szCs w:val="24"/>
              </w:rPr>
              <w:t>石家庄市毗卢寺博物院</w:t>
            </w:r>
          </w:p>
        </w:tc>
        <w:tc>
          <w:tcPr>
            <w:tcW w:w="1891" w:type="pct"/>
            <w:vAlign w:val="center"/>
          </w:tcPr>
          <w:p w14:paraId="681F682E">
            <w:pPr>
              <w:keepNext w:val="0"/>
              <w:keepLines w:val="0"/>
              <w:pageBreakBefore w:val="0"/>
              <w:widowControl w:val="0"/>
              <w:kinsoku/>
              <w:wordWrap/>
              <w:overflowPunct/>
              <w:topLinePunct w:val="0"/>
              <w:autoSpaceDE/>
              <w:autoSpaceDN/>
              <w:bidi w:val="0"/>
              <w:adjustRightInd/>
              <w:spacing w:line="540" w:lineRule="exact"/>
              <w:ind w:left="106" w:leftChars="0"/>
              <w:jc w:val="center"/>
              <w:textAlignment w:val="auto"/>
              <w:rPr>
                <w:rFonts w:hint="eastAsia" w:ascii="仿宋" w:hAnsi="仿宋" w:eastAsia="仿宋"/>
                <w:sz w:val="32"/>
                <w:szCs w:val="32"/>
              </w:rPr>
            </w:pPr>
            <w:r>
              <w:rPr>
                <w:rFonts w:hint="eastAsia" w:ascii="仿宋" w:hAnsi="仿宋" w:eastAsia="仿宋" w:cs="仿宋"/>
                <w:sz w:val="24"/>
                <w:szCs w:val="24"/>
              </w:rPr>
              <w:t>公益一类</w:t>
            </w:r>
            <w:r>
              <w:rPr>
                <w:rFonts w:hint="eastAsia" w:ascii="仿宋" w:hAnsi="仿宋" w:eastAsia="仿宋" w:cs="仿宋"/>
                <w:sz w:val="24"/>
                <w:szCs w:val="24"/>
                <w:lang w:eastAsia="zh-CN"/>
              </w:rPr>
              <w:t>事业单位</w:t>
            </w:r>
          </w:p>
        </w:tc>
      </w:tr>
      <w:tr w14:paraId="24EE1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2" w:type="pct"/>
            <w:vAlign w:val="center"/>
          </w:tcPr>
          <w:p w14:paraId="52E34115">
            <w:pPr>
              <w:keepNext w:val="0"/>
              <w:keepLines w:val="0"/>
              <w:pageBreakBefore w:val="0"/>
              <w:widowControl w:val="0"/>
              <w:kinsoku/>
              <w:wordWrap/>
              <w:overflowPunct/>
              <w:topLinePunct w:val="0"/>
              <w:autoSpaceDE/>
              <w:autoSpaceDN/>
              <w:bidi w:val="0"/>
              <w:adjustRightInd/>
              <w:spacing w:line="540" w:lineRule="exact"/>
              <w:ind w:left="103" w:leftChars="0"/>
              <w:jc w:val="center"/>
              <w:textAlignment w:val="auto"/>
              <w:rPr>
                <w:rFonts w:hint="eastAsia" w:ascii="仿宋" w:hAnsi="仿宋" w:eastAsia="仿宋"/>
                <w:sz w:val="32"/>
                <w:szCs w:val="32"/>
              </w:rPr>
            </w:pPr>
            <w:r>
              <w:rPr>
                <w:rFonts w:hint="eastAsia" w:ascii="仿宋" w:hAnsi="仿宋" w:eastAsia="仿宋" w:cs="仿宋"/>
                <w:sz w:val="24"/>
                <w:szCs w:val="24"/>
                <w:lang w:val="en-US" w:eastAsia="zh-CN"/>
              </w:rPr>
              <w:t>10</w:t>
            </w:r>
          </w:p>
        </w:tc>
        <w:tc>
          <w:tcPr>
            <w:tcW w:w="2475" w:type="pct"/>
            <w:vAlign w:val="center"/>
          </w:tcPr>
          <w:p w14:paraId="3F420DC7">
            <w:pPr>
              <w:keepNext w:val="0"/>
              <w:keepLines w:val="0"/>
              <w:pageBreakBefore w:val="0"/>
              <w:widowControl w:val="0"/>
              <w:kinsoku/>
              <w:wordWrap/>
              <w:overflowPunct/>
              <w:topLinePunct w:val="0"/>
              <w:autoSpaceDE/>
              <w:autoSpaceDN/>
              <w:bidi w:val="0"/>
              <w:adjustRightInd/>
              <w:spacing w:line="540" w:lineRule="exact"/>
              <w:textAlignment w:val="auto"/>
              <w:rPr>
                <w:rFonts w:hint="eastAsia" w:ascii="仿宋" w:hAnsi="仿宋" w:eastAsia="仿宋"/>
                <w:sz w:val="32"/>
                <w:szCs w:val="32"/>
              </w:rPr>
            </w:pPr>
            <w:r>
              <w:rPr>
                <w:rFonts w:hint="eastAsia" w:ascii="仿宋" w:hAnsi="仿宋" w:eastAsia="仿宋" w:cs="仿宋"/>
                <w:sz w:val="24"/>
                <w:szCs w:val="24"/>
                <w:lang w:eastAsia="zh-CN"/>
              </w:rPr>
              <w:t>石家庄市艺术学校</w:t>
            </w:r>
          </w:p>
        </w:tc>
        <w:tc>
          <w:tcPr>
            <w:tcW w:w="1891" w:type="pct"/>
            <w:vAlign w:val="center"/>
          </w:tcPr>
          <w:p w14:paraId="29015CA1">
            <w:pPr>
              <w:keepNext w:val="0"/>
              <w:keepLines w:val="0"/>
              <w:pageBreakBefore w:val="0"/>
              <w:widowControl w:val="0"/>
              <w:kinsoku/>
              <w:wordWrap/>
              <w:overflowPunct/>
              <w:topLinePunct w:val="0"/>
              <w:autoSpaceDE/>
              <w:autoSpaceDN/>
              <w:bidi w:val="0"/>
              <w:adjustRightInd/>
              <w:spacing w:line="540" w:lineRule="exact"/>
              <w:ind w:left="106" w:leftChars="0"/>
              <w:jc w:val="center"/>
              <w:textAlignment w:val="auto"/>
              <w:rPr>
                <w:rFonts w:hint="eastAsia" w:ascii="仿宋" w:hAnsi="仿宋" w:eastAsia="仿宋"/>
                <w:sz w:val="32"/>
                <w:szCs w:val="32"/>
              </w:rPr>
            </w:pPr>
            <w:r>
              <w:rPr>
                <w:rFonts w:hint="eastAsia" w:ascii="仿宋" w:hAnsi="仿宋" w:eastAsia="仿宋" w:cs="仿宋"/>
                <w:sz w:val="24"/>
                <w:szCs w:val="24"/>
              </w:rPr>
              <w:t>公益</w:t>
            </w:r>
            <w:r>
              <w:rPr>
                <w:rFonts w:hint="eastAsia" w:ascii="仿宋" w:hAnsi="仿宋" w:eastAsia="仿宋" w:cs="仿宋"/>
                <w:sz w:val="24"/>
                <w:szCs w:val="24"/>
                <w:lang w:eastAsia="zh-CN"/>
              </w:rPr>
              <w:t>二</w:t>
            </w:r>
            <w:r>
              <w:rPr>
                <w:rFonts w:hint="eastAsia" w:ascii="仿宋" w:hAnsi="仿宋" w:eastAsia="仿宋" w:cs="仿宋"/>
                <w:sz w:val="24"/>
                <w:szCs w:val="24"/>
              </w:rPr>
              <w:t>类</w:t>
            </w:r>
            <w:r>
              <w:rPr>
                <w:rFonts w:hint="eastAsia" w:ascii="仿宋" w:hAnsi="仿宋" w:eastAsia="仿宋" w:cs="仿宋"/>
                <w:sz w:val="24"/>
                <w:szCs w:val="24"/>
                <w:lang w:eastAsia="zh-CN"/>
              </w:rPr>
              <w:t>事业单位</w:t>
            </w:r>
          </w:p>
        </w:tc>
      </w:tr>
    </w:tbl>
    <w:p w14:paraId="21AC68A8">
      <w:pPr>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firstLine="640" w:firstLineChars="200"/>
        <w:textAlignment w:val="auto"/>
        <w:rPr>
          <w:rFonts w:hint="eastAsia" w:ascii="楷体" w:hAnsi="楷体" w:eastAsia="楷体" w:cs="楷体_GB2312"/>
          <w:bCs/>
          <w:sz w:val="32"/>
          <w:szCs w:val="32"/>
        </w:rPr>
      </w:pPr>
      <w:r>
        <w:rPr>
          <w:rFonts w:hint="eastAsia" w:ascii="楷体" w:hAnsi="楷体" w:eastAsia="楷体" w:cs="楷体_GB2312"/>
          <w:bCs/>
          <w:sz w:val="32"/>
          <w:szCs w:val="32"/>
        </w:rPr>
        <w:t>部门收支预决算情况</w:t>
      </w:r>
    </w:p>
    <w:p w14:paraId="7D29738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2025年部门预算收入及支出32432.67万元，部门决算收入及支出34896.30万元，决算较预算增加2463.63万元。其中，基本支出年初预算数13109万元，年末决算数13221.68万元；项目支出年初预算数19323.67万元，年末决算数21674.62万元。</w:t>
      </w:r>
    </w:p>
    <w:p w14:paraId="1D1EDCF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14:paraId="55647DB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lang w:eastAsia="zh-CN"/>
        </w:rPr>
        <w:t>部门整体支出绩效目标、指标为：</w:t>
      </w:r>
      <w:r>
        <w:rPr>
          <w:rFonts w:hint="eastAsia" w:ascii="仿宋" w:hAnsi="仿宋" w:eastAsia="仿宋"/>
          <w:sz w:val="32"/>
          <w:szCs w:val="32"/>
        </w:rPr>
        <w:t>坚持以文旅融合发展为依托，“以文塑旅、以旅彰文”，整合提升传统业态，培育打造新型业态，激发文旅市场新需求，增强新供给，开发新产品，打造新品牌，推进文旅新型消费扩容升级，促进文旅产业创新发展，提升文化旅游高质量发展水平，提升文化和旅游产业对全市经济总量过万亿的贡献度，助力现代化、国际化美丽省会城市建设，加快建成全国知名文化旅游城市。提升文旅公共服务功能。加强公共基础设施建设,聚焦党的二十大加强文艺精品创作与生产,开展文化惠民活动。发行文化旅游惠民卡，拉动文化旅游消费；做好文化遗产保护利用和传承，大力发展博物馆事业，提升文化传承影响力；促进文化产业和旅游业恢复发展，大力发展职业艺术教育，增强职业艺术教育发展活力。</w:t>
      </w:r>
    </w:p>
    <w:p w14:paraId="2F4A2F6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黑体" w:hAnsi="黑体" w:eastAsia="黑体"/>
          <w:sz w:val="32"/>
          <w:szCs w:val="32"/>
        </w:rPr>
      </w:pPr>
      <w:r>
        <w:rPr>
          <w:rFonts w:hint="eastAsia" w:ascii="黑体" w:hAnsi="黑体" w:eastAsia="黑体"/>
          <w:sz w:val="32"/>
          <w:szCs w:val="32"/>
        </w:rPr>
        <w:t>二、自评工作开展情况</w:t>
      </w:r>
    </w:p>
    <w:p w14:paraId="75A4F82B">
      <w:pPr>
        <w:keepNext w:val="0"/>
        <w:keepLines w:val="0"/>
        <w:pageBreakBefore w:val="0"/>
        <w:widowControl w:val="0"/>
        <w:kinsoku/>
        <w:wordWrap/>
        <w:overflowPunct/>
        <w:topLinePunct w:val="0"/>
        <w:autoSpaceDE/>
        <w:autoSpaceDN/>
        <w:bidi w:val="0"/>
        <w:spacing w:line="540" w:lineRule="exact"/>
        <w:textAlignment w:val="auto"/>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14:paraId="6C1B306D">
      <w:pPr>
        <w:keepNext w:val="0"/>
        <w:keepLines w:val="0"/>
        <w:pageBreakBefore w:val="0"/>
        <w:widowControl w:val="0"/>
        <w:kinsoku/>
        <w:wordWrap/>
        <w:overflowPunct/>
        <w:topLinePunct w:val="0"/>
        <w:autoSpaceDE/>
        <w:autoSpaceDN/>
        <w:bidi w:val="0"/>
        <w:spacing w:line="540" w:lineRule="exact"/>
        <w:textAlignment w:val="auto"/>
        <w:rPr>
          <w:rFonts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eastAsia="zh-CN"/>
        </w:rPr>
        <w:t>我局高度重视此项工作，根据《石家庄财政局关于开展202</w:t>
      </w:r>
      <w:r>
        <w:rPr>
          <w:rFonts w:hint="eastAsia" w:ascii="仿宋" w:hAnsi="仿宋" w:eastAsia="仿宋"/>
          <w:sz w:val="32"/>
          <w:szCs w:val="32"/>
          <w:lang w:val="en-US" w:eastAsia="zh-CN"/>
        </w:rPr>
        <w:t>6</w:t>
      </w:r>
      <w:r>
        <w:rPr>
          <w:rFonts w:hint="eastAsia" w:ascii="仿宋" w:hAnsi="仿宋" w:eastAsia="仿宋"/>
          <w:sz w:val="32"/>
          <w:szCs w:val="32"/>
          <w:lang w:eastAsia="zh-CN"/>
        </w:rPr>
        <w:t>年绩效自评工作的通知》（石财监[202</w:t>
      </w:r>
      <w:r>
        <w:rPr>
          <w:rFonts w:hint="eastAsia" w:ascii="仿宋" w:hAnsi="仿宋" w:eastAsia="仿宋"/>
          <w:sz w:val="32"/>
          <w:szCs w:val="32"/>
          <w:lang w:val="en-US" w:eastAsia="zh-CN"/>
        </w:rPr>
        <w:t>6</w:t>
      </w:r>
      <w:r>
        <w:rPr>
          <w:rFonts w:hint="eastAsia" w:ascii="仿宋" w:hAnsi="仿宋" w:eastAsia="仿宋"/>
          <w:sz w:val="32"/>
          <w:szCs w:val="32"/>
          <w:lang w:eastAsia="zh-CN"/>
        </w:rPr>
        <w:t>]</w:t>
      </w:r>
      <w:r>
        <w:rPr>
          <w:rFonts w:hint="eastAsia" w:ascii="仿宋" w:hAnsi="仿宋" w:eastAsia="仿宋"/>
          <w:sz w:val="32"/>
          <w:szCs w:val="32"/>
          <w:lang w:val="en-US" w:eastAsia="zh-CN"/>
        </w:rPr>
        <w:t>6</w:t>
      </w:r>
      <w:r>
        <w:rPr>
          <w:rFonts w:hint="eastAsia" w:ascii="仿宋" w:hAnsi="仿宋" w:eastAsia="仿宋"/>
          <w:sz w:val="32"/>
          <w:szCs w:val="32"/>
          <w:lang w:eastAsia="zh-CN"/>
        </w:rPr>
        <w:t>号）精神，印发了《石家庄市文化广电和旅游局关于组织开展202</w:t>
      </w:r>
      <w:r>
        <w:rPr>
          <w:rFonts w:hint="eastAsia" w:ascii="仿宋" w:hAnsi="仿宋" w:eastAsia="仿宋"/>
          <w:sz w:val="32"/>
          <w:szCs w:val="32"/>
          <w:lang w:val="en-US" w:eastAsia="zh-CN"/>
        </w:rPr>
        <w:t>6</w:t>
      </w:r>
      <w:r>
        <w:rPr>
          <w:rFonts w:hint="eastAsia" w:ascii="仿宋" w:hAnsi="仿宋" w:eastAsia="仿宋"/>
          <w:sz w:val="32"/>
          <w:szCs w:val="32"/>
          <w:lang w:eastAsia="zh-CN"/>
        </w:rPr>
        <w:t>年绩效自评工作的通知》，确保及时全面地部署完成工作。我局各科室与9家下属预算单位，认真学习文件精神，积极严谨开展本部门专项资金绩效自评工作。各单位严格遵循市财政局要求的全覆盖原则，按照业务科室开展自评、财务部门汇总、层级上报汇总的流程，稳步推进本项工作，按时、按质、按量上报了《石家庄市市级部门预算项目绩效自评表》及相关资料</w:t>
      </w:r>
      <w:r>
        <w:rPr>
          <w:rFonts w:hint="eastAsia" w:ascii="仿宋" w:hAnsi="仿宋" w:eastAsia="仿宋"/>
          <w:sz w:val="32"/>
          <w:szCs w:val="32"/>
        </w:rPr>
        <w:t>。</w:t>
      </w:r>
    </w:p>
    <w:p w14:paraId="75D29E9D">
      <w:pPr>
        <w:keepNext w:val="0"/>
        <w:keepLines w:val="0"/>
        <w:pageBreakBefore w:val="0"/>
        <w:widowControl w:val="0"/>
        <w:numPr>
          <w:ilvl w:val="0"/>
          <w:numId w:val="2"/>
        </w:numPr>
        <w:kinsoku/>
        <w:wordWrap/>
        <w:overflowPunct/>
        <w:topLinePunct w:val="0"/>
        <w:autoSpaceDE/>
        <w:autoSpaceDN/>
        <w:bidi w:val="0"/>
        <w:spacing w:line="540" w:lineRule="exact"/>
        <w:textAlignment w:val="auto"/>
        <w:rPr>
          <w:rFonts w:ascii="楷体" w:hAnsi="楷体" w:eastAsia="楷体" w:cs="楷体_GB2312"/>
          <w:bCs/>
          <w:sz w:val="32"/>
          <w:szCs w:val="32"/>
        </w:rPr>
      </w:pPr>
      <w:r>
        <w:rPr>
          <w:rFonts w:hint="eastAsia" w:ascii="楷体" w:hAnsi="楷体" w:eastAsia="楷体" w:cs="楷体_GB2312"/>
          <w:bCs/>
          <w:sz w:val="32"/>
          <w:szCs w:val="32"/>
        </w:rPr>
        <w:t>自评的方法和过程</w:t>
      </w:r>
    </w:p>
    <w:p w14:paraId="30428E0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sz w:val="32"/>
          <w:szCs w:val="32"/>
        </w:rPr>
      </w:pPr>
      <w:r>
        <w:rPr>
          <w:rFonts w:hint="eastAsia" w:ascii="仿宋" w:hAnsi="仿宋" w:eastAsia="仿宋"/>
          <w:sz w:val="32"/>
          <w:szCs w:val="32"/>
          <w:lang w:eastAsia="zh-CN"/>
        </w:rPr>
        <w:t>各单位按照自评要求，从项目概况、预算执行情况、目标任务完成情况、年度绩效指标完成情况、存在原因问题及下一步整改措施等方面对各个专项项目进行量化评价。最后部门对各项目实际开展落实完成及效果反馈汇总形成本部门整体绩效评价。</w:t>
      </w:r>
    </w:p>
    <w:p w14:paraId="031BE99B">
      <w:pPr>
        <w:keepNext w:val="0"/>
        <w:keepLines w:val="0"/>
        <w:pageBreakBefore w:val="0"/>
        <w:widowControl w:val="0"/>
        <w:kinsoku/>
        <w:wordWrap/>
        <w:overflowPunct/>
        <w:topLinePunct w:val="0"/>
        <w:autoSpaceDE/>
        <w:autoSpaceDN/>
        <w:bidi w:val="0"/>
        <w:spacing w:line="540" w:lineRule="exact"/>
        <w:textAlignment w:val="auto"/>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67D76839">
      <w:pPr>
        <w:keepNext w:val="0"/>
        <w:keepLines w:val="0"/>
        <w:pageBreakBefore w:val="0"/>
        <w:widowControl w:val="0"/>
        <w:numPr>
          <w:ilvl w:val="0"/>
          <w:numId w:val="3"/>
        </w:numPr>
        <w:kinsoku/>
        <w:wordWrap/>
        <w:overflowPunct/>
        <w:topLinePunct w:val="0"/>
        <w:autoSpaceDE/>
        <w:autoSpaceDN/>
        <w:bidi w:val="0"/>
        <w:spacing w:line="540" w:lineRule="exact"/>
        <w:ind w:firstLine="640" w:firstLineChars="200"/>
        <w:textAlignment w:val="auto"/>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1B1D1EEA">
      <w:pPr>
        <w:keepNext w:val="0"/>
        <w:keepLines w:val="0"/>
        <w:pageBreakBefore w:val="0"/>
        <w:widowControl w:val="0"/>
        <w:kinsoku/>
        <w:wordWrap/>
        <w:overflowPunct/>
        <w:topLinePunct w:val="0"/>
        <w:autoSpaceDE/>
        <w:autoSpaceDN/>
        <w:bidi w:val="0"/>
        <w:spacing w:line="540" w:lineRule="exact"/>
        <w:ind w:firstLine="800" w:firstLineChars="250"/>
        <w:textAlignment w:val="auto"/>
        <w:rPr>
          <w:rFonts w:ascii="仿宋" w:hAnsi="仿宋" w:eastAsia="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年是</w:t>
      </w:r>
      <w:r>
        <w:rPr>
          <w:rFonts w:hint="eastAsia" w:ascii="仿宋_GB2312" w:hAnsi="仿宋_GB2312" w:eastAsia="仿宋_GB2312" w:cs="仿宋_GB2312"/>
          <w:sz w:val="32"/>
          <w:szCs w:val="32"/>
          <w:lang w:eastAsia="zh-CN"/>
        </w:rPr>
        <w:t>“十四五”规划的收官之年，</w:t>
      </w:r>
      <w:r>
        <w:rPr>
          <w:rFonts w:hint="eastAsia" w:ascii="仿宋_GB2312" w:hAnsi="仿宋_GB2312" w:eastAsia="仿宋_GB2312" w:cs="仿宋_GB2312"/>
          <w:sz w:val="32"/>
          <w:szCs w:val="32"/>
          <w:highlight w:val="none"/>
          <w:lang w:val="en-US" w:eastAsia="zh-CN"/>
        </w:rPr>
        <w:t>全市文旅系统</w:t>
      </w:r>
      <w:r>
        <w:rPr>
          <w:rFonts w:hint="eastAsia" w:ascii="仿宋_GB2312" w:hAnsi="仿宋_GB2312" w:eastAsia="仿宋_GB2312" w:cs="仿宋_GB2312"/>
          <w:color w:val="auto"/>
          <w:kern w:val="0"/>
          <w:sz w:val="32"/>
          <w:szCs w:val="32"/>
          <w:lang w:val="en-US" w:eastAsia="zh-CN" w:bidi="ar-SA"/>
        </w:rPr>
        <w:t>坚持以习近平新时代中国特色社会主义思想为指导，深入贯彻党的二十大和二十届历次全会精神，</w:t>
      </w:r>
      <w:r>
        <w:rPr>
          <w:rFonts w:hint="eastAsia" w:ascii="仿宋_GB2312" w:hAnsi="仿宋_GB2312" w:eastAsia="仿宋_GB2312" w:cs="仿宋_GB2312"/>
          <w:sz w:val="32"/>
          <w:szCs w:val="32"/>
          <w:highlight w:val="none"/>
          <w:lang w:val="en-US" w:eastAsia="zh-CN"/>
        </w:rPr>
        <w:t>团结拼搏、勇毅前行，</w:t>
      </w:r>
      <w:r>
        <w:rPr>
          <w:rFonts w:hint="eastAsia" w:ascii="仿宋_GB2312" w:hAnsi="仿宋_GB2312" w:eastAsia="仿宋_GB2312" w:cs="仿宋_GB2312"/>
          <w:color w:val="auto"/>
          <w:kern w:val="0"/>
          <w:sz w:val="32"/>
          <w:szCs w:val="32"/>
          <w:lang w:val="en-US" w:eastAsia="zh-CN" w:bidi="ar-SA"/>
        </w:rPr>
        <w:t>聚焦现代化、国际化美丽省会城市建设目标，进一步激发城市新活力、培育文旅新业态、拓展文化新空间、满足人民群众精神文化新需求，高质量完成年度目标任务</w:t>
      </w:r>
      <w:r>
        <w:rPr>
          <w:rFonts w:hint="eastAsia" w:ascii="仿宋" w:hAnsi="仿宋" w:eastAsia="仿宋"/>
          <w:sz w:val="32"/>
          <w:szCs w:val="32"/>
        </w:rPr>
        <w:t>。</w:t>
      </w:r>
      <w:r>
        <w:rPr>
          <w:rFonts w:hint="eastAsia" w:ascii="仿宋" w:hAnsi="仿宋" w:eastAsia="仿宋"/>
          <w:sz w:val="32"/>
          <w:szCs w:val="32"/>
          <w:lang w:eastAsia="zh-CN"/>
        </w:rPr>
        <w:t>我部门</w:t>
      </w:r>
      <w:r>
        <w:rPr>
          <w:rFonts w:hint="eastAsia" w:ascii="仿宋" w:hAnsi="仿宋" w:eastAsia="仿宋"/>
          <w:sz w:val="32"/>
          <w:szCs w:val="32"/>
          <w:lang w:val="en-US" w:eastAsia="zh-CN"/>
        </w:rPr>
        <w:t>2025年通过公共服务专项工作进一步</w:t>
      </w:r>
      <w:r>
        <w:rPr>
          <w:rFonts w:hint="eastAsia" w:ascii="仿宋" w:hAnsi="仿宋" w:eastAsia="仿宋"/>
          <w:sz w:val="32"/>
          <w:szCs w:val="32"/>
        </w:rPr>
        <w:t>提升文旅公共服务功能</w:t>
      </w:r>
      <w:r>
        <w:rPr>
          <w:rFonts w:hint="eastAsia" w:ascii="仿宋" w:hAnsi="仿宋" w:eastAsia="仿宋"/>
          <w:sz w:val="32"/>
          <w:szCs w:val="32"/>
          <w:lang w:eastAsia="zh-CN"/>
        </w:rPr>
        <w:t>；</w:t>
      </w:r>
      <w:r>
        <w:rPr>
          <w:rFonts w:hint="eastAsia" w:ascii="仿宋" w:hAnsi="仿宋" w:eastAsia="仿宋"/>
          <w:sz w:val="32"/>
          <w:szCs w:val="32"/>
        </w:rPr>
        <w:t>加强公共基础设施建设,聚焦党的二十大加强文艺精品创作与生产,开展文化惠民活动</w:t>
      </w:r>
      <w:r>
        <w:rPr>
          <w:rFonts w:hint="eastAsia" w:ascii="仿宋" w:hAnsi="仿宋" w:eastAsia="仿宋"/>
          <w:sz w:val="32"/>
          <w:szCs w:val="32"/>
          <w:lang w:eastAsia="zh-CN"/>
        </w:rPr>
        <w:t>；</w:t>
      </w:r>
      <w:r>
        <w:rPr>
          <w:rFonts w:hint="eastAsia" w:ascii="仿宋" w:hAnsi="仿宋" w:eastAsia="仿宋"/>
          <w:sz w:val="32"/>
          <w:szCs w:val="32"/>
          <w:lang w:val="en-US" w:eastAsia="zh-CN"/>
        </w:rPr>
        <w:t>通过</w:t>
      </w:r>
      <w:r>
        <w:rPr>
          <w:rFonts w:hint="eastAsia" w:ascii="仿宋" w:hAnsi="仿宋" w:eastAsia="仿宋"/>
          <w:sz w:val="32"/>
          <w:szCs w:val="32"/>
        </w:rPr>
        <w:t>发行文化旅游惠民卡</w:t>
      </w:r>
      <w:r>
        <w:rPr>
          <w:rFonts w:hint="eastAsia" w:ascii="仿宋" w:hAnsi="仿宋" w:eastAsia="仿宋"/>
          <w:sz w:val="32"/>
          <w:szCs w:val="32"/>
          <w:lang w:eastAsia="zh-CN"/>
        </w:rPr>
        <w:t>等方式</w:t>
      </w:r>
      <w:r>
        <w:rPr>
          <w:rFonts w:hint="eastAsia" w:ascii="仿宋" w:hAnsi="仿宋" w:eastAsia="仿宋"/>
          <w:sz w:val="32"/>
          <w:szCs w:val="32"/>
        </w:rPr>
        <w:t>，</w:t>
      </w:r>
      <w:r>
        <w:rPr>
          <w:rFonts w:hint="eastAsia" w:ascii="仿宋" w:hAnsi="仿宋" w:eastAsia="仿宋"/>
          <w:sz w:val="32"/>
          <w:szCs w:val="32"/>
          <w:lang w:eastAsia="zh-CN"/>
        </w:rPr>
        <w:t>进一步</w:t>
      </w:r>
      <w:r>
        <w:rPr>
          <w:rFonts w:hint="eastAsia" w:ascii="仿宋" w:hAnsi="仿宋" w:eastAsia="仿宋"/>
          <w:sz w:val="32"/>
          <w:szCs w:val="32"/>
        </w:rPr>
        <w:t>拉动文化旅游消费；</w:t>
      </w:r>
      <w:r>
        <w:rPr>
          <w:rFonts w:hint="eastAsia" w:ascii="仿宋" w:hAnsi="仿宋" w:eastAsia="仿宋"/>
          <w:sz w:val="32"/>
          <w:szCs w:val="32"/>
          <w:lang w:eastAsia="zh-CN"/>
        </w:rPr>
        <w:t>通过非遗专项工作</w:t>
      </w:r>
      <w:r>
        <w:rPr>
          <w:rFonts w:hint="eastAsia" w:ascii="仿宋" w:hAnsi="仿宋" w:eastAsia="仿宋"/>
          <w:sz w:val="32"/>
          <w:szCs w:val="32"/>
        </w:rPr>
        <w:t>做好文化遗产保护利用和传承</w:t>
      </w:r>
      <w:r>
        <w:rPr>
          <w:rFonts w:hint="eastAsia" w:ascii="仿宋" w:hAnsi="仿宋" w:eastAsia="仿宋"/>
          <w:sz w:val="32"/>
          <w:szCs w:val="32"/>
          <w:lang w:eastAsia="zh-CN"/>
        </w:rPr>
        <w:t>；提供</w:t>
      </w:r>
      <w:r>
        <w:rPr>
          <w:rFonts w:hint="eastAsia" w:ascii="仿宋" w:hAnsi="仿宋" w:eastAsia="仿宋"/>
          <w:sz w:val="32"/>
          <w:szCs w:val="32"/>
        </w:rPr>
        <w:t>大力发展博物馆事业，提升文化传承影响力；</w:t>
      </w:r>
      <w:r>
        <w:rPr>
          <w:rFonts w:hint="eastAsia" w:ascii="仿宋" w:hAnsi="仿宋" w:eastAsia="仿宋"/>
          <w:sz w:val="32"/>
          <w:szCs w:val="32"/>
          <w:lang w:eastAsia="zh-CN"/>
        </w:rPr>
        <w:t>通过进一步</w:t>
      </w:r>
      <w:r>
        <w:rPr>
          <w:rFonts w:hint="eastAsia" w:ascii="仿宋" w:hAnsi="仿宋" w:eastAsia="仿宋"/>
          <w:sz w:val="32"/>
          <w:szCs w:val="32"/>
        </w:rPr>
        <w:t>大力发展职业艺术教育，增强职业艺术教育发展活力。</w:t>
      </w:r>
    </w:p>
    <w:p w14:paraId="6B4C98D7">
      <w:pPr>
        <w:keepNext w:val="0"/>
        <w:keepLines w:val="0"/>
        <w:pageBreakBefore w:val="0"/>
        <w:widowControl w:val="0"/>
        <w:kinsoku/>
        <w:wordWrap/>
        <w:overflowPunct/>
        <w:topLinePunct w:val="0"/>
        <w:autoSpaceDE/>
        <w:autoSpaceDN/>
        <w:bidi w:val="0"/>
        <w:spacing w:line="540" w:lineRule="exact"/>
        <w:textAlignment w:val="auto"/>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14:paraId="641C7DBC">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1.完善公共服务体系建设</w:t>
      </w:r>
    </w:p>
    <w:p w14:paraId="4497584F">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绩效目标：组织公共文化服务活动、群众文化活动，文化惠民工程，支持我市公共图书馆文化馆（站）推进免费开放；支持我市公共文化服务体系建设工作；支持基层公共文化设施提质升级、公共文化数字化建设。</w:t>
      </w:r>
    </w:p>
    <w:p w14:paraId="48C0C004">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绩效指标：公共图书馆文化馆（站）免费开放比例达到100%，公共文化服务设施设置率即市县乡村公共文化服务设施数量占市县乡村数量的覆盖率85%以上，保障公共文化服务体系建设。</w:t>
      </w:r>
    </w:p>
    <w:p w14:paraId="739F9D34">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预算执行率≥95%，数量指标设置合理，社会效益影响显著，自评得分99.5分。</w:t>
      </w:r>
    </w:p>
    <w:p w14:paraId="1ABEDD91">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2.促进我市舞台艺术繁荣发展和文化惠民送戏下乡到基层</w:t>
      </w:r>
    </w:p>
    <w:p w14:paraId="0B238608">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 xml:space="preserve">绩效目标：大力推动舞台精品艺术创作，开展“走基层、送戏下乡”演出，提升“文化惠民”的知名度和影响力，打造我市公益演出的文化品牌。 </w:t>
      </w:r>
    </w:p>
    <w:p w14:paraId="1D6C6399">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绩效指标：六个院团进社区、进农村演出不少于800场。</w:t>
      </w:r>
    </w:p>
    <w:p w14:paraId="6E39138C">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预算执行率≥95%，数量指标设置合理，社会效益影响显著，自评得分98分。</w:t>
      </w:r>
    </w:p>
    <w:p w14:paraId="61A406FA">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3.促进非物质文化遗产传承发展</w:t>
      </w:r>
    </w:p>
    <w:p w14:paraId="326AC537">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绩效目标：支持非物质文化遗产保护和传承，着力保护非物质文化遗产传承实践、传承能力和传承环境，使非遗项目得到有效保护，非遗代表性传承人结构更加合理。</w:t>
      </w:r>
    </w:p>
    <w:p w14:paraId="501F4A18">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绩效指标：对市级非遗代表性项目进行补助，使项目存续状况得到进一步改善。给予市级非遗传承人补助资金，鼓励传承人发挥自我所长开展传承传播活动。</w:t>
      </w:r>
    </w:p>
    <w:p w14:paraId="5ADA20DB">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预算执行率≥95%，数量指标设置合理，社会效益影响显著，自评得分100分。</w:t>
      </w:r>
    </w:p>
    <w:p w14:paraId="2BE585D5">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4.发展职业艺术教育</w:t>
      </w:r>
    </w:p>
    <w:p w14:paraId="71FEBF00">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绩效目标：继续开展重点建设精品和特色中职艺术教学项目。落实中等职业艺术学校免学费、助学金政策和生均公用经费标准。保障六家院团事业经费足额拨付。</w:t>
      </w:r>
    </w:p>
    <w:p w14:paraId="5065C4A0">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绩效指标：实现舞台演出的精品教学项目占精品教学项目的比率≥95%以上，原创艺术教学项目的个数≥4个，校舍面积占在校生数的比例≥15%，家庭经济困难学生助学金覆盖率≥98%，院团事业费拨付率=100%。</w:t>
      </w:r>
    </w:p>
    <w:p w14:paraId="17866920">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预算执行率≥95%，数量指标设置合理，社会效益影响显著，自评得分100分。</w:t>
      </w:r>
    </w:p>
    <w:p w14:paraId="179C6653">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ascii="黑体" w:hAnsi="黑体" w:eastAsia="黑体"/>
          <w:sz w:val="32"/>
          <w:szCs w:val="32"/>
        </w:rPr>
      </w:pPr>
      <w:r>
        <w:rPr>
          <w:rFonts w:hint="eastAsia" w:ascii="黑体" w:hAnsi="黑体" w:eastAsia="黑体"/>
          <w:sz w:val="32"/>
          <w:szCs w:val="32"/>
        </w:rPr>
        <w:t>四、评价结论和评价等级</w:t>
      </w:r>
    </w:p>
    <w:p w14:paraId="3D767232">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ascii="仿宋" w:hAnsi="仿宋" w:eastAsia="仿宋"/>
          <w:sz w:val="32"/>
          <w:szCs w:val="32"/>
        </w:rPr>
      </w:pPr>
      <w:r>
        <w:rPr>
          <w:rFonts w:hint="eastAsia" w:ascii="仿宋" w:hAnsi="仿宋" w:eastAsia="仿宋"/>
          <w:sz w:val="32"/>
          <w:szCs w:val="32"/>
        </w:rPr>
        <w:t>根据部门职责和各项工作履职情况进行综合评价，</w:t>
      </w:r>
      <w:r>
        <w:rPr>
          <w:rFonts w:hint="eastAsia" w:ascii="仿宋" w:hAnsi="仿宋" w:eastAsia="仿宋"/>
          <w:sz w:val="32"/>
          <w:szCs w:val="32"/>
          <w:lang w:eastAsia="zh-CN"/>
        </w:rPr>
        <w:t>我部门综合得分</w:t>
      </w:r>
      <w:r>
        <w:rPr>
          <w:rFonts w:hint="eastAsia" w:ascii="仿宋" w:hAnsi="仿宋" w:eastAsia="仿宋"/>
          <w:sz w:val="32"/>
          <w:szCs w:val="32"/>
          <w:lang w:val="en-US" w:eastAsia="zh-CN"/>
        </w:rPr>
        <w:t>97分</w:t>
      </w:r>
      <w:r>
        <w:rPr>
          <w:rFonts w:hint="eastAsia" w:ascii="仿宋" w:hAnsi="仿宋" w:eastAsia="仿宋"/>
          <w:sz w:val="32"/>
          <w:szCs w:val="32"/>
        </w:rPr>
        <w:t>，部门整体支出综合绩效评价为优秀</w:t>
      </w:r>
      <w:r>
        <w:rPr>
          <w:rFonts w:hint="eastAsia" w:ascii="仿宋" w:hAnsi="仿宋" w:eastAsia="仿宋"/>
          <w:sz w:val="32"/>
          <w:szCs w:val="32"/>
          <w:lang w:eastAsia="zh-CN"/>
        </w:rPr>
        <w:t>。</w:t>
      </w:r>
    </w:p>
    <w:p w14:paraId="55A41225">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ascii="黑体" w:hAnsi="黑体" w:eastAsia="黑体"/>
          <w:sz w:val="32"/>
          <w:szCs w:val="32"/>
        </w:rPr>
      </w:pPr>
      <w:r>
        <w:rPr>
          <w:rFonts w:hint="eastAsia" w:ascii="黑体" w:hAnsi="黑体" w:eastAsia="黑体"/>
          <w:sz w:val="32"/>
          <w:szCs w:val="32"/>
        </w:rPr>
        <w:t>五、存在的问题及改进措施</w:t>
      </w:r>
    </w:p>
    <w:p w14:paraId="5972F63C">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楷体" w:hAnsi="楷体" w:eastAsia="楷体"/>
          <w:bCs/>
          <w:sz w:val="32"/>
          <w:szCs w:val="32"/>
        </w:rPr>
      </w:pPr>
      <w:r>
        <w:rPr>
          <w:rFonts w:hint="eastAsia" w:ascii="楷体" w:hAnsi="楷体" w:eastAsia="楷体"/>
          <w:bCs/>
          <w:sz w:val="32"/>
          <w:szCs w:val="32"/>
        </w:rPr>
        <w:t>（一）存在的主要问题</w:t>
      </w:r>
    </w:p>
    <w:p w14:paraId="0B966793">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楷体" w:hAnsi="楷体" w:eastAsia="楷体"/>
          <w:bCs/>
          <w:sz w:val="32"/>
          <w:szCs w:val="32"/>
        </w:rPr>
      </w:pPr>
      <w:r>
        <w:rPr>
          <w:rFonts w:hint="eastAsia" w:ascii="仿宋" w:hAnsi="仿宋" w:eastAsia="仿宋"/>
          <w:sz w:val="32"/>
          <w:szCs w:val="32"/>
          <w:lang w:eastAsia="zh-CN"/>
        </w:rPr>
        <w:t>部分项目还存在绩效指标笼统，缺乏可衡量的具体指标，指标设置质量需进一步提高；部分项目预算执行进度较低，需要进一步提高资金使用效率。</w:t>
      </w:r>
    </w:p>
    <w:p w14:paraId="1D352B05">
      <w:pPr>
        <w:keepNext w:val="0"/>
        <w:keepLines w:val="0"/>
        <w:pageBreakBefore w:val="0"/>
        <w:widowControl w:val="0"/>
        <w:numPr>
          <w:ilvl w:val="0"/>
          <w:numId w:val="3"/>
        </w:numPr>
        <w:kinsoku/>
        <w:wordWrap/>
        <w:overflowPunct/>
        <w:topLinePunct w:val="0"/>
        <w:autoSpaceDE/>
        <w:autoSpaceDN/>
        <w:bidi w:val="0"/>
        <w:spacing w:line="540" w:lineRule="exact"/>
        <w:ind w:left="0" w:leftChars="0" w:firstLine="640" w:firstLineChars="200"/>
        <w:textAlignment w:val="auto"/>
        <w:rPr>
          <w:rFonts w:hint="eastAsia" w:ascii="楷体" w:hAnsi="楷体" w:eastAsia="楷体"/>
          <w:bCs/>
          <w:sz w:val="32"/>
          <w:szCs w:val="32"/>
        </w:rPr>
      </w:pPr>
      <w:r>
        <w:rPr>
          <w:rFonts w:hint="eastAsia" w:ascii="楷体" w:hAnsi="楷体" w:eastAsia="楷体"/>
          <w:bCs/>
          <w:sz w:val="32"/>
          <w:szCs w:val="32"/>
        </w:rPr>
        <w:t>针对问题提出具体的改进措施或建议</w:t>
      </w:r>
    </w:p>
    <w:p w14:paraId="0392F008">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eastAsia="zh-CN"/>
        </w:rPr>
        <w:t>下一步我部门将进一步细化指标设计，进一步优化指标依据，加强预算执行过程监控，提高资金使用效率。</w:t>
      </w: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D3E62">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Quad Arrow 30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D7A13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wps:txbx>
                    <wps:bodyPr wrap="none" lIns="0" tIns="0" rIns="0" bIns="0" upright="1">
                      <a:spAutoFit/>
                    </wps:bodyPr>
                  </wps:wsp>
                </a:graphicData>
              </a:graphic>
            </wp:anchor>
          </w:drawing>
        </mc:Choice>
        <mc:Fallback>
          <w:pict>
            <v:shape id="Quad Arrow 307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DLZp0PwAEAAJ0DAAAOAAAAAAAAAAEAIAAAAB4BAABkcnMvZTJvRG9jLnhtbFBLBQYA&#10;AAAABgAGAFkBAABQBQAAAAA=&#10;">
              <v:fill on="f" focussize="0,0"/>
              <v:stroke on="f"/>
              <v:imagedata o:title=""/>
              <o:lock v:ext="edit" aspectratio="f"/>
              <v:textbox inset="0mm,0mm,0mm,0mm" style="mso-fit-shape-to-text:t;">
                <w:txbxContent>
                  <w:p w14:paraId="1CD7A13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26AABF"/>
    <w:multiLevelType w:val="singleLevel"/>
    <w:tmpl w:val="C826AABF"/>
    <w:lvl w:ilvl="0" w:tentative="0">
      <w:start w:val="2"/>
      <w:numFmt w:val="chineseCounting"/>
      <w:suff w:val="nothing"/>
      <w:lvlText w:val="（%1）"/>
      <w:lvlJc w:val="left"/>
      <w:rPr>
        <w:rFonts w:hint="eastAsia"/>
      </w:rPr>
    </w:lvl>
  </w:abstractNum>
  <w:abstractNum w:abstractNumId="1">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2">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xMzVhZTBlNDUyZWUxNDVhMjNkN2E1NjFlOTE5NDcifQ=="/>
  </w:docVars>
  <w:rsids>
    <w:rsidRoot w:val="0EBD2122"/>
    <w:rsid w:val="000B0260"/>
    <w:rsid w:val="001F187B"/>
    <w:rsid w:val="007E6C1F"/>
    <w:rsid w:val="00956A93"/>
    <w:rsid w:val="009E575C"/>
    <w:rsid w:val="00AF167E"/>
    <w:rsid w:val="00AF566A"/>
    <w:rsid w:val="00B478EA"/>
    <w:rsid w:val="00B6553A"/>
    <w:rsid w:val="00BC6576"/>
    <w:rsid w:val="00CE06BA"/>
    <w:rsid w:val="00F441CC"/>
    <w:rsid w:val="01B104CA"/>
    <w:rsid w:val="02106AB0"/>
    <w:rsid w:val="02B43A28"/>
    <w:rsid w:val="046F331E"/>
    <w:rsid w:val="07956271"/>
    <w:rsid w:val="09721397"/>
    <w:rsid w:val="0BB63BED"/>
    <w:rsid w:val="0EB97A43"/>
    <w:rsid w:val="0EBD2122"/>
    <w:rsid w:val="0F214EAE"/>
    <w:rsid w:val="11B71E6A"/>
    <w:rsid w:val="1AAF0063"/>
    <w:rsid w:val="1BE140DE"/>
    <w:rsid w:val="1E542E40"/>
    <w:rsid w:val="248C197D"/>
    <w:rsid w:val="252959AF"/>
    <w:rsid w:val="25655DE1"/>
    <w:rsid w:val="277A6671"/>
    <w:rsid w:val="292D35B7"/>
    <w:rsid w:val="33EB6CFF"/>
    <w:rsid w:val="35A12947"/>
    <w:rsid w:val="37387040"/>
    <w:rsid w:val="3B625C0A"/>
    <w:rsid w:val="3CEE1963"/>
    <w:rsid w:val="436B78D3"/>
    <w:rsid w:val="481B23A6"/>
    <w:rsid w:val="48B7001D"/>
    <w:rsid w:val="4C766BDD"/>
    <w:rsid w:val="4C9C27FE"/>
    <w:rsid w:val="512260B4"/>
    <w:rsid w:val="52BD6ACB"/>
    <w:rsid w:val="55537534"/>
    <w:rsid w:val="561A74F1"/>
    <w:rsid w:val="58B17416"/>
    <w:rsid w:val="597244E8"/>
    <w:rsid w:val="5EB71C30"/>
    <w:rsid w:val="66AF0CE5"/>
    <w:rsid w:val="68AC2130"/>
    <w:rsid w:val="690E16C2"/>
    <w:rsid w:val="6AC537CF"/>
    <w:rsid w:val="6ADE60FC"/>
    <w:rsid w:val="6E5B14A6"/>
    <w:rsid w:val="711B255E"/>
    <w:rsid w:val="7A765096"/>
    <w:rsid w:val="7BB51E06"/>
    <w:rsid w:val="7C387F7C"/>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3619</Words>
  <Characters>3770</Characters>
  <Lines>4</Lines>
  <Paragraphs>1</Paragraphs>
  <TotalTime>138</TotalTime>
  <ScaleCrop>false</ScaleCrop>
  <LinksUpToDate>false</LinksUpToDate>
  <CharactersWithSpaces>3793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李美辰</cp:lastModifiedBy>
  <cp:lastPrinted>2024-03-06T07:40:00Z</cp:lastPrinted>
  <dcterms:modified xsi:type="dcterms:W3CDTF">2026-06-23T06:14:36Z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2172004D59C84ECFABA6B31A59212BE0_13</vt:lpwstr>
  </property>
  <property fmtid="{D5CDD505-2E9C-101B-9397-08002B2CF9AE}" pid="4" name="KSOTemplateDocerSaveRecord">
    <vt:lpwstr>eyJoZGlkIjoiY2Q0NTgyZGQ4Mzk4MTNjZWU0MjExNDQ5OWRjMjllM2UiLCJ1c2VySWQiOiIzNDQ1MDIwMjEifQ==</vt:lpwstr>
  </property>
</Properties>
</file>