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spacing w:line="560" w:lineRule="exact"/>
        <w:jc w:val="center"/>
        <w:rPr>
          <w:rFonts w:ascii="宋体" w:hAnsi="宋体" w:cs="宋体"/>
          <w:b/>
          <w:bCs/>
          <w:sz w:val="44"/>
          <w:szCs w:val="44"/>
        </w:rPr>
      </w:pPr>
    </w:p>
    <w:p>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石家庄市鹿泉区人民检察院</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center"/>
        <w:rPr>
          <w:rFonts w:ascii="华文楷体" w:eastAsia="华文楷体"/>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贯彻落实市委市政府《关于全面落实预算绩效管理的实施意见》（石发﹝2019﹞8号）文件精神，遵循“科学性、规范性、客观性和公正性”的原则，对</w:t>
      </w:r>
      <w:r>
        <w:rPr>
          <w:rFonts w:hint="eastAsia" w:ascii="仿宋_GB2312" w:hAnsi="仿宋_GB2312" w:eastAsia="仿宋_GB2312" w:cs="仿宋_GB2312"/>
          <w:sz w:val="32"/>
          <w:szCs w:val="32"/>
          <w:lang w:val="en-US" w:eastAsia="zh-CN"/>
        </w:rPr>
        <w:t>石家庄市鹿泉区人民检察院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年整体支出情况实施了财政支出绩效自评价，形成本评价报告。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b/>
          <w:bCs/>
          <w:sz w:val="32"/>
          <w:szCs w:val="36"/>
        </w:rPr>
      </w:pPr>
      <w:r>
        <w:rPr>
          <w:rFonts w:hint="eastAsia" w:ascii="黑体" w:hAnsi="黑体" w:eastAsia="黑体"/>
          <w:sz w:val="32"/>
          <w:szCs w:val="32"/>
        </w:rPr>
        <w:t>一、部门</w:t>
      </w:r>
      <w:r>
        <w:rPr>
          <w:rFonts w:hint="eastAsia" w:ascii="黑体" w:hAnsi="黑体" w:eastAsia="黑体"/>
          <w:sz w:val="32"/>
          <w:szCs w:val="36"/>
        </w:rPr>
        <w:t>基本情况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（一）部门概况</w:t>
      </w:r>
    </w:p>
    <w:p>
      <w:pPr>
        <w:pStyle w:val="2"/>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sz w:val="32"/>
          <w:szCs w:val="32"/>
          <w:lang w:val="en-US"/>
        </w:rPr>
        <w:t>1.</w:t>
      </w:r>
      <w:r>
        <w:rPr>
          <w:rFonts w:hint="eastAsia" w:ascii="仿宋_GB2312" w:hAnsi="仿宋_GB2312" w:eastAsia="仿宋_GB2312" w:cs="仿宋_GB2312"/>
          <w:b/>
          <w:bCs/>
          <w:sz w:val="32"/>
          <w:szCs w:val="32"/>
          <w:lang w:val="en-US" w:eastAsia="zh-CN"/>
        </w:rPr>
        <w:t>部门职能</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）深入贯彻习近平新时代中国特色社会主义思想，深入贯彻党的路线方针和决策部署，坚持党对检察工作的绝对领导，坚决维护习近平总书记的核心地位，坚决维护党中央权威和集中统一领导。</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）依法向区人民代表大会及其常务委员会提出议案。</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）贯彻落实检察工作方针、总体规划，研究制定检察工作计划并组织实施。</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）依照法律规定对直接受理的刑事案件行使侦查权。</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）负责对管辖的各类刑事案件依法审查批准逮捕、提起公诉。</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zh-CN" w:bidi="ar-SA"/>
        </w:rPr>
        <w:t>）负责应由本院承办的刑事、民事、行政诉讼活动及刑事、民事、行政判决和裁定等生效法律文书执行的法律监督工作。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）负责应由本院承办的提起公益诉讼工作。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8</w:t>
      </w:r>
      <w:r>
        <w:rPr>
          <w:rFonts w:hint="eastAsia" w:ascii="仿宋_GB2312" w:hAnsi="仿宋_GB2312" w:eastAsia="仿宋_GB2312" w:cs="仿宋_GB2312"/>
          <w:kern w:val="2"/>
          <w:sz w:val="32"/>
          <w:szCs w:val="32"/>
          <w:lang w:val="en-US" w:eastAsia="zh-CN" w:bidi="ar-SA"/>
        </w:rPr>
        <w:t>）依法受理核准追诉案件，审查是否上报。</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9</w:t>
      </w:r>
      <w:r>
        <w:rPr>
          <w:rFonts w:hint="eastAsia" w:ascii="仿宋_GB2312" w:hAnsi="仿宋_GB2312" w:eastAsia="仿宋_GB2312" w:cs="仿宋_GB2312"/>
          <w:kern w:val="2"/>
          <w:sz w:val="32"/>
          <w:szCs w:val="32"/>
          <w:lang w:val="en-US" w:eastAsia="zh-CN" w:bidi="ar-SA"/>
        </w:rPr>
        <w:t>）负责应由本院承办的对看守所、社区矫正等执法活动的法律监督工作。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10</w:t>
      </w:r>
      <w:r>
        <w:rPr>
          <w:rFonts w:hint="eastAsia" w:ascii="仿宋_GB2312" w:hAnsi="仿宋_GB2312" w:eastAsia="仿宋_GB2312" w:cs="仿宋_GB2312"/>
          <w:kern w:val="2"/>
          <w:sz w:val="32"/>
          <w:szCs w:val="32"/>
          <w:lang w:val="en-US" w:eastAsia="zh-CN" w:bidi="ar-SA"/>
        </w:rPr>
        <w:t>）受理向本院的控告、申诉、信访。承办本院管辖的国家赔偿案件和国家司法救助案件。</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11</w:t>
      </w:r>
      <w:r>
        <w:rPr>
          <w:rFonts w:hint="eastAsia" w:ascii="仿宋_GB2312" w:hAnsi="仿宋_GB2312" w:eastAsia="仿宋_GB2312" w:cs="仿宋_GB2312"/>
          <w:kern w:val="2"/>
          <w:sz w:val="32"/>
          <w:szCs w:val="32"/>
          <w:lang w:val="en-US" w:eastAsia="zh-CN" w:bidi="ar-SA"/>
        </w:rPr>
        <w:t>）组织检察工作中法律政策具体应用问题的研究；组织开展检察理论研究工作。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）负责检察人员思想政治教育和业务培训工作；按照权限管理检察官和其他工作人员。</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13</w:t>
      </w:r>
      <w:r>
        <w:rPr>
          <w:rFonts w:hint="eastAsia" w:ascii="仿宋_GB2312" w:hAnsi="仿宋_GB2312" w:eastAsia="仿宋_GB2312" w:cs="仿宋_GB2312"/>
          <w:kern w:val="2"/>
          <w:sz w:val="32"/>
          <w:szCs w:val="32"/>
          <w:lang w:val="en-US" w:eastAsia="zh-CN" w:bidi="ar-SA"/>
        </w:rPr>
        <w:t>）负责本院检务督察工作。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14</w:t>
      </w:r>
      <w:r>
        <w:rPr>
          <w:rFonts w:hint="eastAsia" w:ascii="仿宋_GB2312" w:hAnsi="仿宋_GB2312" w:eastAsia="仿宋_GB2312" w:cs="仿宋_GB2312"/>
          <w:kern w:val="2"/>
          <w:sz w:val="32"/>
          <w:szCs w:val="32"/>
          <w:lang w:val="en-US" w:eastAsia="zh-CN" w:bidi="ar-SA"/>
        </w:rPr>
        <w:t>）负责本院检务保障以及检察技术、信息化建设工作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15</w:t>
      </w:r>
      <w:r>
        <w:rPr>
          <w:rFonts w:hint="eastAsia" w:ascii="仿宋_GB2312" w:hAnsi="仿宋_GB2312" w:eastAsia="仿宋_GB2312" w:cs="仿宋_GB2312"/>
          <w:kern w:val="2"/>
          <w:sz w:val="32"/>
          <w:szCs w:val="32"/>
          <w:lang w:val="en-US" w:eastAsia="zh-CN" w:bidi="ar-SA"/>
        </w:rPr>
        <w:t>）完成其他应当由本院负责的工作。</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Calibri" w:eastAsia="仿宋_GB2312" w:cs="仿宋_GB2312"/>
          <w:b/>
          <w:bCs/>
          <w:kern w:val="0"/>
          <w:sz w:val="32"/>
          <w:szCs w:val="32"/>
          <w:lang w:val="en-US" w:eastAsia="zh-CN" w:bidi="ar-SA"/>
        </w:rPr>
      </w:pPr>
      <w:r>
        <w:rPr>
          <w:rFonts w:hint="default" w:ascii="仿宋_GB2312" w:hAnsi="Calibri" w:eastAsia="仿宋_GB2312" w:cs="仿宋_GB2312"/>
          <w:b/>
          <w:bCs/>
          <w:kern w:val="0"/>
          <w:sz w:val="32"/>
          <w:szCs w:val="32"/>
          <w:lang w:val="en-US" w:eastAsia="zh-CN" w:bidi="ar-SA"/>
        </w:rPr>
        <w:t>2.</w:t>
      </w:r>
      <w:r>
        <w:rPr>
          <w:rFonts w:hint="eastAsia" w:ascii="仿宋_GB2312" w:hAnsi="Calibri" w:eastAsia="仿宋_GB2312" w:cs="仿宋_GB2312"/>
          <w:b/>
          <w:bCs/>
          <w:kern w:val="0"/>
          <w:sz w:val="32"/>
          <w:szCs w:val="32"/>
          <w:lang w:val="en-US" w:eastAsia="zh-CN" w:bidi="ar-SA"/>
        </w:rPr>
        <w:t>组织机构及人员</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本院下设办公室、第一检察部、第二检察部、第三检察部、政治部共计5个部门。202</w:t>
      </w:r>
      <w:r>
        <w:rPr>
          <w:rFonts w:hint="default" w:ascii="仿宋_GB2312" w:hAnsi="仿宋_GB2312" w:eastAsia="仿宋_GB2312" w:cs="仿宋_GB2312"/>
          <w:sz w:val="32"/>
          <w:szCs w:val="32"/>
          <w:lang w:val="en-US"/>
        </w:rPr>
        <w:t>5</w:t>
      </w:r>
      <w:r>
        <w:rPr>
          <w:rFonts w:hint="eastAsia" w:ascii="仿宋_GB2312" w:hAnsi="仿宋_GB2312" w:eastAsia="仿宋_GB2312" w:cs="仿宋_GB2312"/>
          <w:sz w:val="32"/>
          <w:szCs w:val="32"/>
        </w:rPr>
        <w:t>年本单位机构为1，编制人员为44人，实际在职人员4</w:t>
      </w: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rPr>
        <w:t>人，较上年度人员增加</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人，其中新</w:t>
      </w:r>
      <w:r>
        <w:rPr>
          <w:rFonts w:hint="eastAsia" w:ascii="仿宋_GB2312" w:hAnsi="仿宋_GB2312" w:eastAsia="仿宋_GB2312" w:cs="仿宋_GB2312"/>
          <w:sz w:val="32"/>
          <w:szCs w:val="32"/>
          <w:lang w:val="en-US" w:eastAsia="zh-CN"/>
        </w:rPr>
        <w:t>调入</w:t>
      </w: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退休1人。</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_GB2312"/>
          <w:bCs/>
          <w:sz w:val="32"/>
          <w:szCs w:val="32"/>
        </w:rPr>
      </w:pPr>
      <w:r>
        <w:rPr>
          <w:rFonts w:hint="eastAsia" w:ascii="楷体" w:hAnsi="楷体" w:eastAsia="楷体" w:cs="楷体_GB2312"/>
          <w:bCs/>
          <w:sz w:val="32"/>
          <w:szCs w:val="32"/>
          <w:lang w:eastAsia="zh-CN"/>
        </w:rPr>
        <w:t>（</w:t>
      </w:r>
      <w:r>
        <w:rPr>
          <w:rFonts w:hint="eastAsia" w:ascii="楷体" w:hAnsi="楷体" w:eastAsia="楷体" w:cs="楷体_GB2312"/>
          <w:bCs/>
          <w:sz w:val="32"/>
          <w:szCs w:val="32"/>
          <w:lang w:val="en-US" w:eastAsia="zh-CN"/>
        </w:rPr>
        <w:t>二</w:t>
      </w:r>
      <w:r>
        <w:rPr>
          <w:rFonts w:hint="eastAsia" w:ascii="楷体" w:hAnsi="楷体" w:eastAsia="楷体" w:cs="楷体_GB2312"/>
          <w:bCs/>
          <w:sz w:val="32"/>
          <w:szCs w:val="32"/>
          <w:lang w:eastAsia="zh-CN"/>
        </w:rPr>
        <w:t>）</w:t>
      </w:r>
      <w:r>
        <w:rPr>
          <w:rFonts w:hint="eastAsia" w:ascii="楷体" w:hAnsi="楷体" w:eastAsia="楷体" w:cs="楷体_GB2312"/>
          <w:bCs/>
          <w:sz w:val="32"/>
          <w:szCs w:val="32"/>
        </w:rPr>
        <w:t>部门收支预决算情况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年财政批复部门收支预算为</w:t>
      </w:r>
      <w:r>
        <w:rPr>
          <w:rFonts w:hint="default" w:ascii="仿宋_GB2312" w:hAnsi="仿宋_GB2312" w:eastAsia="仿宋_GB2312" w:cs="仿宋_GB2312"/>
          <w:sz w:val="32"/>
          <w:szCs w:val="32"/>
          <w:lang w:val="en-US" w:eastAsia="zh-CN"/>
        </w:rPr>
        <w:t>1755.13</w:t>
      </w:r>
      <w:r>
        <w:rPr>
          <w:rFonts w:hint="eastAsia" w:ascii="仿宋_GB2312" w:hAnsi="仿宋_GB2312" w:eastAsia="仿宋_GB2312" w:cs="仿宋_GB2312"/>
          <w:sz w:val="32"/>
          <w:szCs w:val="32"/>
        </w:rPr>
        <w:t>万元。其中：基本支出</w:t>
      </w:r>
      <w:r>
        <w:rPr>
          <w:rFonts w:hint="default" w:ascii="仿宋_GB2312" w:hAnsi="仿宋_GB2312" w:eastAsia="仿宋_GB2312" w:cs="仿宋_GB2312"/>
          <w:sz w:val="32"/>
          <w:szCs w:val="32"/>
          <w:lang w:val="en-US" w:eastAsia="zh-CN"/>
        </w:rPr>
        <w:t>1215.79</w:t>
      </w:r>
      <w:r>
        <w:rPr>
          <w:rFonts w:hint="eastAsia" w:ascii="仿宋_GB2312" w:hAnsi="仿宋_GB2312" w:eastAsia="仿宋_GB2312" w:cs="仿宋_GB2312"/>
          <w:sz w:val="32"/>
          <w:szCs w:val="32"/>
        </w:rPr>
        <w:t>万元，占</w:t>
      </w:r>
      <w:r>
        <w:rPr>
          <w:rFonts w:hint="default" w:ascii="仿宋_GB2312" w:hAnsi="仿宋_GB2312" w:eastAsia="仿宋_GB2312" w:cs="仿宋_GB2312"/>
          <w:sz w:val="32"/>
          <w:szCs w:val="32"/>
          <w:lang w:val="en-US" w:eastAsia="zh-CN"/>
        </w:rPr>
        <w:t>69.27</w:t>
      </w:r>
      <w:r>
        <w:rPr>
          <w:rFonts w:hint="eastAsia" w:ascii="仿宋_GB2312" w:hAnsi="仿宋_GB2312" w:eastAsia="仿宋_GB2312" w:cs="仿宋_GB2312"/>
          <w:sz w:val="32"/>
          <w:szCs w:val="32"/>
        </w:rPr>
        <w:t>%；项目支出</w:t>
      </w:r>
      <w:r>
        <w:rPr>
          <w:rFonts w:hint="default" w:ascii="仿宋_GB2312" w:hAnsi="仿宋_GB2312" w:eastAsia="仿宋_GB2312" w:cs="仿宋_GB2312"/>
          <w:sz w:val="32"/>
          <w:szCs w:val="32"/>
          <w:lang w:val="en-US" w:eastAsia="zh-CN"/>
        </w:rPr>
        <w:t>539.34</w:t>
      </w:r>
      <w:r>
        <w:rPr>
          <w:rFonts w:hint="eastAsia" w:ascii="仿宋_GB2312" w:hAnsi="仿宋_GB2312" w:eastAsia="仿宋_GB2312" w:cs="仿宋_GB2312"/>
          <w:sz w:val="32"/>
          <w:szCs w:val="32"/>
        </w:rPr>
        <w:t>万元，占</w:t>
      </w:r>
      <w:r>
        <w:rPr>
          <w:rFonts w:hint="default" w:ascii="仿宋_GB2312" w:hAnsi="仿宋_GB2312" w:eastAsia="仿宋_GB2312" w:cs="仿宋_GB2312"/>
          <w:sz w:val="32"/>
          <w:szCs w:val="32"/>
          <w:lang w:val="en-US" w:eastAsia="zh-CN"/>
        </w:rPr>
        <w:t>30.73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基本支出中：人员经费 </w:t>
      </w:r>
      <w:r>
        <w:rPr>
          <w:rFonts w:hint="default" w:ascii="仿宋_GB2312" w:hAnsi="仿宋_GB2312" w:eastAsia="仿宋_GB2312" w:cs="仿宋_GB2312"/>
          <w:sz w:val="32"/>
          <w:szCs w:val="32"/>
          <w:lang w:val="en-US" w:eastAsia="zh-CN"/>
        </w:rPr>
        <w:t>1078.72</w:t>
      </w:r>
      <w:r>
        <w:rPr>
          <w:rFonts w:hint="eastAsia" w:ascii="仿宋_GB2312" w:hAnsi="仿宋_GB2312" w:eastAsia="仿宋_GB2312" w:cs="仿宋_GB2312"/>
          <w:sz w:val="32"/>
          <w:szCs w:val="32"/>
        </w:rPr>
        <w:t>万元，主要包括基本工资、津贴补贴、奖金、机关事业单位基本养老保险缴费、职工基本医疗保险缴费、住房公积金、其他社会保障缴费、</w:t>
      </w:r>
      <w:r>
        <w:rPr>
          <w:rFonts w:hint="eastAsia" w:ascii="仿宋_GB2312" w:hAnsi="仿宋_GB2312" w:eastAsia="仿宋_GB2312" w:cs="仿宋_GB2312"/>
          <w:sz w:val="32"/>
          <w:szCs w:val="32"/>
          <w:lang w:val="en-US" w:eastAsia="zh-CN"/>
        </w:rPr>
        <w:t>离休费、</w:t>
      </w:r>
      <w:r>
        <w:rPr>
          <w:rFonts w:hint="eastAsia" w:ascii="仿宋_GB2312" w:hAnsi="仿宋_GB2312" w:eastAsia="仿宋_GB2312" w:cs="仿宋_GB2312"/>
          <w:sz w:val="32"/>
          <w:szCs w:val="32"/>
        </w:rPr>
        <w:t>退休费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公用经费</w:t>
      </w:r>
      <w:r>
        <w:rPr>
          <w:rFonts w:hint="default" w:ascii="仿宋_GB2312" w:hAnsi="仿宋_GB2312" w:eastAsia="仿宋_GB2312" w:cs="仿宋_GB2312"/>
          <w:sz w:val="32"/>
          <w:szCs w:val="32"/>
          <w:lang w:val="en-US" w:eastAsia="zh-CN"/>
        </w:rPr>
        <w:t>137.07</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水费、电费、</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val="en-US" w:eastAsia="zh-CN"/>
        </w:rPr>
        <w:t>取暖费、</w:t>
      </w:r>
      <w:r>
        <w:rPr>
          <w:rFonts w:hint="eastAsia" w:ascii="仿宋_GB2312" w:hAnsi="仿宋_GB2312" w:eastAsia="仿宋_GB2312" w:cs="仿宋_GB2312"/>
          <w:sz w:val="32"/>
          <w:szCs w:val="32"/>
        </w:rPr>
        <w:t>工会经费、福利费、公务用车运行维护费、其他交通费用、其他商品和服务支出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pStyle w:val="9"/>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仿宋_GB2312" w:eastAsia="仿宋_GB2312" w:cs="仿宋_GB2312"/>
          <w:b/>
          <w:bCs/>
          <w:kern w:val="2"/>
          <w:sz w:val="32"/>
          <w:szCs w:val="32"/>
          <w:lang w:val="en-US" w:eastAsia="zh-CN" w:bidi="ar-SA"/>
        </w:rPr>
      </w:pPr>
      <w:r>
        <w:rPr>
          <w:rFonts w:hint="default"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kern w:val="2"/>
          <w:sz w:val="32"/>
          <w:szCs w:val="32"/>
          <w:lang w:val="en-US" w:eastAsia="zh-CN" w:bidi="ar-SA"/>
        </w:rPr>
        <w:t>总体绩效目标</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一是进一步服务好经济社会发展。充分发挥检察职能作用，将检察工作和服务鹿泉工作大局相结合，主动担责、认真履责、扎实尽责，凝聚社会共识与合力，为鹿泉经济高质量发展贡献检察智慧和检察力量。</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二是积极参与扫黑除恶专项斗争。充分发挥批捕、起诉作用，进一步完善涉嫌职务犯罪案件线索发现、移送机制，深挖彻查、坚决打击黑恶势力的“关系网”和“保护伞”。</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是全力维护社会和谐稳定。坚决依法打击严重暴力犯罪、多发性侵财犯罪和利用网络实施的犯罪，积极推进刑事和解、量刑建议等改革，健全检察环节社会矛盾排查化解、执法办案风险评估等机制，健全涉检信访工作长效机制，配合有关部门加强社区矫正人员帮教管理，积极参与社区矫正工作。</w:t>
      </w:r>
    </w:p>
    <w:p>
      <w:pPr>
        <w:pStyle w:val="9"/>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仿宋_GB2312" w:eastAsia="仿宋_GB2312" w:cs="仿宋_GB2312"/>
          <w:b/>
          <w:bCs/>
          <w:kern w:val="2"/>
          <w:sz w:val="32"/>
          <w:szCs w:val="32"/>
          <w:lang w:val="en-US" w:eastAsia="zh-CN" w:bidi="ar-SA"/>
        </w:rPr>
      </w:pPr>
      <w:r>
        <w:rPr>
          <w:rFonts w:hint="default"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kern w:val="2"/>
          <w:sz w:val="32"/>
          <w:szCs w:val="32"/>
          <w:lang w:val="en-US" w:eastAsia="zh-CN" w:bidi="ar-SA"/>
        </w:rPr>
        <w:t>分项绩效目标</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）检察监督</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绩效目标：对于公安机关移送的批捕案件进行提讯犯罪嫌疑人；对于公安机关移送的刑事案件受理后进行提讯犯罪嫌疑人；批捕案件与公诉案件受理后在法定实现内办结案件。</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绩效指标：对各项办案业务工作保障率为100%，及时保障各项办案业务的办公需要，维持单位正常运转。</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）检察事务管理</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绩效目标：将办公楼占地补偿费拨付到贺庄、三街村委会；完成2024年档案数字化扫描工作。</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绩效指标：占地补偿费实际拨付比例不低于90%，按签订的承诺书进行拨款；完成2024年档案数字化扫描与整理工作。</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）控告和刑事申诉检察</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绩效目标：根据《赔偿决定书》依法办理国家赔偿案件，对申请人进行经济赔偿，及时足额发放到案件请求人，保障国家赔偿案件请求人依法获得国家赔偿权利。</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绩效指标：应当赔偿的案件结案后进行足额发放赔偿金；赔偿金按时发放到案件请求人。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cs="楷体_GB2312"/>
          <w:sz w:val="32"/>
          <w:szCs w:val="32"/>
        </w:rPr>
      </w:pPr>
      <w:r>
        <w:rPr>
          <w:rFonts w:hint="eastAsia" w:ascii="楷体" w:hAnsi="楷体" w:eastAsia="楷体" w:cs="楷体_GB2312"/>
          <w:bCs/>
          <w:sz w:val="32"/>
          <w:szCs w:val="32"/>
        </w:rPr>
        <w:t>（一）自评的组织工作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市委市政府《关于全面落实预算绩效管理的实施意见》（石发﹝2019﹞8号）文件精神，遵循“科学性、规范性、客观性和公正性”的原则，</w:t>
      </w:r>
      <w:r>
        <w:rPr>
          <w:rFonts w:hint="eastAsia" w:ascii="仿宋_GB2312" w:hAnsi="仿宋_GB2312" w:eastAsia="仿宋_GB2312" w:cs="仿宋_GB2312"/>
          <w:sz w:val="32"/>
          <w:szCs w:val="32"/>
          <w:lang w:val="en-US" w:eastAsia="zh-CN"/>
        </w:rPr>
        <w:t>我院成立了以主管检察长、副检察长、办公室、财务人员组成的预算项目绩效运行监控小组，</w:t>
      </w:r>
      <w:r>
        <w:rPr>
          <w:rFonts w:hint="eastAsia" w:ascii="仿宋_GB2312" w:hAnsi="仿宋_GB2312" w:eastAsia="仿宋_GB2312" w:cs="仿宋_GB2312"/>
          <w:sz w:val="32"/>
          <w:szCs w:val="32"/>
        </w:rPr>
        <w:t>对自评工作进行研究和部署</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lang w:eastAsia="zh-CN"/>
        </w:rPr>
        <w:t>（</w:t>
      </w:r>
      <w:r>
        <w:rPr>
          <w:rFonts w:hint="eastAsia" w:ascii="楷体" w:hAnsi="楷体" w:eastAsia="楷体" w:cs="楷体_GB2312"/>
          <w:bCs/>
          <w:sz w:val="32"/>
          <w:szCs w:val="32"/>
          <w:lang w:val="en-US" w:eastAsia="zh-CN"/>
        </w:rPr>
        <w:t>二</w:t>
      </w:r>
      <w:r>
        <w:rPr>
          <w:rFonts w:hint="eastAsia" w:ascii="楷体" w:hAnsi="楷体" w:eastAsia="楷体" w:cs="楷体_GB2312"/>
          <w:bCs/>
          <w:sz w:val="32"/>
          <w:szCs w:val="32"/>
          <w:lang w:eastAsia="zh-CN"/>
        </w:rPr>
        <w:t>）</w:t>
      </w:r>
      <w:r>
        <w:rPr>
          <w:rFonts w:hint="eastAsia" w:ascii="楷体" w:hAnsi="楷体" w:eastAsia="楷体" w:cs="楷体_GB2312"/>
          <w:bCs/>
          <w:sz w:val="32"/>
          <w:szCs w:val="32"/>
        </w:rPr>
        <w:t>自评的方法和过程</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定期对绩效监控情况进行收集、汇总、整理、分析。在绩效监控过程中，对于项目进行较慢、出现绩效目标偏差、发现存在问题的及时进行整改，调整绩效目标，扎实推进绩效监控工作有序开展，提高财政资金使用效益。</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b/>
          <w:bCs/>
          <w:sz w:val="32"/>
          <w:szCs w:val="32"/>
        </w:rPr>
      </w:pPr>
      <w:r>
        <w:rPr>
          <w:rFonts w:hint="eastAsia" w:ascii="黑体" w:hAnsi="黑体" w:eastAsia="黑体"/>
          <w:sz w:val="32"/>
          <w:szCs w:val="32"/>
        </w:rPr>
        <w:t>三、部门整体支出绩效目标实现情况及指标分析</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lang w:eastAsia="zh-CN"/>
        </w:rPr>
        <w:t>（</w:t>
      </w:r>
      <w:r>
        <w:rPr>
          <w:rFonts w:hint="eastAsia" w:ascii="楷体" w:hAnsi="楷体" w:eastAsia="楷体" w:cs="楷体_GB2312"/>
          <w:bCs/>
          <w:sz w:val="32"/>
          <w:szCs w:val="32"/>
          <w:lang w:val="en-US" w:eastAsia="zh-CN"/>
        </w:rPr>
        <w:t>一</w:t>
      </w:r>
      <w:r>
        <w:rPr>
          <w:rFonts w:hint="eastAsia" w:ascii="楷体" w:hAnsi="楷体" w:eastAsia="楷体" w:cs="楷体_GB2312"/>
          <w:bCs/>
          <w:sz w:val="32"/>
          <w:szCs w:val="32"/>
          <w:lang w:eastAsia="zh-CN"/>
        </w:rPr>
        <w:t>）</w:t>
      </w:r>
      <w:r>
        <w:rPr>
          <w:rFonts w:hint="eastAsia" w:ascii="楷体" w:hAnsi="楷体" w:eastAsia="楷体" w:cs="楷体_GB2312"/>
          <w:bCs/>
          <w:sz w:val="32"/>
          <w:szCs w:val="32"/>
        </w:rPr>
        <w:t>总体绩效目标实现情况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充分发挥检察职能作用，积极参与扫黑除恶专项斗争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充分发挥批捕、起诉作用，进一步完善涉嫌职务犯罪案件线索发现、移送机制，深挖彻查、坚决打击黑恶势力的“关系网”和“保护伞”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积极推进刑事和解、量刑建议等改革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pPr>
        <w:pStyle w:val="9"/>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Times New Roman" w:eastAsia="仿宋_GB2312" w:cs="仿宋_GB2312"/>
          <w:b/>
          <w:bCs/>
          <w:kern w:val="2"/>
          <w:sz w:val="32"/>
          <w:szCs w:val="32"/>
          <w:lang w:val="en-US" w:eastAsia="zh-CN" w:bidi="ar-SA"/>
        </w:rPr>
      </w:pPr>
      <w:r>
        <w:rPr>
          <w:rFonts w:hint="default" w:ascii="仿宋_GB2312" w:hAnsi="Times New Roman" w:eastAsia="仿宋_GB2312" w:cs="仿宋_GB2312"/>
          <w:b/>
          <w:bCs/>
          <w:kern w:val="2"/>
          <w:sz w:val="32"/>
          <w:szCs w:val="32"/>
          <w:lang w:val="en-US" w:eastAsia="zh-CN" w:bidi="ar-SA"/>
        </w:rPr>
        <w:t>1.</w:t>
      </w:r>
      <w:r>
        <w:rPr>
          <w:rFonts w:hint="eastAsia" w:ascii="仿宋_GB2312" w:hAnsi="Times New Roman" w:eastAsia="仿宋_GB2312" w:cs="仿宋_GB2312"/>
          <w:b/>
          <w:bCs/>
          <w:kern w:val="2"/>
          <w:sz w:val="32"/>
          <w:szCs w:val="32"/>
          <w:lang w:val="en-US" w:eastAsia="zh-CN" w:bidi="ar-SA"/>
        </w:rPr>
        <w:t>检察监督</w:t>
      </w:r>
    </w:p>
    <w:p>
      <w:pPr>
        <w:pStyle w:val="8"/>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对管辖的各类刑事案件依法审查批准逮捕、决定逮捕、提起公诉；对承办的刑事、民事、行政诉讼案件及刑事、民事、行政判决和裁定等生效法律文书进行法律监督工作；批捕与公诉案件受理后在法定实限内办结案件。</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绩效指标：对各项执法业务工作保障率为100%；及时保障各项执法业务的办公需要，维持单位正常运转。</w:t>
      </w:r>
    </w:p>
    <w:p>
      <w:pPr>
        <w:pStyle w:val="9"/>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Times New Roman" w:eastAsia="仿宋_GB2312" w:cs="仿宋_GB2312"/>
          <w:b/>
          <w:bCs/>
          <w:kern w:val="2"/>
          <w:sz w:val="32"/>
          <w:szCs w:val="32"/>
          <w:lang w:val="en-US" w:eastAsia="zh-CN" w:bidi="ar-SA"/>
        </w:rPr>
      </w:pPr>
      <w:r>
        <w:rPr>
          <w:rFonts w:hint="default" w:ascii="仿宋_GB2312" w:hAnsi="Times New Roman" w:eastAsia="仿宋_GB2312" w:cs="仿宋_GB2312"/>
          <w:b/>
          <w:bCs/>
          <w:kern w:val="2"/>
          <w:sz w:val="32"/>
          <w:szCs w:val="32"/>
          <w:lang w:val="en-US" w:eastAsia="zh-CN" w:bidi="ar-SA"/>
        </w:rPr>
        <w:t>2.</w:t>
      </w:r>
      <w:r>
        <w:rPr>
          <w:rFonts w:hint="eastAsia" w:ascii="仿宋_GB2312" w:hAnsi="Times New Roman" w:eastAsia="仿宋_GB2312" w:cs="仿宋_GB2312"/>
          <w:b/>
          <w:bCs/>
          <w:kern w:val="2"/>
          <w:sz w:val="32"/>
          <w:szCs w:val="32"/>
          <w:lang w:val="en-US" w:eastAsia="zh-CN" w:bidi="ar-SA"/>
        </w:rPr>
        <w:t>检察事务管理</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绩效目标：将办公楼占地补偿费拨付到贺庄、三街村委会；完成档案数字化扫描工作；按时完成书记员工资发放及社保缴费工作；按时完成劳务派遣工资发放及社保缴费工作；。</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绩效指标：占地补偿费实际拨付比例不低于90%，按签订的承诺书进行拨款；每月按时发放书记员与劳务派遣工资，按时缴纳社会保险；完成</w:t>
      </w:r>
      <w:r>
        <w:rPr>
          <w:rFonts w:hint="default"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年</w:t>
      </w:r>
      <w:r>
        <w:rPr>
          <w:rFonts w:hint="default"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年部分诉讼档案与文书档案数字化扫描工作。</w:t>
      </w:r>
    </w:p>
    <w:p>
      <w:pPr>
        <w:pStyle w:val="9"/>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仿宋_GB2312" w:hAnsi="Times New Roman" w:eastAsia="仿宋_GB2312" w:cs="仿宋_GB2312"/>
          <w:b/>
          <w:bCs/>
          <w:kern w:val="2"/>
          <w:sz w:val="32"/>
          <w:szCs w:val="32"/>
          <w:lang w:val="en-US" w:eastAsia="zh-CN" w:bidi="ar-SA"/>
        </w:rPr>
      </w:pPr>
      <w:r>
        <w:rPr>
          <w:rFonts w:hint="default" w:ascii="仿宋_GB2312" w:hAnsi="Times New Roman" w:eastAsia="仿宋_GB2312" w:cs="仿宋_GB2312"/>
          <w:b/>
          <w:bCs/>
          <w:kern w:val="2"/>
          <w:sz w:val="32"/>
          <w:szCs w:val="32"/>
          <w:lang w:val="en-US" w:eastAsia="zh-CN" w:bidi="ar-SA"/>
        </w:rPr>
        <w:t>3.</w:t>
      </w:r>
      <w:r>
        <w:rPr>
          <w:rFonts w:hint="eastAsia" w:ascii="仿宋_GB2312" w:hAnsi="Times New Roman" w:eastAsia="仿宋_GB2312" w:cs="仿宋_GB2312"/>
          <w:b/>
          <w:bCs/>
          <w:kern w:val="2"/>
          <w:sz w:val="32"/>
          <w:szCs w:val="32"/>
          <w:lang w:val="en-US" w:eastAsia="zh-CN" w:bidi="ar-SA"/>
        </w:rPr>
        <w:t>控告和刑事申诉检察</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绩效目标：根据《刑事赔偿决定书》依法办理达到国家赔偿条件的国家赔偿案件，对申请人进行经济赔偿，及时足额发放到赔偿请求人，保障国家赔偿案件的请求人依法获得国家赔偿权利。</w:t>
      </w:r>
    </w:p>
    <w:p>
      <w:pPr>
        <w:pStyle w:val="9"/>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绩效指标：国家赔偿案件数量</w:t>
      </w: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件；应当赔偿的案件结案后足额发放赔偿金数量；赔偿金按时发放到赔偿请求人。</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根据项目执行情况和项目绩效情况，1、办公楼占地补偿项目综合绩效评分为</w:t>
      </w:r>
      <w:r>
        <w:rPr>
          <w:rFonts w:hint="default" w:ascii="仿宋_GB2312" w:hAnsi="仿宋_GB2312" w:eastAsia="仿宋_GB2312" w:cs="仿宋_GB2312"/>
          <w:kern w:val="2"/>
          <w:sz w:val="32"/>
          <w:szCs w:val="32"/>
          <w:lang w:val="en-US" w:eastAsia="zh-CN" w:bidi="ar-SA"/>
        </w:rPr>
        <w:t>97</w:t>
      </w:r>
      <w:r>
        <w:rPr>
          <w:rFonts w:hint="eastAsia" w:ascii="仿宋_GB2312" w:hAnsi="仿宋_GB2312" w:eastAsia="仿宋_GB2312" w:cs="仿宋_GB2312"/>
          <w:kern w:val="2"/>
          <w:sz w:val="32"/>
          <w:szCs w:val="32"/>
          <w:lang w:val="en-US" w:eastAsia="zh-CN" w:bidi="ar-SA"/>
        </w:rPr>
        <w:t>分，优秀。2、档案数字化扫描项目综合绩效评分为98分，优秀。3、业务保障经费项目综合绩效评分为</w:t>
      </w:r>
      <w:r>
        <w:rPr>
          <w:rFonts w:hint="default" w:ascii="仿宋_GB2312" w:hAnsi="仿宋_GB2312" w:eastAsia="仿宋_GB2312" w:cs="仿宋_GB2312"/>
          <w:kern w:val="2"/>
          <w:sz w:val="32"/>
          <w:szCs w:val="32"/>
          <w:lang w:val="en-US" w:eastAsia="zh-CN" w:bidi="ar-SA"/>
        </w:rPr>
        <w:t>95</w:t>
      </w:r>
      <w:r>
        <w:rPr>
          <w:rFonts w:hint="eastAsia" w:ascii="仿宋_GB2312" w:hAnsi="仿宋_GB2312" w:eastAsia="仿宋_GB2312" w:cs="仿宋_GB2312"/>
          <w:kern w:val="2"/>
          <w:sz w:val="32"/>
          <w:szCs w:val="32"/>
          <w:lang w:val="en-US" w:eastAsia="zh-CN" w:bidi="ar-SA"/>
        </w:rPr>
        <w:t>分，优秀。4、聘用制书记员人员经费项目综合绩效评分为100分，优秀。5、劳动聘用人员经费项目综合绩效评分为100分，优秀。6、单位运行电费项目综合绩效评分为</w:t>
      </w:r>
      <w:r>
        <w:rPr>
          <w:rFonts w:hint="default" w:ascii="仿宋_GB2312" w:hAnsi="仿宋_GB2312" w:eastAsia="仿宋_GB2312" w:cs="仿宋_GB2312"/>
          <w:kern w:val="2"/>
          <w:sz w:val="32"/>
          <w:szCs w:val="32"/>
          <w:lang w:val="en-US" w:eastAsia="zh-CN" w:bidi="ar-SA"/>
        </w:rPr>
        <w:t>100</w:t>
      </w:r>
      <w:r>
        <w:rPr>
          <w:rFonts w:hint="eastAsia" w:ascii="仿宋_GB2312" w:hAnsi="仿宋_GB2312" w:eastAsia="仿宋_GB2312" w:cs="仿宋_GB2312"/>
          <w:kern w:val="2"/>
          <w:sz w:val="32"/>
          <w:szCs w:val="32"/>
          <w:lang w:val="en-US" w:eastAsia="zh-CN" w:bidi="ar-SA"/>
        </w:rPr>
        <w:t>份，优秀。7、党组织活动经费项目综合绩效评分为100分，优秀。8、文件资料印刷费项目综合绩效评分为100分，优秀。9、专项邮电费项目综合绩效评分为100分，优秀。10、国家赔偿金项目综合绩效评分为</w:t>
      </w:r>
      <w:r>
        <w:rPr>
          <w:rFonts w:hint="default" w:ascii="仿宋_GB2312" w:hAnsi="仿宋_GB2312" w:eastAsia="仿宋_GB2312" w:cs="仿宋_GB2312"/>
          <w:kern w:val="2"/>
          <w:sz w:val="32"/>
          <w:szCs w:val="32"/>
          <w:lang w:val="en-US" w:eastAsia="zh-CN" w:bidi="ar-SA"/>
        </w:rPr>
        <w:t>100</w:t>
      </w:r>
      <w:r>
        <w:rPr>
          <w:rFonts w:hint="eastAsia" w:ascii="仿宋_GB2312" w:hAnsi="仿宋_GB2312" w:eastAsia="仿宋_GB2312" w:cs="仿宋_GB2312"/>
          <w:kern w:val="2"/>
          <w:sz w:val="32"/>
          <w:szCs w:val="32"/>
          <w:lang w:val="en-US" w:eastAsia="zh-CN" w:bidi="ar-SA"/>
        </w:rPr>
        <w:t>分，优秀。</w:t>
      </w:r>
      <w:bookmarkStart w:id="0" w:name="_GoBack"/>
      <w:bookmarkEnd w:id="0"/>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（一）存在的主要问题</w:t>
      </w:r>
    </w:p>
    <w:p>
      <w:pPr>
        <w:pStyle w:val="2"/>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通过整体支出绩效自评发现存在的主要问题有制度不够完善，支出进度较慢。</w:t>
      </w:r>
    </w:p>
    <w:p>
      <w:pPr>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楷体" w:hAnsi="楷体" w:eastAsia="楷体"/>
          <w:bCs/>
          <w:sz w:val="32"/>
          <w:szCs w:val="32"/>
        </w:rPr>
        <w:t>（二）针对问题提出具体的改进措施或建议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完善制度建设。将事前评估、目标管理、运行监控、绩效评价、结果应用等各项改革措施，有效融入预算管理的全过程。建立统筹协调、分工协作、密切配合、合力推进的工作机制，围绕年度总体绩效目标和分项绩效目标，明确责任主体，实施进度要求，确保如期完成。</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加强支出管理。强化财政预算执行刚性，编细编实预算，对预算的事前、事中、事后进行全过程控制，进一步提高财政资金使用效益。加强支出结构优化，通过加快履行政府采购手续、尽快启动项目、及时支付资金、细化代编预算等多种举措，确保按照时间节点完成支出任务。</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3、加强绩效运行监控。按要求开展绩效运行监控，依据确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定的绩效目标，采取项目跟踪、数据核查和汇总分析等方式，动态了解和掌握项目绩效目标实现程度、资金支出进度和项目实施进度，对评价中发现的问题及时整改，确保绩效目标按期保质完成。</w:t>
      </w:r>
    </w:p>
    <w:p>
      <w:pPr>
        <w:adjustRightInd w:val="0"/>
        <w:snapToGrid w:val="0"/>
        <w:spacing w:line="560" w:lineRule="exact"/>
        <w:ind w:firstLine="640" w:firstLineChars="200"/>
        <w:rPr>
          <w:rFonts w:ascii="黑体" w:hAnsi="黑体" w:eastAsia="黑体"/>
          <w:sz w:val="32"/>
          <w:szCs w:val="32"/>
        </w:rPr>
      </w:pPr>
    </w:p>
    <w:p>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30F81"/>
    <w:rsid w:val="000B0260"/>
    <w:rsid w:val="000C28FF"/>
    <w:rsid w:val="001F187B"/>
    <w:rsid w:val="007E6C1F"/>
    <w:rsid w:val="00956A93"/>
    <w:rsid w:val="009E575C"/>
    <w:rsid w:val="00AF167E"/>
    <w:rsid w:val="00AF566A"/>
    <w:rsid w:val="00B478EA"/>
    <w:rsid w:val="00B6553A"/>
    <w:rsid w:val="00BC6576"/>
    <w:rsid w:val="00CE06BA"/>
    <w:rsid w:val="00F441CC"/>
    <w:rsid w:val="01B104CA"/>
    <w:rsid w:val="02106AB0"/>
    <w:rsid w:val="025D6A24"/>
    <w:rsid w:val="02B43A28"/>
    <w:rsid w:val="046F331E"/>
    <w:rsid w:val="07956271"/>
    <w:rsid w:val="09721397"/>
    <w:rsid w:val="0BB63BED"/>
    <w:rsid w:val="0C232BCA"/>
    <w:rsid w:val="0C4D0B8C"/>
    <w:rsid w:val="0EB97A43"/>
    <w:rsid w:val="0EBD2122"/>
    <w:rsid w:val="0F214EAE"/>
    <w:rsid w:val="0FA971F0"/>
    <w:rsid w:val="0FE71F65"/>
    <w:rsid w:val="105C079D"/>
    <w:rsid w:val="11B71E6A"/>
    <w:rsid w:val="11D31318"/>
    <w:rsid w:val="1392274E"/>
    <w:rsid w:val="15F83AFD"/>
    <w:rsid w:val="195513EA"/>
    <w:rsid w:val="1AA31777"/>
    <w:rsid w:val="1AAF0063"/>
    <w:rsid w:val="1B740D26"/>
    <w:rsid w:val="1BE140DE"/>
    <w:rsid w:val="1C9831AF"/>
    <w:rsid w:val="1E542E40"/>
    <w:rsid w:val="1EE84C5B"/>
    <w:rsid w:val="1F0471C7"/>
    <w:rsid w:val="1F461585"/>
    <w:rsid w:val="1FA376D1"/>
    <w:rsid w:val="203D42EA"/>
    <w:rsid w:val="2255235E"/>
    <w:rsid w:val="2365220C"/>
    <w:rsid w:val="248C197D"/>
    <w:rsid w:val="24F4713F"/>
    <w:rsid w:val="252959AF"/>
    <w:rsid w:val="2533019F"/>
    <w:rsid w:val="277A6671"/>
    <w:rsid w:val="292D35B7"/>
    <w:rsid w:val="295D0287"/>
    <w:rsid w:val="29933E0A"/>
    <w:rsid w:val="2A1D5E08"/>
    <w:rsid w:val="2BDE119B"/>
    <w:rsid w:val="2D230D49"/>
    <w:rsid w:val="2DD72627"/>
    <w:rsid w:val="309C3EBB"/>
    <w:rsid w:val="33EB6CFF"/>
    <w:rsid w:val="346E45E0"/>
    <w:rsid w:val="35A12947"/>
    <w:rsid w:val="36284497"/>
    <w:rsid w:val="37387040"/>
    <w:rsid w:val="38102299"/>
    <w:rsid w:val="38925D04"/>
    <w:rsid w:val="3B0C4728"/>
    <w:rsid w:val="3B327C91"/>
    <w:rsid w:val="3B625C0A"/>
    <w:rsid w:val="3CEE1963"/>
    <w:rsid w:val="3D08221A"/>
    <w:rsid w:val="3D0A5804"/>
    <w:rsid w:val="3DF13CF6"/>
    <w:rsid w:val="3EE65334"/>
    <w:rsid w:val="3FB2166C"/>
    <w:rsid w:val="41BC7E19"/>
    <w:rsid w:val="436B78D3"/>
    <w:rsid w:val="45B60B46"/>
    <w:rsid w:val="47406F45"/>
    <w:rsid w:val="49AD21F2"/>
    <w:rsid w:val="4A332EA6"/>
    <w:rsid w:val="4AED243F"/>
    <w:rsid w:val="4B4349B0"/>
    <w:rsid w:val="4C950707"/>
    <w:rsid w:val="4C9C27FE"/>
    <w:rsid w:val="4CE9208A"/>
    <w:rsid w:val="4ED92E9A"/>
    <w:rsid w:val="4F031622"/>
    <w:rsid w:val="4F687D0A"/>
    <w:rsid w:val="502A44B1"/>
    <w:rsid w:val="512260B4"/>
    <w:rsid w:val="51B10006"/>
    <w:rsid w:val="527C1699"/>
    <w:rsid w:val="52BD6ACB"/>
    <w:rsid w:val="52F45C7E"/>
    <w:rsid w:val="55537534"/>
    <w:rsid w:val="55BE04DE"/>
    <w:rsid w:val="561A74F1"/>
    <w:rsid w:val="58B17416"/>
    <w:rsid w:val="59455830"/>
    <w:rsid w:val="597244E8"/>
    <w:rsid w:val="5AC2755E"/>
    <w:rsid w:val="5E7A5299"/>
    <w:rsid w:val="5EB71C30"/>
    <w:rsid w:val="5FF10D5E"/>
    <w:rsid w:val="5FF554F2"/>
    <w:rsid w:val="63932B96"/>
    <w:rsid w:val="642C2788"/>
    <w:rsid w:val="6457799C"/>
    <w:rsid w:val="65FD1061"/>
    <w:rsid w:val="666E3997"/>
    <w:rsid w:val="66AF0CE5"/>
    <w:rsid w:val="68AC2130"/>
    <w:rsid w:val="68E80CF6"/>
    <w:rsid w:val="6AC537CF"/>
    <w:rsid w:val="6C660256"/>
    <w:rsid w:val="6CAB4699"/>
    <w:rsid w:val="6D9A2540"/>
    <w:rsid w:val="6E5B14A6"/>
    <w:rsid w:val="6F1E7ACD"/>
    <w:rsid w:val="70DD2357"/>
    <w:rsid w:val="711B255E"/>
    <w:rsid w:val="729D1B68"/>
    <w:rsid w:val="766D6527"/>
    <w:rsid w:val="79266499"/>
    <w:rsid w:val="7A4806B4"/>
    <w:rsid w:val="7A7C134B"/>
    <w:rsid w:val="7BB51E06"/>
    <w:rsid w:val="7C387F7C"/>
    <w:rsid w:val="7CE37077"/>
    <w:rsid w:val="7E535FEF"/>
    <w:rsid w:val="7F240100"/>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8">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573</Words>
  <Characters>590</Characters>
  <Lines>4</Lines>
  <Paragraphs>1</Paragraphs>
  <TotalTime>0</TotalTime>
  <ScaleCrop>false</ScaleCrop>
  <LinksUpToDate>false</LinksUpToDate>
  <CharactersWithSpaces>612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Administrator</cp:lastModifiedBy>
  <cp:lastPrinted>2026-03-03T01:23:00Z</cp:lastPrinted>
  <dcterms:modified xsi:type="dcterms:W3CDTF">2026-07-27T02:46:53Z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96934721B1514D3FBAA28020338CE855_12</vt:lpwstr>
  </property>
  <property fmtid="{D5CDD505-2E9C-101B-9397-08002B2CF9AE}" pid="4" name="KSOTemplateDocerSaveRecord">
    <vt:lpwstr>eyJoZGlkIjoiMDRiNGJkYjBiMjRiNTM2Zjk5YWM2NmU3YTc2OThjMTYiLCJ1c2VySWQiOiIxMDI2NzA5MTgxIn0=</vt:lpwstr>
  </property>
</Properties>
</file>