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D1A8C">
      <w:pPr>
        <w:adjustRightInd w:val="0"/>
        <w:snapToGrid w:val="0"/>
        <w:spacing w:line="560" w:lineRule="exact"/>
        <w:rPr>
          <w:rFonts w:ascii="仿宋_GB2312" w:eastAsia="仿宋_GB2312"/>
          <w:sz w:val="32"/>
          <w:szCs w:val="32"/>
        </w:rPr>
      </w:pPr>
      <w:r>
        <w:rPr>
          <w:rFonts w:hint="eastAsia" w:ascii="仿宋_GB2312" w:eastAsia="仿宋_GB2312"/>
          <w:sz w:val="32"/>
          <w:szCs w:val="32"/>
        </w:rPr>
        <w:t>附件4</w:t>
      </w:r>
    </w:p>
    <w:p w14:paraId="520B6EBC">
      <w:pPr>
        <w:spacing w:line="560" w:lineRule="exact"/>
        <w:jc w:val="center"/>
        <w:rPr>
          <w:rFonts w:ascii="宋体" w:hAnsi="宋体" w:cs="宋体"/>
          <w:b/>
          <w:bCs/>
          <w:sz w:val="44"/>
          <w:szCs w:val="44"/>
        </w:rPr>
      </w:pPr>
    </w:p>
    <w:p w14:paraId="3F4ACC91">
      <w:pPr>
        <w:keepNext w:val="0"/>
        <w:keepLines w:val="0"/>
        <w:pageBreakBefore w:val="0"/>
        <w:widowControl w:val="0"/>
        <w:kinsoku/>
        <w:wordWrap/>
        <w:overflowPunct/>
        <w:topLinePunct w:val="0"/>
        <w:autoSpaceDE/>
        <w:autoSpaceDN/>
        <w:bidi w:val="0"/>
        <w:spacing w:line="570" w:lineRule="exact"/>
        <w:ind w:left="0" w:firstLine="883" w:firstLineChars="200"/>
        <w:jc w:val="center"/>
        <w:textAlignment w:val="auto"/>
        <w:rPr>
          <w:rFonts w:ascii="宋体" w:hAnsi="宋体" w:cs="宋体"/>
          <w:b/>
          <w:bCs/>
          <w:sz w:val="44"/>
          <w:szCs w:val="44"/>
        </w:rPr>
      </w:pPr>
      <w:r>
        <w:rPr>
          <w:rFonts w:hint="eastAsia" w:ascii="宋体" w:hAnsi="宋体" w:cs="宋体"/>
          <w:b/>
          <w:bCs/>
          <w:sz w:val="44"/>
          <w:szCs w:val="44"/>
        </w:rPr>
        <w:t>赞皇县人民检察院部门</w:t>
      </w:r>
    </w:p>
    <w:p w14:paraId="66CC345E">
      <w:pPr>
        <w:keepNext w:val="0"/>
        <w:keepLines w:val="0"/>
        <w:pageBreakBefore w:val="0"/>
        <w:widowControl w:val="0"/>
        <w:kinsoku/>
        <w:wordWrap/>
        <w:overflowPunct/>
        <w:topLinePunct w:val="0"/>
        <w:autoSpaceDE/>
        <w:autoSpaceDN/>
        <w:bidi w:val="0"/>
        <w:spacing w:line="570" w:lineRule="exact"/>
        <w:ind w:left="0" w:firstLine="883" w:firstLineChars="200"/>
        <w:jc w:val="center"/>
        <w:textAlignment w:val="auto"/>
        <w:rPr>
          <w:rFonts w:ascii="宋体" w:hAnsi="宋体" w:cs="宋体"/>
          <w:sz w:val="32"/>
          <w:szCs w:val="32"/>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44B652AA">
      <w:pPr>
        <w:keepNext w:val="0"/>
        <w:keepLines w:val="0"/>
        <w:pageBreakBefore w:val="0"/>
        <w:widowControl w:val="0"/>
        <w:kinsoku/>
        <w:wordWrap/>
        <w:overflowPunct/>
        <w:topLinePunct w:val="0"/>
        <w:autoSpaceDE/>
        <w:autoSpaceDN/>
        <w:bidi w:val="0"/>
        <w:spacing w:line="570" w:lineRule="exact"/>
        <w:ind w:left="0" w:firstLine="640" w:firstLineChars="200"/>
        <w:jc w:val="center"/>
        <w:textAlignment w:val="auto"/>
        <w:rPr>
          <w:rFonts w:ascii="华文楷体" w:eastAsia="华文楷体"/>
          <w:sz w:val="32"/>
          <w:szCs w:val="32"/>
        </w:rPr>
      </w:pPr>
    </w:p>
    <w:p w14:paraId="787433E2">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贯彻落实市委市政府《关于全面落实预算绩效管理的实施意见》（石发﹝2019﹞8号）文件精神，遵循“科学性、规范性、客观性和公正性”的原则，对我院</w:t>
      </w:r>
      <w:r>
        <w:rPr>
          <w:rFonts w:hint="eastAsia" w:ascii="仿宋" w:hAnsi="仿宋" w:eastAsia="仿宋"/>
          <w:sz w:val="32"/>
          <w:szCs w:val="32"/>
          <w:lang w:eastAsia="zh-CN"/>
        </w:rPr>
        <w:t>202</w:t>
      </w:r>
      <w:r>
        <w:rPr>
          <w:rFonts w:hint="eastAsia" w:ascii="仿宋" w:hAnsi="仿宋" w:eastAsia="仿宋"/>
          <w:sz w:val="32"/>
          <w:szCs w:val="32"/>
          <w:lang w:val="en-US" w:eastAsia="zh-CN"/>
        </w:rPr>
        <w:t>5</w:t>
      </w:r>
      <w:bookmarkStart w:id="0" w:name="_GoBack"/>
      <w:bookmarkEnd w:id="0"/>
      <w:r>
        <w:rPr>
          <w:rFonts w:hint="eastAsia" w:ascii="仿宋" w:hAnsi="仿宋" w:eastAsia="仿宋"/>
          <w:sz w:val="32"/>
          <w:szCs w:val="32"/>
        </w:rPr>
        <w:t>年整体支出情况实施了财政支出绩效自评价，形成本评价报告。</w:t>
      </w:r>
    </w:p>
    <w:p w14:paraId="2233A7AF">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黑体" w:hAnsi="黑体" w:eastAsia="黑体"/>
          <w:b/>
          <w:bCs/>
          <w:sz w:val="32"/>
          <w:szCs w:val="36"/>
        </w:rPr>
      </w:pPr>
      <w:r>
        <w:rPr>
          <w:rFonts w:hint="eastAsia" w:ascii="黑体" w:hAnsi="黑体" w:eastAsia="黑体"/>
          <w:sz w:val="32"/>
          <w:szCs w:val="32"/>
        </w:rPr>
        <w:t>一、部门</w:t>
      </w:r>
      <w:r>
        <w:rPr>
          <w:rFonts w:hint="eastAsia" w:ascii="黑体" w:hAnsi="黑体" w:eastAsia="黑体"/>
          <w:sz w:val="32"/>
          <w:szCs w:val="36"/>
        </w:rPr>
        <w:t>基本情况</w:t>
      </w:r>
    </w:p>
    <w:p w14:paraId="0DA5E37B">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（一）部门概况</w:t>
      </w:r>
    </w:p>
    <w:p w14:paraId="0FE19615">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1.部门职能</w:t>
      </w:r>
    </w:p>
    <w:p w14:paraId="79461022">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（1）深入贯彻习近平新时代中国特色社会主义思想，深入贯彻党的路线方针和决策部署，坚持党对检察工作的绝对领导，坚决维护习近平总书记的核心地位，坚决维护党中央权威和集中统一领导。</w:t>
      </w:r>
    </w:p>
    <w:p w14:paraId="0617D912">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（2）依法向人民代表大会及其常务委员会提出议案。</w:t>
      </w:r>
    </w:p>
    <w:p w14:paraId="350F2295">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（3）贯彻落实检察工作方针、总体规划，研究制定检察工作计划并组织实施。</w:t>
      </w:r>
    </w:p>
    <w:p w14:paraId="6934C73F">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（4）依照法律规定对直接受理的刑事案件行使侦查权。</w:t>
      </w:r>
    </w:p>
    <w:p w14:paraId="56452E95">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（5）负责对管辖的各类刑事案件依法审查批准逮捕、决定逮捕、提起公诉。</w:t>
      </w:r>
    </w:p>
    <w:p w14:paraId="02D866F2">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（6）负责应由本院承办的刑事、民事、行政诉讼活动及刑事、民事、行政判决和裁定等生效法律文书执行的法律监督工作。</w:t>
      </w:r>
    </w:p>
    <w:p w14:paraId="2DEF829A">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（7）负责应由本院承办的提起公益诉讼工作。</w:t>
      </w:r>
    </w:p>
    <w:p w14:paraId="4014C85C">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（8）依法受理核准追诉案件，审查是否上报。</w:t>
      </w:r>
    </w:p>
    <w:p w14:paraId="2409DC7B">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（9）负责应由本院承办的对看守所、社区矫正等执法活动的法律监督工作。</w:t>
      </w:r>
    </w:p>
    <w:p w14:paraId="1184ED01">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（10）受理向本院的控告申诉。</w:t>
      </w:r>
    </w:p>
    <w:p w14:paraId="0C515F19">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（11）组织检察工作中法律政策具体应用问题的研究；组织开展检察理论研究工作。</w:t>
      </w:r>
    </w:p>
    <w:p w14:paraId="469D227E">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（12）负责检察人员思想政治教育和业务培训工作；按照权限管理检察官和其他工作人员。</w:t>
      </w:r>
    </w:p>
    <w:p w14:paraId="28681FB3">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（13）负责本院检务督察工作。</w:t>
      </w:r>
    </w:p>
    <w:p w14:paraId="4829B401">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（14）负责本院检务保障以及检察技术、信息化建设工作。</w:t>
      </w:r>
    </w:p>
    <w:p w14:paraId="1D6F2A66">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sz w:val="32"/>
          <w:szCs w:val="32"/>
        </w:rPr>
        <w:t>（15）完成其他应当由本院负责的工作。</w:t>
      </w:r>
    </w:p>
    <w:p w14:paraId="6D0909F8">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 w:hAnsi="仿宋" w:eastAsia="仿宋"/>
          <w:sz w:val="32"/>
          <w:szCs w:val="32"/>
        </w:rPr>
        <w:t>2.</w:t>
      </w:r>
      <w:r>
        <w:rPr>
          <w:rFonts w:hint="eastAsia" w:ascii="仿宋_GB2312" w:hAnsi="仿宋" w:eastAsia="仿宋_GB2312" w:cs="仿宋"/>
          <w:sz w:val="32"/>
          <w:szCs w:val="32"/>
        </w:rPr>
        <w:t>组织机构及人员情况</w:t>
      </w:r>
    </w:p>
    <w:p w14:paraId="64945B3C">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赞皇县人民检察院纳入</w:t>
      </w:r>
      <w:r>
        <w:rPr>
          <w:rFonts w:hint="eastAsia" w:ascii="仿宋_GB2312" w:hAnsi="仿宋" w:eastAsia="仿宋_GB2312" w:cs="仿宋"/>
          <w:sz w:val="32"/>
          <w:szCs w:val="32"/>
          <w:lang w:eastAsia="zh-CN"/>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年度本部门预算汇编范围的独立核算单位共 1 个，为行政单位，经费形式为全额财政拨款。</w:t>
      </w:r>
    </w:p>
    <w:p w14:paraId="7C204BB7">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 w:hAnsi="仿宋" w:eastAsia="仿宋"/>
          <w:sz w:val="32"/>
          <w:szCs w:val="32"/>
        </w:rPr>
      </w:pPr>
      <w:r>
        <w:rPr>
          <w:rFonts w:hint="eastAsia" w:ascii="仿宋_GB2312" w:hAnsi="仿宋" w:eastAsia="仿宋_GB2312" w:cs="仿宋"/>
          <w:sz w:val="32"/>
          <w:szCs w:val="32"/>
        </w:rPr>
        <w:t>赞皇县人民检察院内设机构5个。中央政法编制31名。</w:t>
      </w:r>
    </w:p>
    <w:p w14:paraId="37ECBD89">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（二）部门收支预决算情况</w:t>
      </w:r>
    </w:p>
    <w:p w14:paraId="56B98E7A">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我院</w:t>
      </w:r>
      <w:r>
        <w:rPr>
          <w:rFonts w:hint="eastAsia" w:ascii="仿宋_GB2312" w:hAnsi="仿宋" w:eastAsia="仿宋_GB2312" w:cs="仿宋"/>
          <w:sz w:val="32"/>
          <w:szCs w:val="32"/>
          <w:lang w:eastAsia="zh-CN"/>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年预算为</w:t>
      </w:r>
      <w:r>
        <w:rPr>
          <w:rFonts w:hint="eastAsia" w:ascii="仿宋_GB2312" w:hAnsi="仿宋" w:eastAsia="仿宋_GB2312" w:cs="仿宋"/>
          <w:sz w:val="32"/>
          <w:szCs w:val="32"/>
          <w:lang w:val="en-US" w:eastAsia="zh-CN"/>
        </w:rPr>
        <w:t>957.39</w:t>
      </w:r>
      <w:r>
        <w:rPr>
          <w:rFonts w:hint="eastAsia" w:ascii="仿宋_GB2312" w:hAnsi="仿宋" w:eastAsia="仿宋_GB2312" w:cs="仿宋"/>
          <w:sz w:val="32"/>
          <w:szCs w:val="32"/>
        </w:rPr>
        <w:t>万元，其中财政拨款</w:t>
      </w:r>
      <w:r>
        <w:rPr>
          <w:rFonts w:hint="eastAsia" w:ascii="仿宋_GB2312" w:hAnsi="仿宋" w:eastAsia="仿宋_GB2312" w:cs="仿宋"/>
          <w:sz w:val="32"/>
          <w:szCs w:val="32"/>
          <w:lang w:val="en-US" w:eastAsia="zh-CN"/>
        </w:rPr>
        <w:t>957.39</w:t>
      </w:r>
      <w:r>
        <w:rPr>
          <w:rFonts w:hint="eastAsia" w:ascii="仿宋_GB2312" w:hAnsi="仿宋" w:eastAsia="仿宋_GB2312" w:cs="仿宋"/>
          <w:sz w:val="32"/>
          <w:szCs w:val="32"/>
        </w:rPr>
        <w:t>万元，占总预算的100%。整体预算中，人员经费预算</w:t>
      </w:r>
      <w:r>
        <w:rPr>
          <w:rFonts w:hint="eastAsia" w:ascii="仿宋_GB2312" w:hAnsi="仿宋" w:eastAsia="仿宋_GB2312" w:cs="仿宋"/>
          <w:sz w:val="32"/>
          <w:szCs w:val="32"/>
          <w:lang w:val="en-US" w:eastAsia="zh-CN"/>
        </w:rPr>
        <w:t>498.52</w:t>
      </w:r>
      <w:r>
        <w:rPr>
          <w:rFonts w:hint="eastAsia" w:ascii="仿宋_GB2312" w:hAnsi="仿宋" w:eastAsia="仿宋_GB2312" w:cs="仿宋"/>
          <w:sz w:val="32"/>
          <w:szCs w:val="32"/>
        </w:rPr>
        <w:t>万元，日常公用经费预算</w:t>
      </w:r>
      <w:r>
        <w:rPr>
          <w:rFonts w:hint="eastAsia" w:ascii="仿宋_GB2312" w:hAnsi="仿宋" w:eastAsia="仿宋_GB2312" w:cs="仿宋"/>
          <w:sz w:val="32"/>
          <w:szCs w:val="32"/>
          <w:lang w:val="en-US" w:eastAsia="zh-CN"/>
        </w:rPr>
        <w:t>95.63</w:t>
      </w:r>
      <w:r>
        <w:rPr>
          <w:rFonts w:hint="eastAsia" w:ascii="仿宋_GB2312" w:hAnsi="仿宋" w:eastAsia="仿宋_GB2312" w:cs="仿宋"/>
          <w:sz w:val="32"/>
          <w:szCs w:val="32"/>
        </w:rPr>
        <w:t>万元（包含“三公经费”预算</w:t>
      </w:r>
      <w:r>
        <w:rPr>
          <w:rFonts w:hint="eastAsia" w:ascii="仿宋_GB2312" w:hAnsi="仿宋" w:eastAsia="仿宋_GB2312" w:cs="仿宋"/>
          <w:sz w:val="32"/>
          <w:szCs w:val="32"/>
          <w:lang w:val="en-US" w:eastAsia="zh-CN"/>
        </w:rPr>
        <w:t>13.37</w:t>
      </w:r>
      <w:r>
        <w:rPr>
          <w:rFonts w:hint="eastAsia" w:ascii="仿宋_GB2312" w:hAnsi="仿宋" w:eastAsia="仿宋_GB2312" w:cs="仿宋"/>
          <w:sz w:val="32"/>
          <w:szCs w:val="32"/>
        </w:rPr>
        <w:t>万元），项目经费预算</w:t>
      </w:r>
      <w:r>
        <w:rPr>
          <w:rFonts w:hint="eastAsia" w:ascii="仿宋_GB2312" w:hAnsi="仿宋" w:eastAsia="仿宋_GB2312" w:cs="仿宋"/>
          <w:sz w:val="32"/>
          <w:szCs w:val="32"/>
          <w:lang w:val="en-US" w:eastAsia="zh-CN"/>
        </w:rPr>
        <w:t>339.69</w:t>
      </w:r>
      <w:r>
        <w:rPr>
          <w:rFonts w:hint="eastAsia" w:ascii="仿宋_GB2312" w:hAnsi="仿宋" w:eastAsia="仿宋_GB2312" w:cs="仿宋"/>
          <w:sz w:val="32"/>
          <w:szCs w:val="32"/>
        </w:rPr>
        <w:t>万元。</w:t>
      </w:r>
    </w:p>
    <w:p w14:paraId="4187E4F0">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我院</w:t>
      </w:r>
      <w:r>
        <w:rPr>
          <w:rFonts w:hint="eastAsia" w:ascii="仿宋_GB2312" w:hAnsi="仿宋" w:eastAsia="仿宋_GB2312" w:cs="仿宋"/>
          <w:sz w:val="32"/>
          <w:szCs w:val="32"/>
          <w:lang w:eastAsia="zh-CN"/>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年度实际收入</w:t>
      </w:r>
      <w:r>
        <w:rPr>
          <w:rFonts w:hint="eastAsia" w:ascii="仿宋_GB2312" w:hAnsi="仿宋" w:eastAsia="仿宋_GB2312" w:cs="仿宋"/>
          <w:sz w:val="32"/>
          <w:szCs w:val="32"/>
          <w:lang w:val="en-US" w:eastAsia="zh-CN"/>
        </w:rPr>
        <w:t>957.39</w:t>
      </w:r>
      <w:r>
        <w:rPr>
          <w:rFonts w:hint="eastAsia" w:ascii="仿宋_GB2312" w:hAnsi="仿宋" w:eastAsia="仿宋_GB2312" w:cs="仿宋"/>
          <w:sz w:val="32"/>
          <w:szCs w:val="32"/>
        </w:rPr>
        <w:t>万元，其中财政拨款收入</w:t>
      </w:r>
      <w:r>
        <w:rPr>
          <w:rFonts w:hint="eastAsia" w:ascii="仿宋_GB2312" w:hAnsi="仿宋" w:eastAsia="仿宋_GB2312" w:cs="仿宋"/>
          <w:sz w:val="32"/>
          <w:szCs w:val="32"/>
          <w:lang w:val="en-US" w:eastAsia="zh-CN"/>
        </w:rPr>
        <w:t>957.39</w:t>
      </w:r>
      <w:r>
        <w:rPr>
          <w:rFonts w:hint="eastAsia" w:ascii="仿宋_GB2312" w:hAnsi="仿宋" w:eastAsia="仿宋_GB2312" w:cs="仿宋"/>
          <w:sz w:val="32"/>
          <w:szCs w:val="32"/>
        </w:rPr>
        <w:t>万元。</w:t>
      </w:r>
    </w:p>
    <w:p w14:paraId="4FBFD24A">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我院</w:t>
      </w:r>
      <w:r>
        <w:rPr>
          <w:rFonts w:hint="eastAsia" w:ascii="仿宋_GB2312" w:hAnsi="仿宋" w:eastAsia="仿宋_GB2312" w:cs="仿宋"/>
          <w:sz w:val="32"/>
          <w:szCs w:val="32"/>
          <w:lang w:eastAsia="zh-CN"/>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年整体支出为</w:t>
      </w:r>
      <w:r>
        <w:rPr>
          <w:rFonts w:hint="eastAsia" w:ascii="仿宋_GB2312" w:hAnsi="仿宋" w:eastAsia="仿宋_GB2312" w:cs="仿宋"/>
          <w:sz w:val="32"/>
          <w:szCs w:val="32"/>
          <w:lang w:val="en-US" w:eastAsia="zh-CN"/>
        </w:rPr>
        <w:t>929.56</w:t>
      </w:r>
      <w:r>
        <w:rPr>
          <w:rFonts w:hint="eastAsia" w:ascii="仿宋_GB2312" w:hAnsi="仿宋" w:eastAsia="仿宋_GB2312" w:cs="仿宋"/>
          <w:sz w:val="32"/>
          <w:szCs w:val="32"/>
        </w:rPr>
        <w:t>万元。</w:t>
      </w:r>
    </w:p>
    <w:p w14:paraId="6D7DE968">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 w:hAnsi="仿宋" w:eastAsia="仿宋"/>
          <w:sz w:val="32"/>
          <w:szCs w:val="32"/>
        </w:rPr>
      </w:pPr>
      <w:r>
        <w:rPr>
          <w:rFonts w:hint="eastAsia" w:ascii="仿宋_GB2312" w:hAnsi="仿宋" w:eastAsia="仿宋_GB2312" w:cs="仿宋"/>
          <w:sz w:val="32"/>
          <w:szCs w:val="32"/>
        </w:rPr>
        <w:t>1.基本支出情况</w:t>
      </w:r>
    </w:p>
    <w:p w14:paraId="5DF7C1A2">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基本支出是保障机构正常运转、完成日常工作任务而发生的支出，包括人员经费支出和日常公用经费（含“三公经费”）支出。</w:t>
      </w:r>
    </w:p>
    <w:p w14:paraId="7279595C">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lang w:eastAsia="zh-CN"/>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年度本院基本支出</w:t>
      </w:r>
      <w:r>
        <w:rPr>
          <w:rFonts w:hint="eastAsia" w:ascii="仿宋_GB2312" w:hAnsi="仿宋" w:eastAsia="仿宋_GB2312" w:cs="仿宋"/>
          <w:sz w:val="32"/>
          <w:szCs w:val="32"/>
          <w:lang w:val="en-US" w:eastAsia="zh-CN"/>
        </w:rPr>
        <w:t>589.87</w:t>
      </w:r>
      <w:r>
        <w:rPr>
          <w:rFonts w:hint="eastAsia" w:ascii="仿宋_GB2312" w:hAnsi="仿宋" w:eastAsia="仿宋_GB2312" w:cs="仿宋"/>
          <w:sz w:val="32"/>
          <w:szCs w:val="32"/>
        </w:rPr>
        <w:t>万元，人员经费支出</w:t>
      </w:r>
      <w:r>
        <w:rPr>
          <w:rFonts w:hint="eastAsia" w:ascii="仿宋_GB2312" w:hAnsi="仿宋" w:eastAsia="仿宋_GB2312" w:cs="仿宋"/>
          <w:sz w:val="32"/>
          <w:szCs w:val="32"/>
          <w:lang w:val="en-US" w:eastAsia="zh-CN"/>
        </w:rPr>
        <w:t>497.92</w:t>
      </w:r>
      <w:r>
        <w:rPr>
          <w:rFonts w:hint="eastAsia" w:ascii="仿宋_GB2312" w:hAnsi="仿宋" w:eastAsia="仿宋_GB2312" w:cs="仿宋"/>
          <w:sz w:val="32"/>
          <w:szCs w:val="32"/>
        </w:rPr>
        <w:t>万元,占基本支出比例</w:t>
      </w:r>
      <w:r>
        <w:rPr>
          <w:rFonts w:hint="eastAsia" w:ascii="仿宋_GB2312" w:hAnsi="仿宋" w:eastAsia="仿宋_GB2312" w:cs="仿宋"/>
          <w:sz w:val="32"/>
          <w:szCs w:val="32"/>
          <w:lang w:val="en-US" w:eastAsia="zh-CN"/>
        </w:rPr>
        <w:t>84.4</w:t>
      </w:r>
      <w:r>
        <w:rPr>
          <w:rFonts w:hint="eastAsia" w:ascii="仿宋_GB2312" w:hAnsi="仿宋" w:eastAsia="仿宋_GB2312" w:cs="仿宋"/>
          <w:sz w:val="32"/>
          <w:szCs w:val="32"/>
        </w:rPr>
        <w:t xml:space="preserve"> %，日常公用经费支出</w:t>
      </w:r>
      <w:r>
        <w:rPr>
          <w:rFonts w:hint="eastAsia" w:ascii="仿宋_GB2312" w:hAnsi="仿宋" w:eastAsia="仿宋_GB2312" w:cs="仿宋"/>
          <w:sz w:val="32"/>
          <w:szCs w:val="32"/>
          <w:lang w:val="en-US" w:eastAsia="zh-CN"/>
        </w:rPr>
        <w:t>91.95</w:t>
      </w:r>
      <w:r>
        <w:rPr>
          <w:rFonts w:hint="eastAsia" w:ascii="仿宋_GB2312" w:hAnsi="仿宋" w:eastAsia="仿宋_GB2312" w:cs="仿宋"/>
          <w:sz w:val="32"/>
          <w:szCs w:val="32"/>
        </w:rPr>
        <w:t>万元，占基本支出比例</w:t>
      </w:r>
      <w:r>
        <w:rPr>
          <w:rFonts w:hint="eastAsia" w:ascii="仿宋_GB2312" w:hAnsi="仿宋" w:eastAsia="仿宋_GB2312" w:cs="仿宋"/>
          <w:sz w:val="32"/>
          <w:szCs w:val="32"/>
          <w:lang w:val="en-US" w:eastAsia="zh-CN"/>
        </w:rPr>
        <w:t>15.6</w:t>
      </w:r>
      <w:r>
        <w:rPr>
          <w:rFonts w:hint="eastAsia" w:ascii="仿宋_GB2312" w:hAnsi="仿宋" w:eastAsia="仿宋_GB2312" w:cs="仿宋"/>
          <w:sz w:val="32"/>
          <w:szCs w:val="32"/>
        </w:rPr>
        <w:t>%。其中，“三公”经费支出为</w:t>
      </w:r>
      <w:r>
        <w:rPr>
          <w:rFonts w:hint="eastAsia" w:ascii="仿宋_GB2312" w:hAnsi="仿宋" w:eastAsia="仿宋_GB2312" w:cs="仿宋"/>
          <w:sz w:val="32"/>
          <w:szCs w:val="32"/>
          <w:lang w:val="en-US" w:eastAsia="zh-CN"/>
        </w:rPr>
        <w:t>13.37</w:t>
      </w:r>
      <w:r>
        <w:rPr>
          <w:rFonts w:hint="eastAsia" w:ascii="仿宋_GB2312" w:hAnsi="仿宋" w:eastAsia="仿宋_GB2312" w:cs="仿宋"/>
          <w:sz w:val="32"/>
          <w:szCs w:val="32"/>
        </w:rPr>
        <w:t>万元，占日常公用经费支出比例为</w:t>
      </w:r>
      <w:r>
        <w:rPr>
          <w:rFonts w:hint="eastAsia" w:ascii="仿宋_GB2312" w:hAnsi="仿宋" w:eastAsia="仿宋_GB2312" w:cs="仿宋"/>
          <w:sz w:val="32"/>
          <w:szCs w:val="32"/>
          <w:lang w:val="en-US" w:eastAsia="zh-CN"/>
        </w:rPr>
        <w:t>14.5</w:t>
      </w:r>
      <w:r>
        <w:rPr>
          <w:rFonts w:hint="eastAsia" w:ascii="仿宋_GB2312" w:hAnsi="仿宋" w:eastAsia="仿宋_GB2312" w:cs="仿宋"/>
          <w:sz w:val="32"/>
          <w:szCs w:val="32"/>
        </w:rPr>
        <w:t>%。</w:t>
      </w:r>
    </w:p>
    <w:p w14:paraId="430A6E29">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pPr>
      <w:r>
        <w:rPr>
          <w:rFonts w:hint="eastAsia" w:ascii="楷体" w:hAnsi="楷体" w:eastAsia="楷体" w:cs="楷体_GB2312"/>
          <w:bCs/>
          <w:sz w:val="32"/>
          <w:szCs w:val="32"/>
        </w:rPr>
        <w:t>（三）部门整体支出绩效目标、指标</w:t>
      </w:r>
    </w:p>
    <w:p w14:paraId="23CCE493">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（一）总体绩效目标</w:t>
      </w:r>
    </w:p>
    <w:p w14:paraId="7FC687F4">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2025年，我院始终坚持以习近平新时代中国特色社会主义思想为指导，全面贯彻党的二十大和二十届二中、三中全会精神，深入学习贯彻习近平法治思想，充分发挥法律监督职能，做实“高质效办好每一个案件”，更加有力为大局服务、为人民司法、为法治担当，各项检察工作取得新成效。</w:t>
      </w:r>
    </w:p>
    <w:p w14:paraId="2BC8E6A7">
      <w:pPr>
        <w:keepNext w:val="0"/>
        <w:keepLines w:val="0"/>
        <w:pageBreakBefore w:val="0"/>
        <w:widowControl w:val="0"/>
        <w:numPr>
          <w:ilvl w:val="0"/>
          <w:numId w:val="1"/>
        </w:numPr>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分项绩效目标</w:t>
      </w:r>
    </w:p>
    <w:p w14:paraId="3B62EF20">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（一）保障“四大检察”及各项工作顺利开展</w:t>
      </w:r>
    </w:p>
    <w:p w14:paraId="639F72FF">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绩效目标：通过经费的使用促进刑事、民事、行政、公益诉讼等各项检察工作的顺利开展，保障扫黑除恶斗争、服务经济发展等中心工作的顺利开展。</w:t>
      </w:r>
    </w:p>
    <w:p w14:paraId="4D6EF46E">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指标：年度内审结的案件占受理案件的比例大于90%，对涉案未成年人实施心理疏导、亲情会见、庭审教育、不起诉宣布教育、案后帮扶等特殊检察制度占全部案件的比例大于70%，错捕、捕后撤案、不起诉、判无罪率小于或等于1%，认罪认罚适用率占所有认罪认罚案件的比例大于90%,出庭意见被采纳案件占全部案件的比例不小于90%，检察建议采纳率大于80%，群众来信来访答复率100%，收到良好社会效果。</w:t>
      </w:r>
    </w:p>
    <w:p w14:paraId="0138ED8D">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 xml:space="preserve">（二）不断加强检察队伍正规化、职业化、专业化建设  </w:t>
      </w:r>
    </w:p>
    <w:p w14:paraId="57EE621A">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目标：提高检察机关执法办案的良好形象，按时配发检察服，法警服装。根据实际需求情况，及时报废、更换办公设备，改善办公环境，高标准完成检察机关办文、办公、办会保障。加强干警党性修养和政治理论素养，提高干警综合素质，加强党组织和党员队伍建设，保障各类学习教育活动，不断提高干警的政治素质、业务素质、职业道德素质。</w:t>
      </w:r>
    </w:p>
    <w:p w14:paraId="17CADEAC">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指标：购置设备质量合规的数量占购置总数比例不小于99%，办公设备购置能够对办公环境改善率达到98%。全年组织并参加培训人次不少于150人次。全年组织开展党建活动不少于5次，及时保障所组织的活动经费需求比达到99%。各项综合业务管理工作及各项综合事务管理工作完成率达到100%</w:t>
      </w:r>
    </w:p>
    <w:p w14:paraId="0F1CD0CA">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（三）着力推进现代新型人民检察院建设</w:t>
      </w:r>
    </w:p>
    <w:p w14:paraId="4CF4F46B">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绩效目标：保证办公楼的各项设施设备正常运转，及时解决各种故障，避免安全隐患，保证办公、办案安全。加强检察宣传，运用图文、视频等形式展示检察机关亮点工作，做好先进典型、事迹的宣传。</w:t>
      </w:r>
    </w:p>
    <w:p w14:paraId="1CBD7218">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指标：实际完成故障修复数与故障报修总数比率不小于100%，当年用水、用电、消防的安全检查合格率达到100%。实际政府采购数量占应实施政府采购总数的比例达到100%。全年运用网络、媒体等检察宣传不小于80次。</w:t>
      </w:r>
    </w:p>
    <w:p w14:paraId="2D9371B3">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（四）积极适应信息化发展新趋势</w:t>
      </w:r>
    </w:p>
    <w:p w14:paraId="244A0A40">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绩效目标：完成工作网国产化替代改造建设，保障工作网检察业务的正常运转。加强档案室软硬件维护，保证查档准确、完整。</w:t>
      </w:r>
    </w:p>
    <w:p w14:paraId="3C0B13CD">
      <w:pPr>
        <w:pStyle w:val="16"/>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绩效指标：招标采购设备完好数量占比达到100%，建设完成后与原网络数据共享比率达到75%。全年档案系统运行故障不超2次，维护软件次数不少于12次，档案资料保存完好程度达到100%，查档人员满意度达到95%以上。</w:t>
      </w:r>
    </w:p>
    <w:p w14:paraId="796C2BFF">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14:paraId="6FC42654">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楷体" w:hAnsi="楷体" w:eastAsia="楷体" w:cs="楷体_GB2312"/>
          <w:sz w:val="32"/>
          <w:szCs w:val="32"/>
        </w:rPr>
      </w:pPr>
      <w:r>
        <w:rPr>
          <w:rFonts w:hint="eastAsia" w:ascii="楷体" w:hAnsi="楷体" w:eastAsia="楷体" w:cs="楷体_GB2312"/>
          <w:bCs/>
          <w:sz w:val="32"/>
          <w:szCs w:val="32"/>
        </w:rPr>
        <w:t>（一）自评的组织工作</w:t>
      </w:r>
    </w:p>
    <w:p w14:paraId="164A5C28">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 w:hAnsi="仿宋" w:eastAsia="仿宋"/>
          <w:sz w:val="32"/>
          <w:szCs w:val="32"/>
        </w:rPr>
      </w:pPr>
      <w:r>
        <w:rPr>
          <w:rFonts w:hint="eastAsia" w:ascii="仿宋_GB2312" w:eastAsia="仿宋_GB2312"/>
          <w:sz w:val="32"/>
          <w:szCs w:val="32"/>
        </w:rPr>
        <w:t>为保证绩效评价工作顺利开展，成立了绩效评价工作小组，负责绩效评价的组织管理和实施工作，工作组各成员按照任务分工和时间安排开展相关工作。</w:t>
      </w:r>
    </w:p>
    <w:p w14:paraId="10C6B7C5">
      <w:pPr>
        <w:keepNext w:val="0"/>
        <w:keepLines w:val="0"/>
        <w:pageBreakBefore w:val="0"/>
        <w:widowControl w:val="0"/>
        <w:numPr>
          <w:ilvl w:val="0"/>
          <w:numId w:val="2"/>
        </w:numPr>
        <w:kinsoku/>
        <w:wordWrap/>
        <w:overflowPunct/>
        <w:topLinePunct w:val="0"/>
        <w:autoSpaceDE/>
        <w:autoSpaceDN/>
        <w:bidi w:val="0"/>
        <w:spacing w:line="570" w:lineRule="exact"/>
        <w:ind w:left="0"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6F2D1171">
      <w:pPr>
        <w:keepNext w:val="0"/>
        <w:keepLines w:val="0"/>
        <w:pageBreakBefore w:val="0"/>
        <w:widowControl w:val="0"/>
        <w:kinsoku/>
        <w:wordWrap/>
        <w:overflowPunct/>
        <w:topLinePunct w:val="0"/>
        <w:autoSpaceDE/>
        <w:autoSpaceDN/>
        <w:bidi w:val="0"/>
        <w:snapToGrid w:val="0"/>
        <w:spacing w:line="570" w:lineRule="exact"/>
        <w:ind w:left="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为提高自评结果的客观公正性，本着科学规范、客观公正、注重实效的原则，院办公室对部门整体支出绩效自评工作进行了部署，明确了绩效自评的办法、步骤，对自评工作提出了明确要求。财务室与相关科室按照自评方案要求，做好数据收集、现场核查、满意度调查等相关工作，积极提供整体支出绩效自评材料，确保按时完成绩效自评工作。</w:t>
      </w:r>
    </w:p>
    <w:p w14:paraId="292BFB93">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黑体" w:hAnsi="黑体" w:eastAsia="黑体"/>
          <w:b/>
          <w:bCs/>
          <w:sz w:val="32"/>
          <w:szCs w:val="32"/>
        </w:rPr>
      </w:pPr>
      <w:r>
        <w:rPr>
          <w:rFonts w:hint="eastAsia" w:ascii="黑体" w:hAnsi="黑体" w:eastAsia="黑体"/>
          <w:sz w:val="32"/>
          <w:szCs w:val="32"/>
        </w:rPr>
        <w:t>三、部门整体支出绩效目标实现情况及指标分析</w:t>
      </w:r>
    </w:p>
    <w:p w14:paraId="317779E6">
      <w:pPr>
        <w:keepNext w:val="0"/>
        <w:keepLines w:val="0"/>
        <w:pageBreakBefore w:val="0"/>
        <w:widowControl w:val="0"/>
        <w:numPr>
          <w:ilvl w:val="0"/>
          <w:numId w:val="3"/>
        </w:numPr>
        <w:kinsoku/>
        <w:wordWrap/>
        <w:overflowPunct/>
        <w:topLinePunct w:val="0"/>
        <w:autoSpaceDE/>
        <w:autoSpaceDN/>
        <w:bidi w:val="0"/>
        <w:spacing w:line="570" w:lineRule="exact"/>
        <w:ind w:left="0"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1F2955C8">
      <w:pPr>
        <w:keepNext w:val="0"/>
        <w:keepLines w:val="0"/>
        <w:pageBreakBefore w:val="0"/>
        <w:widowControl w:val="0"/>
        <w:kinsoku/>
        <w:wordWrap/>
        <w:overflowPunct/>
        <w:topLinePunct w:val="0"/>
        <w:autoSpaceDE/>
        <w:autoSpaceDN/>
        <w:bidi w:val="0"/>
        <w:snapToGrid w:val="0"/>
        <w:spacing w:line="570" w:lineRule="exact"/>
        <w:ind w:left="0" w:firstLine="640" w:firstLineChars="200"/>
        <w:textAlignment w:val="auto"/>
        <w:rPr>
          <w:rFonts w:ascii="仿宋" w:hAnsi="仿宋" w:eastAsia="仿宋"/>
          <w:sz w:val="32"/>
          <w:szCs w:val="32"/>
        </w:rPr>
      </w:pPr>
      <w:r>
        <w:rPr>
          <w:rFonts w:hint="eastAsia" w:ascii="仿宋" w:hAnsi="仿宋" w:eastAsia="仿宋" w:cs="仿宋"/>
          <w:sz w:val="32"/>
          <w:szCs w:val="32"/>
        </w:rPr>
        <w:t>在县委和上级院坚强领导下，在县人大及其常委会有力监督下，在县政府、县政协和社会各界关心支持下，始终坚持以习近平新时代中国特色社会主义思想为指导，深入贯彻党的二十大精神，全面贯彻习近平法治思想，坚持为大局服务、为人民司法、为法治担当，深耕法律监督主责主业，各项检察工作取得新进展。</w:t>
      </w:r>
    </w:p>
    <w:p w14:paraId="4073F8F9">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14:paraId="54B618EE">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sz w:val="32"/>
          <w:szCs w:val="32"/>
          <w:lang w:eastAsia="zh-CN"/>
        </w:rPr>
      </w:pPr>
      <w:r>
        <w:rPr>
          <w:rFonts w:hint="eastAsia" w:ascii="仿宋" w:hAnsi="仿宋" w:eastAsia="仿宋"/>
          <w:sz w:val="32"/>
          <w:szCs w:val="32"/>
          <w:lang w:val="en-US" w:eastAsia="zh-CN"/>
        </w:rPr>
        <w:t>我院</w:t>
      </w:r>
      <w:r>
        <w:rPr>
          <w:rFonts w:hint="eastAsia" w:ascii="仿宋" w:hAnsi="仿宋" w:eastAsia="仿宋"/>
          <w:sz w:val="32"/>
          <w:szCs w:val="32"/>
        </w:rPr>
        <w:t>各项项目立项规范、绩效目标合理、绩效指标明确。</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专项</w:t>
      </w:r>
      <w:r>
        <w:rPr>
          <w:rFonts w:hint="eastAsia" w:ascii="仿宋" w:hAnsi="仿宋" w:eastAsia="仿宋"/>
          <w:sz w:val="32"/>
          <w:szCs w:val="32"/>
        </w:rPr>
        <w:t>项目共计</w:t>
      </w:r>
      <w:r>
        <w:rPr>
          <w:rFonts w:hint="eastAsia" w:ascii="仿宋" w:hAnsi="仿宋" w:eastAsia="仿宋"/>
          <w:sz w:val="32"/>
          <w:szCs w:val="32"/>
          <w:lang w:val="en-US" w:eastAsia="zh-CN"/>
        </w:rPr>
        <w:t>12</w:t>
      </w:r>
      <w:r>
        <w:rPr>
          <w:rFonts w:hint="eastAsia" w:ascii="仿宋" w:hAnsi="仿宋" w:eastAsia="仿宋"/>
          <w:sz w:val="32"/>
          <w:szCs w:val="32"/>
        </w:rPr>
        <w:t>个，预算金额</w:t>
      </w:r>
      <w:r>
        <w:rPr>
          <w:rFonts w:hint="eastAsia" w:ascii="仿宋" w:hAnsi="仿宋" w:eastAsia="仿宋"/>
          <w:sz w:val="32"/>
          <w:szCs w:val="32"/>
          <w:lang w:val="en-US" w:eastAsia="zh-CN"/>
        </w:rPr>
        <w:t>352.64</w:t>
      </w:r>
      <w:r>
        <w:rPr>
          <w:rFonts w:hint="eastAsia" w:ascii="仿宋" w:hAnsi="仿宋" w:eastAsia="仿宋"/>
          <w:sz w:val="32"/>
          <w:szCs w:val="32"/>
        </w:rPr>
        <w:t>万元，</w:t>
      </w:r>
      <w:r>
        <w:rPr>
          <w:rFonts w:hint="eastAsia" w:ascii="仿宋" w:hAnsi="仿宋" w:eastAsia="仿宋"/>
          <w:sz w:val="32"/>
          <w:szCs w:val="32"/>
          <w:lang w:val="en-US" w:eastAsia="zh-CN"/>
        </w:rPr>
        <w:t>执行329.9</w:t>
      </w:r>
      <w:r>
        <w:rPr>
          <w:rFonts w:hint="eastAsia" w:ascii="仿宋" w:hAnsi="仿宋" w:eastAsia="仿宋"/>
          <w:sz w:val="32"/>
          <w:szCs w:val="32"/>
        </w:rPr>
        <w:t>向财政部门交回资金</w:t>
      </w:r>
      <w:r>
        <w:rPr>
          <w:rFonts w:hint="eastAsia" w:ascii="仿宋" w:hAnsi="仿宋" w:eastAsia="仿宋"/>
          <w:sz w:val="32"/>
          <w:szCs w:val="32"/>
          <w:lang w:val="en-US" w:eastAsia="zh-CN"/>
        </w:rPr>
        <w:t>22.74</w:t>
      </w:r>
      <w:r>
        <w:rPr>
          <w:rFonts w:hint="eastAsia" w:ascii="仿宋" w:hAnsi="仿宋" w:eastAsia="仿宋"/>
          <w:sz w:val="32"/>
          <w:szCs w:val="32"/>
        </w:rPr>
        <w:t>万元。制定目标基本实现，部分预算项目执行不到位的原因为：年初预算编制不够细致，业务费根据检察业务办理情况支出。</w:t>
      </w:r>
    </w:p>
    <w:p w14:paraId="6B12A189">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14:paraId="70AB1923">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我院积极履职，通过加强预算收支管理，不断梳理内部管理流程，建立健全内部管理制度，部门整体支出管理水平得到提升。经自评，</w:t>
      </w:r>
      <w:r>
        <w:rPr>
          <w:rFonts w:hint="eastAsia" w:ascii="仿宋_GB2312" w:hAnsi="仿宋" w:eastAsia="仿宋_GB2312" w:cs="仿宋"/>
          <w:sz w:val="32"/>
          <w:szCs w:val="32"/>
          <w:lang w:val="en-US" w:eastAsia="zh-CN"/>
        </w:rPr>
        <w:t>12</w:t>
      </w:r>
      <w:r>
        <w:rPr>
          <w:rFonts w:hint="eastAsia" w:ascii="仿宋_GB2312" w:hAnsi="仿宋" w:eastAsia="仿宋_GB2312" w:cs="仿宋"/>
          <w:sz w:val="32"/>
          <w:szCs w:val="32"/>
        </w:rPr>
        <w:t>个</w:t>
      </w:r>
      <w:r>
        <w:rPr>
          <w:rFonts w:hint="eastAsia" w:ascii="仿宋_GB2312" w:hAnsi="仿宋" w:eastAsia="仿宋_GB2312" w:cs="仿宋"/>
          <w:sz w:val="32"/>
          <w:szCs w:val="32"/>
          <w:lang w:val="en-US" w:eastAsia="zh-CN"/>
        </w:rPr>
        <w:t>专项</w:t>
      </w:r>
      <w:r>
        <w:rPr>
          <w:rFonts w:hint="eastAsia" w:ascii="仿宋_GB2312" w:hAnsi="仿宋" w:eastAsia="仿宋_GB2312" w:cs="仿宋"/>
          <w:sz w:val="32"/>
          <w:szCs w:val="32"/>
        </w:rPr>
        <w:t>项目自评得分均在90分以上，</w:t>
      </w:r>
      <w:r>
        <w:rPr>
          <w:rFonts w:hint="eastAsia" w:ascii="仿宋_GB2312" w:hAnsi="仿宋" w:eastAsia="仿宋_GB2312" w:cs="仿宋"/>
          <w:sz w:val="32"/>
          <w:szCs w:val="32"/>
          <w:lang w:eastAsia="zh-CN"/>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年我院较好的完成了年度工作目标，综合评价等级为“优秀”。</w:t>
      </w:r>
    </w:p>
    <w:p w14:paraId="336C702C">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14:paraId="5CCDDD7F">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楷体" w:hAnsi="楷体" w:eastAsia="楷体"/>
          <w:bCs/>
          <w:sz w:val="32"/>
          <w:szCs w:val="32"/>
        </w:rPr>
      </w:pPr>
      <w:r>
        <w:rPr>
          <w:rFonts w:hint="eastAsia" w:ascii="楷体" w:hAnsi="楷体" w:eastAsia="楷体"/>
          <w:bCs/>
          <w:sz w:val="32"/>
          <w:szCs w:val="32"/>
        </w:rPr>
        <w:t>（一）存在的主要问题</w:t>
      </w:r>
    </w:p>
    <w:p w14:paraId="6E4CFD04">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楷体" w:hAnsi="楷体" w:eastAsia="楷体"/>
          <w:bCs/>
          <w:sz w:val="32"/>
          <w:szCs w:val="32"/>
        </w:rPr>
      </w:pPr>
      <w:r>
        <w:rPr>
          <w:rFonts w:hint="eastAsia" w:ascii="仿宋_GB2312" w:hAnsi="仿宋" w:eastAsia="仿宋_GB2312" w:cs="仿宋"/>
          <w:sz w:val="32"/>
          <w:szCs w:val="32"/>
        </w:rPr>
        <w:t>从自评情况看，有关项目总体立项规范，绩效目标明确，预算编制较为合理，预算执行及时有效，资金及时到位，绩效目标得到较好实现，部门履职水平不断提高，但也存在部分项目产出指标低于预期、项目实施进展慢等问题。</w:t>
      </w:r>
    </w:p>
    <w:p w14:paraId="2AB49352">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楷体" w:hAnsi="楷体" w:eastAsia="楷体"/>
          <w:bCs/>
          <w:sz w:val="32"/>
          <w:szCs w:val="32"/>
        </w:rPr>
      </w:pPr>
      <w:r>
        <w:rPr>
          <w:rFonts w:hint="eastAsia" w:ascii="楷体" w:hAnsi="楷体" w:eastAsia="楷体"/>
          <w:bCs/>
          <w:sz w:val="32"/>
          <w:szCs w:val="32"/>
        </w:rPr>
        <w:t>（二）针对问题提出具体的改进措施或建议</w:t>
      </w:r>
    </w:p>
    <w:p w14:paraId="6FCDDC85">
      <w:pPr>
        <w:keepNext w:val="0"/>
        <w:keepLines w:val="0"/>
        <w:pageBreakBefore w:val="0"/>
        <w:widowControl w:val="0"/>
        <w:kinsoku/>
        <w:wordWrap/>
        <w:overflowPunct/>
        <w:topLinePunct w:val="0"/>
        <w:autoSpaceDE/>
        <w:autoSpaceDN/>
        <w:bidi w:val="0"/>
        <w:spacing w:line="570" w:lineRule="exact"/>
        <w:ind w:left="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1.强化绩效目标管理工作。充分挖掘项目实施的价值和意义，根据项目实际情况设置完善的绩效目标，做到绩效目标针对项目特点清晰明确且细化，有量化的绩效指标且能清晰反映绩效可实现程度，绩效目标依据充分。做好绩效监控管理工作，建立监控制度，确保绩效目标如期实现。</w:t>
      </w:r>
    </w:p>
    <w:p w14:paraId="2976EA11">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加强预算管理工作。提早谋划论证项目，合理安排年度支出计划，将预算编制细致化、合理化，开展好各项业务工作，保证项目资金有效、合规的使用。</w:t>
      </w:r>
    </w:p>
    <w:p w14:paraId="5235A80D">
      <w:pPr>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textAlignment w:val="auto"/>
        <w:rPr>
          <w:rFonts w:ascii="仿宋" w:hAnsi="仿宋" w:eastAsia="仿宋"/>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多措并举提升预算执行率。建议相关内设机构年初应制定较为详细的资金使用明细和计划，有效保障下一年度的资金使用和项目实施，采取项目事前评估或其他方式对项目执行过程中可能发生的问题进行预测，有的放矢的采取相关措施保障计划顺利实施。</w:t>
      </w: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宋体"/>
    <w:panose1 w:val="00000000000000000000"/>
    <w:charset w:val="86"/>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华文楷体">
    <w:altName w:val="宋体"/>
    <w:panose1 w:val="00000000000000000000"/>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72905">
    <w:pPr>
      <w:pStyle w:val="8"/>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715642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- 9 -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5B5988C0"/>
    <w:multiLevelType w:val="singleLevel"/>
    <w:tmpl w:val="5B5988C0"/>
    <w:lvl w:ilvl="0" w:tentative="0">
      <w:start w:val="2"/>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WJhZDY5YWYzMWQwNjFlZjEwMjVkMmZlMzgzM2MyMzgifQ=="/>
  </w:docVars>
  <w:rsids>
    <w:rsidRoot w:val="0EBD2122"/>
    <w:rsid w:val="000B0260"/>
    <w:rsid w:val="001E42D0"/>
    <w:rsid w:val="007E6C1F"/>
    <w:rsid w:val="00822988"/>
    <w:rsid w:val="00956A93"/>
    <w:rsid w:val="009E575C"/>
    <w:rsid w:val="00A057F2"/>
    <w:rsid w:val="00AF167E"/>
    <w:rsid w:val="00AF566A"/>
    <w:rsid w:val="00B16824"/>
    <w:rsid w:val="00B478EA"/>
    <w:rsid w:val="00B6553A"/>
    <w:rsid w:val="00BC6576"/>
    <w:rsid w:val="00BD2326"/>
    <w:rsid w:val="00C14935"/>
    <w:rsid w:val="00CE06BA"/>
    <w:rsid w:val="00F441CC"/>
    <w:rsid w:val="01B104CA"/>
    <w:rsid w:val="02106AB0"/>
    <w:rsid w:val="027E1629"/>
    <w:rsid w:val="02B43A28"/>
    <w:rsid w:val="046F331E"/>
    <w:rsid w:val="07956271"/>
    <w:rsid w:val="08701A83"/>
    <w:rsid w:val="08CB0CA3"/>
    <w:rsid w:val="0936708D"/>
    <w:rsid w:val="09721397"/>
    <w:rsid w:val="0BB63BED"/>
    <w:rsid w:val="0D057B8A"/>
    <w:rsid w:val="0EB97A43"/>
    <w:rsid w:val="0EBD2122"/>
    <w:rsid w:val="0F214EAE"/>
    <w:rsid w:val="0F5C2254"/>
    <w:rsid w:val="0F895D35"/>
    <w:rsid w:val="11B71E6A"/>
    <w:rsid w:val="19DF61CD"/>
    <w:rsid w:val="1AAF0063"/>
    <w:rsid w:val="1BAD383E"/>
    <w:rsid w:val="1BE140DE"/>
    <w:rsid w:val="1D012A8E"/>
    <w:rsid w:val="1D6C4396"/>
    <w:rsid w:val="1E67397F"/>
    <w:rsid w:val="1F5E5F07"/>
    <w:rsid w:val="2166013C"/>
    <w:rsid w:val="227A6AB2"/>
    <w:rsid w:val="22B36282"/>
    <w:rsid w:val="23EC5B19"/>
    <w:rsid w:val="248C197D"/>
    <w:rsid w:val="252959AF"/>
    <w:rsid w:val="25356EBA"/>
    <w:rsid w:val="25396922"/>
    <w:rsid w:val="26D74727"/>
    <w:rsid w:val="277A6671"/>
    <w:rsid w:val="283C69D0"/>
    <w:rsid w:val="292D35B7"/>
    <w:rsid w:val="2DDF4725"/>
    <w:rsid w:val="2EBB03BE"/>
    <w:rsid w:val="31690E36"/>
    <w:rsid w:val="32E15811"/>
    <w:rsid w:val="33EB6CFF"/>
    <w:rsid w:val="347C6BED"/>
    <w:rsid w:val="35A12947"/>
    <w:rsid w:val="37387040"/>
    <w:rsid w:val="379052E2"/>
    <w:rsid w:val="3B625C0A"/>
    <w:rsid w:val="3CEE1963"/>
    <w:rsid w:val="3F124329"/>
    <w:rsid w:val="40442B0E"/>
    <w:rsid w:val="40C15F43"/>
    <w:rsid w:val="41EF49BA"/>
    <w:rsid w:val="42C91206"/>
    <w:rsid w:val="4360224A"/>
    <w:rsid w:val="452B4F9F"/>
    <w:rsid w:val="45C5310D"/>
    <w:rsid w:val="46C119B5"/>
    <w:rsid w:val="476D49F6"/>
    <w:rsid w:val="48887F91"/>
    <w:rsid w:val="48BD40AE"/>
    <w:rsid w:val="48CF1781"/>
    <w:rsid w:val="492367A5"/>
    <w:rsid w:val="49401D23"/>
    <w:rsid w:val="4AB40230"/>
    <w:rsid w:val="4C6E6F3A"/>
    <w:rsid w:val="4C9C27FE"/>
    <w:rsid w:val="4FBB7FCB"/>
    <w:rsid w:val="4FF9AD8B"/>
    <w:rsid w:val="512260B4"/>
    <w:rsid w:val="526A35DE"/>
    <w:rsid w:val="52BD6ACB"/>
    <w:rsid w:val="55537534"/>
    <w:rsid w:val="561A74F1"/>
    <w:rsid w:val="56E23E5A"/>
    <w:rsid w:val="580053C4"/>
    <w:rsid w:val="597244E8"/>
    <w:rsid w:val="5DC9601D"/>
    <w:rsid w:val="5EB23665"/>
    <w:rsid w:val="5EB71C30"/>
    <w:rsid w:val="60500B4A"/>
    <w:rsid w:val="61C21026"/>
    <w:rsid w:val="625937AE"/>
    <w:rsid w:val="660F205A"/>
    <w:rsid w:val="66AF0CE5"/>
    <w:rsid w:val="679F5526"/>
    <w:rsid w:val="68A17CCD"/>
    <w:rsid w:val="6AC537CF"/>
    <w:rsid w:val="6CA74F3F"/>
    <w:rsid w:val="6E5B14A6"/>
    <w:rsid w:val="711B255E"/>
    <w:rsid w:val="73183C38"/>
    <w:rsid w:val="758B44AF"/>
    <w:rsid w:val="762D4F9F"/>
    <w:rsid w:val="77CD7725"/>
    <w:rsid w:val="78C80339"/>
    <w:rsid w:val="79451751"/>
    <w:rsid w:val="7A750C8E"/>
    <w:rsid w:val="7BB51E06"/>
    <w:rsid w:val="7C387F7C"/>
    <w:rsid w:val="7E407851"/>
    <w:rsid w:val="7F693F0E"/>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jc w:val="center"/>
    </w:pPr>
    <w:rPr>
      <w:rFonts w:ascii="宋体"/>
      <w:b/>
      <w:sz w:val="44"/>
    </w:rPr>
  </w:style>
  <w:style w:type="paragraph" w:customStyle="1" w:styleId="3">
    <w:name w:val="正文部分 Char Char Char"/>
    <w:basedOn w:val="2"/>
    <w:next w:val="4"/>
    <w:qFormat/>
    <w:uiPriority w:val="0"/>
    <w:pPr>
      <w:adjustRightInd w:val="0"/>
      <w:spacing w:line="460" w:lineRule="exact"/>
      <w:textAlignment w:val="baseline"/>
    </w:pPr>
    <w:rPr>
      <w:rFonts w:hAnsi="Calibri"/>
      <w:sz w:val="24"/>
    </w:rPr>
  </w:style>
  <w:style w:type="paragraph" w:customStyle="1" w:styleId="4">
    <w:name w:val="章标题"/>
    <w:basedOn w:val="5"/>
    <w:qFormat/>
    <w:uiPriority w:val="0"/>
    <w:pPr>
      <w:spacing w:line="360" w:lineRule="auto"/>
    </w:pPr>
  </w:style>
  <w:style w:type="paragraph" w:styleId="5">
    <w:name w:val="Title"/>
    <w:basedOn w:val="1"/>
    <w:next w:val="1"/>
    <w:qFormat/>
    <w:uiPriority w:val="0"/>
    <w:pPr>
      <w:spacing w:before="240" w:after="60"/>
      <w:jc w:val="center"/>
      <w:outlineLvl w:val="0"/>
    </w:pPr>
    <w:rPr>
      <w:rFonts w:ascii="Cambria" w:hAnsi="Cambria"/>
      <w:b/>
      <w:bCs/>
      <w:kern w:val="0"/>
      <w:sz w:val="32"/>
      <w:szCs w:val="32"/>
    </w:rPr>
  </w:style>
  <w:style w:type="paragraph" w:styleId="6">
    <w:name w:val="Body Text Indent"/>
    <w:basedOn w:val="1"/>
    <w:next w:val="2"/>
    <w:qFormat/>
    <w:uiPriority w:val="0"/>
    <w:pPr>
      <w:ind w:left="420" w:leftChars="200"/>
    </w:pPr>
  </w:style>
  <w:style w:type="paragraph" w:styleId="7">
    <w:name w:val="Plain Text"/>
    <w:basedOn w:val="1"/>
    <w:qFormat/>
    <w:uiPriority w:val="0"/>
    <w:pPr>
      <w:spacing w:line="560" w:lineRule="exact"/>
    </w:pPr>
    <w:rPr>
      <w:rFonts w:ascii="Times New Roman" w:hAnsi="Times New Roman" w:eastAsia="仿宋_GB2312" w:cs="Times New Roman"/>
      <w:color w:val="000000"/>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0">
    <w:name w:val="Body Text First Indent"/>
    <w:basedOn w:val="2"/>
    <w:qFormat/>
    <w:uiPriority w:val="0"/>
    <w:pPr>
      <w:ind w:firstLine="420" w:firstLineChars="100"/>
    </w:pPr>
  </w:style>
  <w:style w:type="paragraph" w:styleId="11">
    <w:name w:val="Body Text First Indent 2"/>
    <w:basedOn w:val="6"/>
    <w:next w:val="1"/>
    <w:qFormat/>
    <w:uiPriority w:val="0"/>
    <w:pPr>
      <w:ind w:left="200" w:firstLine="420" w:firstLineChars="200"/>
    </w:pPr>
    <w:rPr>
      <w:rFonts w:ascii="Times New Roman"/>
    </w:rPr>
  </w:style>
  <w:style w:type="paragraph" w:customStyle="1" w:styleId="14">
    <w:name w:val="插入文本样式-插入部门职责文件"/>
    <w:basedOn w:val="1"/>
    <w:qFormat/>
    <w:uiPriority w:val="0"/>
    <w:pPr>
      <w:spacing w:line="500" w:lineRule="exact"/>
      <w:ind w:firstLine="560"/>
    </w:pPr>
    <w:rPr>
      <w:rFonts w:eastAsia="方正仿宋_GBK"/>
      <w:sz w:val="28"/>
    </w:rPr>
  </w:style>
  <w:style w:type="paragraph" w:customStyle="1" w:styleId="15">
    <w:name w:val="插入文本样式-插入总体目标文件"/>
    <w:basedOn w:val="1"/>
    <w:qFormat/>
    <w:uiPriority w:val="0"/>
    <w:pPr>
      <w:spacing w:line="500" w:lineRule="exact"/>
      <w:ind w:firstLine="560"/>
    </w:pPr>
    <w:rPr>
      <w:rFonts w:eastAsia="方正仿宋_GBK"/>
      <w:sz w:val="28"/>
    </w:rPr>
  </w:style>
  <w:style w:type="paragraph" w:customStyle="1" w:styleId="16">
    <w:name w:val="插入文本样式-插入职责分类绩效目标文件"/>
    <w:basedOn w:val="1"/>
    <w:qFormat/>
    <w:uiPriority w:val="0"/>
    <w:pPr>
      <w:spacing w:line="500" w:lineRule="exact"/>
      <w:ind w:firstLine="560"/>
    </w:pPr>
    <w:rPr>
      <w:rFonts w:eastAsia="方正仿宋_GBK"/>
      <w:sz w:val="28"/>
    </w:rPr>
  </w:style>
  <w:style w:type="character" w:customStyle="1" w:styleId="17">
    <w:name w:val="font91"/>
    <w:basedOn w:val="13"/>
    <w:qFormat/>
    <w:uiPriority w:val="0"/>
    <w:rPr>
      <w:rFonts w:hint="eastAsia" w:ascii="宋体" w:hAnsi="宋体" w:eastAsia="宋体" w:cs="宋体"/>
      <w:color w:val="000000"/>
      <w:sz w:val="16"/>
      <w:szCs w:val="16"/>
      <w:u w:val="none"/>
    </w:rPr>
  </w:style>
  <w:style w:type="character" w:customStyle="1" w:styleId="18">
    <w:name w:val="font11"/>
    <w:basedOn w:val="13"/>
    <w:qFormat/>
    <w:uiPriority w:val="0"/>
    <w:rPr>
      <w:rFonts w:ascii="Calibri" w:hAnsi="Calibri" w:cs="Calibri"/>
      <w:color w:val="000000"/>
      <w:sz w:val="16"/>
      <w:szCs w:val="16"/>
      <w:u w:val="none"/>
    </w:rPr>
  </w:style>
  <w:style w:type="character" w:customStyle="1" w:styleId="19">
    <w:name w:val="font41"/>
    <w:basedOn w:val="13"/>
    <w:qFormat/>
    <w:uiPriority w:val="0"/>
    <w:rPr>
      <w:rFonts w:ascii="Arial Unicode MS" w:hAnsi="Arial Unicode MS" w:eastAsia="Arial Unicode MS" w:cs="Arial Unicode MS"/>
      <w:color w:val="000000"/>
      <w:sz w:val="16"/>
      <w:szCs w:val="16"/>
      <w:u w:val="none"/>
    </w:rPr>
  </w:style>
  <w:style w:type="character" w:customStyle="1" w:styleId="20">
    <w:name w:val="font31"/>
    <w:basedOn w:val="13"/>
    <w:qFormat/>
    <w:uiPriority w:val="0"/>
    <w:rPr>
      <w:rFonts w:hint="default" w:ascii="Calibri" w:hAnsi="Calibri" w:cs="Calibri"/>
      <w:color w:val="000000"/>
      <w:sz w:val="16"/>
      <w:szCs w:val="16"/>
      <w:u w:val="none"/>
    </w:rPr>
  </w:style>
  <w:style w:type="character" w:customStyle="1" w:styleId="21">
    <w:name w:val="font112"/>
    <w:basedOn w:val="13"/>
    <w:qFormat/>
    <w:uiPriority w:val="0"/>
    <w:rPr>
      <w:rFonts w:hint="default" w:ascii="Arial Unicode MS" w:hAnsi="Arial Unicode MS" w:eastAsia="Arial Unicode MS" w:cs="Arial Unicode MS"/>
      <w:color w:val="000000"/>
      <w:sz w:val="16"/>
      <w:szCs w:val="16"/>
      <w:u w:val="none"/>
    </w:rPr>
  </w:style>
  <w:style w:type="character" w:customStyle="1" w:styleId="22">
    <w:name w:val="font101"/>
    <w:basedOn w:val="13"/>
    <w:qFormat/>
    <w:uiPriority w:val="0"/>
    <w:rPr>
      <w:rFonts w:ascii="Calibri" w:hAnsi="Calibri" w:cs="Calibri"/>
      <w:color w:val="000000"/>
      <w:sz w:val="16"/>
      <w:szCs w:val="16"/>
      <w:u w:val="none"/>
    </w:rPr>
  </w:style>
  <w:style w:type="character" w:customStyle="1" w:styleId="23">
    <w:name w:val="font61"/>
    <w:basedOn w:val="13"/>
    <w:qFormat/>
    <w:uiPriority w:val="0"/>
    <w:rPr>
      <w:rFonts w:ascii="Arial Unicode MS" w:hAnsi="Arial Unicode MS" w:eastAsia="Arial Unicode MS" w:cs="Arial Unicode MS"/>
      <w:color w:val="000000"/>
      <w:sz w:val="16"/>
      <w:szCs w:val="16"/>
      <w:u w:val="none"/>
    </w:rPr>
  </w:style>
  <w:style w:type="character" w:customStyle="1" w:styleId="24">
    <w:name w:val="font51"/>
    <w:basedOn w:val="13"/>
    <w:qFormat/>
    <w:uiPriority w:val="0"/>
    <w:rPr>
      <w:rFonts w:hint="default" w:ascii="Calibri" w:hAnsi="Calibri" w:cs="Calibri"/>
      <w:color w:val="000000"/>
      <w:sz w:val="16"/>
      <w:szCs w:val="16"/>
      <w:u w:val="none"/>
    </w:rPr>
  </w:style>
  <w:style w:type="character" w:customStyle="1" w:styleId="25">
    <w:name w:val="font01"/>
    <w:basedOn w:val="13"/>
    <w:qFormat/>
    <w:uiPriority w:val="0"/>
    <w:rPr>
      <w:rFonts w:hint="default" w:ascii="Arial Unicode MS" w:hAnsi="Arial Unicode MS" w:eastAsia="Arial Unicode MS" w:cs="Arial Unicode MS"/>
      <w:color w:val="000000"/>
      <w:sz w:val="16"/>
      <w:szCs w:val="16"/>
      <w:u w:val="none"/>
    </w:rPr>
  </w:style>
  <w:style w:type="character" w:customStyle="1" w:styleId="26">
    <w:name w:val="font21"/>
    <w:basedOn w:val="13"/>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3197</Words>
  <Characters>3381</Characters>
  <Lines>55</Lines>
  <Paragraphs>15</Paragraphs>
  <TotalTime>123</TotalTime>
  <ScaleCrop>false</ScaleCrop>
  <LinksUpToDate>false</LinksUpToDate>
  <CharactersWithSpaces>3386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2020-02-04T11:46:00Z</dcterms:created>
  <dc:creator>欣欣大人</dc:creator>
  <cp:lastModifiedBy>枫雪＆浅语</cp:lastModifiedBy>
  <cp:lastPrinted>2025-04-29T02:13:00Z</cp:lastPrinted>
  <dcterms:modified xsi:type="dcterms:W3CDTF">2026-07-27T02:47:46Z</dcterms:modified>
  <dc:title>附件3：</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985B8AB31BE04FABB636CB9183E07B84_12</vt:lpwstr>
  </property>
  <property fmtid="{D5CDD505-2E9C-101B-9397-08002B2CF9AE}" pid="4" name="KSOTemplateDocerSaveRecord">
    <vt:lpwstr>eyJoZGlkIjoiOWJhZDY5YWYzMWQwNjFlZjEwMjVkMmZlMzgzM2MyMzgiLCJ1c2VySWQiOiI3NDQyMzY3ODQifQ==</vt:lpwstr>
  </property>
</Properties>
</file>