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22C21C">
      <w:pPr>
        <w:adjustRightInd w:val="0"/>
        <w:snapToGrid w:val="0"/>
        <w:spacing w:line="560" w:lineRule="exact"/>
        <w:rPr>
          <w:rFonts w:hint="default"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658804C">
      <w:pPr>
        <w:spacing w:line="560" w:lineRule="exact"/>
        <w:jc w:val="center"/>
        <w:rPr>
          <w:rFonts w:ascii="宋体" w:hAnsi="宋体" w:cs="宋体"/>
          <w:b/>
          <w:bCs/>
          <w:sz w:val="44"/>
          <w:szCs w:val="44"/>
        </w:rPr>
      </w:pPr>
    </w:p>
    <w:p w14:paraId="47D4E091">
      <w:pPr>
        <w:spacing w:line="560" w:lineRule="exact"/>
        <w:jc w:val="center"/>
        <w:rPr>
          <w:rFonts w:hint="eastAsia" w:ascii="宋体" w:hAnsi="宋体" w:cs="宋体"/>
          <w:b/>
          <w:bCs/>
          <w:sz w:val="44"/>
          <w:szCs w:val="44"/>
        </w:rPr>
      </w:pPr>
      <w:r>
        <w:rPr>
          <w:rFonts w:hint="eastAsia" w:ascii="宋体" w:hAnsi="宋体" w:cs="宋体"/>
          <w:b/>
          <w:bCs/>
          <w:sz w:val="44"/>
          <w:szCs w:val="44"/>
          <w:lang w:val="en-US" w:eastAsia="zh-CN"/>
        </w:rPr>
        <w:t>中共石家庄市委党校</w:t>
      </w:r>
    </w:p>
    <w:p w14:paraId="71578970">
      <w:pPr>
        <w:spacing w:line="560" w:lineRule="exact"/>
        <w:jc w:val="center"/>
        <w:rPr>
          <w:rFonts w:ascii="宋体" w:hAnsi="宋体" w:cs="宋体"/>
          <w:b/>
          <w:bCs/>
          <w:sz w:val="44"/>
          <w:szCs w:val="44"/>
        </w:rPr>
      </w:pPr>
      <w:r>
        <w:rPr>
          <w:rFonts w:hint="eastAsia" w:ascii="宋体" w:hAnsi="宋体" w:cs="宋体"/>
          <w:b/>
          <w:bCs/>
          <w:sz w:val="44"/>
          <w:szCs w:val="44"/>
        </w:rPr>
        <w:t>202</w:t>
      </w:r>
      <w:r>
        <w:rPr>
          <w:rFonts w:hint="eastAsia" w:ascii="宋体" w:hAnsi="宋体" w:cs="宋体"/>
          <w:b/>
          <w:bCs/>
          <w:sz w:val="44"/>
          <w:szCs w:val="44"/>
          <w:lang w:val="en-US" w:eastAsia="zh-CN"/>
        </w:rPr>
        <w:t>5</w:t>
      </w:r>
      <w:r>
        <w:rPr>
          <w:rFonts w:hint="eastAsia" w:ascii="宋体" w:hAnsi="宋体" w:cs="宋体"/>
          <w:b/>
          <w:bCs/>
          <w:sz w:val="44"/>
          <w:szCs w:val="44"/>
        </w:rPr>
        <w:t>年度整体支出绩效自评报告</w:t>
      </w:r>
    </w:p>
    <w:p w14:paraId="7DB97C26">
      <w:pPr>
        <w:spacing w:line="560" w:lineRule="exact"/>
        <w:jc w:val="center"/>
        <w:rPr>
          <w:rFonts w:ascii="华文楷体" w:eastAsia="华文楷体"/>
          <w:sz w:val="32"/>
          <w:szCs w:val="32"/>
        </w:rPr>
      </w:pPr>
    </w:p>
    <w:p w14:paraId="49821B4E">
      <w:pPr>
        <w:adjustRightInd w:val="0"/>
        <w:snapToGrid w:val="0"/>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为</w:t>
      </w:r>
      <w:r>
        <w:rPr>
          <w:rFonts w:hint="eastAsia" w:ascii="仿宋" w:hAnsi="仿宋" w:eastAsia="仿宋"/>
          <w:sz w:val="32"/>
          <w:szCs w:val="32"/>
        </w:rPr>
        <w:t>贯彻落实市委市政府《关于全面落实预算绩效管理的实施意见》（石发﹝2019﹞8号）文件精神，遵循“科学性、规范性、客观性和公正性”的原则，对</w:t>
      </w:r>
      <w:r>
        <w:rPr>
          <w:rFonts w:hint="eastAsia" w:ascii="仿宋" w:hAnsi="仿宋" w:eastAsia="仿宋"/>
          <w:sz w:val="32"/>
          <w:szCs w:val="32"/>
          <w:lang w:val="en-US" w:eastAsia="zh-CN"/>
        </w:rPr>
        <w:t>中共石家庄市委党校</w:t>
      </w: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年整体支出情况实施了财政支出绩效自评价，形成本评价报告。</w:t>
      </w:r>
    </w:p>
    <w:p w14:paraId="104816EB">
      <w:pPr>
        <w:adjustRightInd w:val="0"/>
        <w:snapToGrid w:val="0"/>
        <w:spacing w:line="560" w:lineRule="exact"/>
        <w:rPr>
          <w:rFonts w:ascii="黑体" w:hAnsi="黑体" w:eastAsia="黑体"/>
          <w:b/>
          <w:bCs/>
          <w:sz w:val="32"/>
          <w:szCs w:val="36"/>
        </w:rPr>
      </w:pPr>
      <w:r>
        <w:rPr>
          <w:rFonts w:hint="eastAsia" w:ascii="黑体" w:hAnsi="黑体" w:eastAsia="黑体"/>
          <w:sz w:val="32"/>
          <w:szCs w:val="32"/>
        </w:rPr>
        <w:t xml:space="preserve">     一、部门</w:t>
      </w:r>
      <w:r>
        <w:rPr>
          <w:rFonts w:hint="eastAsia" w:ascii="黑体" w:hAnsi="黑体" w:eastAsia="黑体"/>
          <w:sz w:val="32"/>
          <w:szCs w:val="36"/>
        </w:rPr>
        <w:t>基本情况</w:t>
      </w:r>
    </w:p>
    <w:p w14:paraId="3E4236F5">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（一）部门概况</w:t>
      </w:r>
    </w:p>
    <w:p w14:paraId="66999CE5">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中共石家庄市委党校为独立财务核算单位，财政预算一级拨款单位，单位设置23个内设机构，即办公室、人事科、机关党委（工会）、教务科、科研科、学员科、财务科、后勤科、教研保障科、保卫科、图书馆、老干部科、对外交流中心、校刊编辑部、信息中心、马克思理论教研部、党史党建教研部、公务员能力建设教研部、经济学教研部、管理学教研部、法学教研部、统战理论和文史教研部、市情研究所。我单位2025年全额事业编制名额为198人，年末在职人员188人，退休人员157人，离休人员1人。</w:t>
      </w:r>
    </w:p>
    <w:p w14:paraId="2FEA894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根据《中共石家庄市委党校职能配置、内设机构和人员编制规定》，中共石家庄市委党校的主要职责</w:t>
      </w:r>
      <w:r>
        <w:rPr>
          <w:rFonts w:hint="eastAsia" w:ascii="仿宋" w:hAnsi="仿宋" w:eastAsia="仿宋"/>
          <w:sz w:val="32"/>
          <w:szCs w:val="32"/>
          <w:lang w:val="en-US" w:eastAsia="zh-CN"/>
        </w:rPr>
        <w:t>包括</w:t>
      </w:r>
      <w:r>
        <w:rPr>
          <w:rFonts w:hint="eastAsia" w:ascii="仿宋" w:hAnsi="仿宋" w:eastAsia="仿宋"/>
          <w:sz w:val="32"/>
          <w:szCs w:val="32"/>
        </w:rPr>
        <w:t>：轮训各级党员领导干部</w:t>
      </w:r>
      <w:r>
        <w:rPr>
          <w:rFonts w:hint="eastAsia" w:ascii="仿宋" w:hAnsi="仿宋" w:eastAsia="仿宋"/>
          <w:sz w:val="32"/>
          <w:szCs w:val="32"/>
          <w:lang w:eastAsia="zh-CN"/>
        </w:rPr>
        <w:t>；</w:t>
      </w:r>
      <w:r>
        <w:rPr>
          <w:rFonts w:hint="eastAsia" w:ascii="仿宋" w:hAnsi="仿宋" w:eastAsia="仿宋"/>
          <w:sz w:val="32"/>
          <w:szCs w:val="32"/>
        </w:rPr>
        <w:t>培训中青年党员领导干部</w:t>
      </w:r>
      <w:r>
        <w:rPr>
          <w:rFonts w:hint="eastAsia" w:ascii="仿宋" w:hAnsi="仿宋" w:eastAsia="仿宋"/>
          <w:sz w:val="32"/>
          <w:szCs w:val="32"/>
          <w:lang w:eastAsia="zh-CN"/>
        </w:rPr>
        <w:t>；</w:t>
      </w:r>
      <w:r>
        <w:rPr>
          <w:rFonts w:hint="eastAsia" w:ascii="仿宋" w:hAnsi="仿宋" w:eastAsia="仿宋"/>
          <w:sz w:val="32"/>
          <w:szCs w:val="32"/>
        </w:rPr>
        <w:t>培训意识形态部门的领导干部和理论骨干</w:t>
      </w:r>
      <w:r>
        <w:rPr>
          <w:rFonts w:hint="eastAsia" w:ascii="仿宋" w:hAnsi="仿宋" w:eastAsia="仿宋"/>
          <w:sz w:val="32"/>
          <w:szCs w:val="32"/>
          <w:lang w:eastAsia="zh-CN"/>
        </w:rPr>
        <w:t>；</w:t>
      </w:r>
      <w:r>
        <w:rPr>
          <w:rFonts w:hint="eastAsia" w:ascii="仿宋" w:hAnsi="仿宋" w:eastAsia="仿宋"/>
          <w:sz w:val="32"/>
          <w:szCs w:val="32"/>
        </w:rPr>
        <w:t>协同组织人事部门，对学员在校期间进行考核考察</w:t>
      </w:r>
      <w:r>
        <w:rPr>
          <w:rFonts w:hint="eastAsia" w:ascii="仿宋" w:hAnsi="仿宋" w:eastAsia="仿宋"/>
          <w:sz w:val="32"/>
          <w:szCs w:val="32"/>
          <w:lang w:eastAsia="zh-CN"/>
        </w:rPr>
        <w:t>；</w:t>
      </w:r>
      <w:r>
        <w:rPr>
          <w:rFonts w:hint="eastAsia" w:ascii="仿宋" w:hAnsi="仿宋" w:eastAsia="仿宋"/>
          <w:sz w:val="32"/>
          <w:szCs w:val="32"/>
        </w:rPr>
        <w:t>围绕国际国内出现的新情况、新问题，开展科学研究，及时将研究成果应用于教学和社会实践，并提供党委决策参考</w:t>
      </w:r>
      <w:r>
        <w:rPr>
          <w:rFonts w:hint="eastAsia" w:ascii="仿宋" w:hAnsi="仿宋" w:eastAsia="仿宋"/>
          <w:sz w:val="32"/>
          <w:szCs w:val="32"/>
          <w:lang w:eastAsia="zh-CN"/>
        </w:rPr>
        <w:t>；</w:t>
      </w:r>
      <w:r>
        <w:rPr>
          <w:rFonts w:hint="eastAsia" w:ascii="仿宋" w:hAnsi="仿宋" w:eastAsia="仿宋"/>
          <w:sz w:val="32"/>
          <w:szCs w:val="32"/>
        </w:rPr>
        <w:t>宣传马克思</w:t>
      </w:r>
      <w:r>
        <w:rPr>
          <w:rFonts w:hint="eastAsia" w:ascii="仿宋" w:hAnsi="仿宋" w:eastAsia="仿宋"/>
          <w:sz w:val="32"/>
          <w:szCs w:val="32"/>
          <w:lang w:val="en-US" w:eastAsia="zh-CN"/>
        </w:rPr>
        <w:t>列宁</w:t>
      </w:r>
      <w:r>
        <w:rPr>
          <w:rFonts w:hint="eastAsia" w:ascii="仿宋" w:hAnsi="仿宋" w:eastAsia="仿宋"/>
          <w:sz w:val="32"/>
          <w:szCs w:val="32"/>
        </w:rPr>
        <w:t>主义、毛泽东思想、邓小平理论</w:t>
      </w:r>
      <w:r>
        <w:rPr>
          <w:rFonts w:hint="eastAsia" w:ascii="仿宋" w:hAnsi="仿宋" w:eastAsia="仿宋"/>
          <w:sz w:val="32"/>
          <w:szCs w:val="32"/>
          <w:lang w:eastAsia="zh-CN"/>
        </w:rPr>
        <w:t>、</w:t>
      </w:r>
      <w:r>
        <w:rPr>
          <w:rFonts w:hint="eastAsia" w:ascii="仿宋" w:hAnsi="仿宋" w:eastAsia="仿宋"/>
          <w:sz w:val="32"/>
          <w:szCs w:val="32"/>
          <w:lang w:val="en-US" w:eastAsia="zh-CN"/>
        </w:rPr>
        <w:t>“三个代表”重要思想、科学发展观、习近平新时代中国特色社会主义思想</w:t>
      </w:r>
      <w:r>
        <w:rPr>
          <w:rFonts w:hint="eastAsia" w:ascii="仿宋" w:hAnsi="仿宋" w:eastAsia="仿宋"/>
          <w:sz w:val="32"/>
          <w:szCs w:val="32"/>
        </w:rPr>
        <w:t>和党的路线、方针、政策</w:t>
      </w:r>
      <w:r>
        <w:rPr>
          <w:rFonts w:hint="eastAsia" w:ascii="仿宋" w:hAnsi="仿宋" w:eastAsia="仿宋"/>
          <w:sz w:val="32"/>
          <w:szCs w:val="32"/>
          <w:lang w:eastAsia="zh-CN"/>
        </w:rPr>
        <w:t>；</w:t>
      </w:r>
      <w:r>
        <w:rPr>
          <w:rFonts w:hint="eastAsia" w:ascii="仿宋" w:hAnsi="仿宋" w:eastAsia="仿宋"/>
          <w:sz w:val="32"/>
          <w:szCs w:val="32"/>
        </w:rPr>
        <w:t>加强自身建设，努力把党校办成轮训和培训党员领导干部，培养党的理论队伍，学习、研究马克思</w:t>
      </w:r>
      <w:r>
        <w:rPr>
          <w:rFonts w:hint="eastAsia" w:ascii="仿宋" w:hAnsi="仿宋" w:eastAsia="仿宋"/>
          <w:sz w:val="32"/>
          <w:szCs w:val="32"/>
          <w:lang w:val="en-US" w:eastAsia="zh-CN"/>
        </w:rPr>
        <w:t>列宁</w:t>
      </w:r>
      <w:r>
        <w:rPr>
          <w:rFonts w:hint="eastAsia" w:ascii="仿宋" w:hAnsi="仿宋" w:eastAsia="仿宋"/>
          <w:sz w:val="32"/>
          <w:szCs w:val="32"/>
        </w:rPr>
        <w:t>主义、毛泽东思想、邓小平理论</w:t>
      </w:r>
      <w:r>
        <w:rPr>
          <w:rFonts w:hint="eastAsia" w:ascii="仿宋" w:hAnsi="仿宋" w:eastAsia="仿宋"/>
          <w:sz w:val="32"/>
          <w:szCs w:val="32"/>
          <w:lang w:eastAsia="zh-CN"/>
        </w:rPr>
        <w:t>、</w:t>
      </w:r>
      <w:r>
        <w:rPr>
          <w:rFonts w:hint="eastAsia" w:ascii="仿宋" w:hAnsi="仿宋" w:eastAsia="仿宋"/>
          <w:sz w:val="32"/>
          <w:szCs w:val="32"/>
          <w:lang w:val="en-US" w:eastAsia="zh-CN"/>
        </w:rPr>
        <w:t>“三个代表”重要思想、科学发展观、习近平新时代中国特色社会主义思想的</w:t>
      </w:r>
      <w:r>
        <w:rPr>
          <w:rFonts w:hint="eastAsia" w:ascii="仿宋" w:hAnsi="仿宋" w:eastAsia="仿宋"/>
          <w:sz w:val="32"/>
          <w:szCs w:val="32"/>
        </w:rPr>
        <w:t>重要阵地，成为干部增强党性锻炼的熔炉</w:t>
      </w:r>
      <w:r>
        <w:rPr>
          <w:rFonts w:hint="eastAsia" w:ascii="仿宋" w:hAnsi="仿宋" w:eastAsia="仿宋"/>
          <w:sz w:val="32"/>
          <w:szCs w:val="32"/>
          <w:lang w:eastAsia="zh-CN"/>
        </w:rPr>
        <w:t>；</w:t>
      </w:r>
      <w:r>
        <w:rPr>
          <w:rFonts w:hint="eastAsia" w:ascii="仿宋" w:hAnsi="仿宋" w:eastAsia="仿宋"/>
          <w:sz w:val="32"/>
          <w:szCs w:val="32"/>
        </w:rPr>
        <w:t>在办好主体班次的前提下，利用多种形式对干部进行学历教育</w:t>
      </w:r>
      <w:r>
        <w:rPr>
          <w:rFonts w:hint="eastAsia" w:ascii="仿宋" w:hAnsi="仿宋" w:eastAsia="仿宋"/>
          <w:sz w:val="32"/>
          <w:szCs w:val="32"/>
          <w:lang w:eastAsia="zh-CN"/>
        </w:rPr>
        <w:t>；</w:t>
      </w:r>
      <w:r>
        <w:rPr>
          <w:rFonts w:hint="eastAsia" w:ascii="仿宋" w:hAnsi="仿宋" w:eastAsia="仿宋"/>
          <w:sz w:val="32"/>
          <w:szCs w:val="32"/>
        </w:rPr>
        <w:t>负责对各县市区委党校和市直部门党校的联系和业务指导</w:t>
      </w:r>
      <w:r>
        <w:rPr>
          <w:rFonts w:hint="eastAsia" w:ascii="仿宋" w:hAnsi="仿宋" w:eastAsia="仿宋"/>
          <w:sz w:val="32"/>
          <w:szCs w:val="32"/>
          <w:lang w:eastAsia="zh-CN"/>
        </w:rPr>
        <w:t>；</w:t>
      </w:r>
      <w:r>
        <w:rPr>
          <w:rFonts w:hint="eastAsia" w:ascii="仿宋" w:hAnsi="仿宋" w:eastAsia="仿宋"/>
          <w:sz w:val="32"/>
          <w:szCs w:val="32"/>
        </w:rPr>
        <w:t>完成市委交办的各项任务</w:t>
      </w:r>
      <w:r>
        <w:rPr>
          <w:rFonts w:hint="eastAsia" w:ascii="仿宋" w:hAnsi="仿宋" w:eastAsia="仿宋"/>
          <w:sz w:val="32"/>
          <w:szCs w:val="32"/>
          <w:lang w:eastAsia="zh-CN"/>
        </w:rPr>
        <w:t>。同时，统筹市委党校、西柏坡管理局工委党校和河北正定干部学院分院“三位一体”发展，推动资源共享、协同发力。</w:t>
      </w:r>
    </w:p>
    <w:p w14:paraId="21AC68A8">
      <w:pPr>
        <w:numPr>
          <w:ilvl w:val="0"/>
          <w:numId w:val="1"/>
        </w:numPr>
        <w:adjustRightInd w:val="0"/>
        <w:snapToGrid w:val="0"/>
        <w:spacing w:line="560" w:lineRule="exact"/>
        <w:ind w:firstLine="640" w:firstLineChars="200"/>
        <w:rPr>
          <w:rFonts w:hint="eastAsia" w:ascii="楷体" w:hAnsi="楷体" w:eastAsia="楷体" w:cs="楷体_GB2312"/>
          <w:bCs/>
          <w:sz w:val="32"/>
          <w:szCs w:val="32"/>
        </w:rPr>
      </w:pPr>
      <w:r>
        <w:rPr>
          <w:rFonts w:hint="eastAsia" w:ascii="楷体" w:hAnsi="楷体" w:eastAsia="楷体" w:cs="楷体_GB2312"/>
          <w:bCs/>
          <w:sz w:val="32"/>
          <w:szCs w:val="32"/>
        </w:rPr>
        <w:t>部门收支预决算情况</w:t>
      </w:r>
    </w:p>
    <w:p w14:paraId="6149DD2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sz w:val="32"/>
          <w:szCs w:val="32"/>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5</w:t>
      </w:r>
      <w:r>
        <w:rPr>
          <w:rFonts w:hint="eastAsia" w:ascii="仿宋" w:hAnsi="仿宋" w:eastAsia="仿宋"/>
          <w:sz w:val="32"/>
          <w:szCs w:val="32"/>
        </w:rPr>
        <w:t>年度年初预算安排收入</w:t>
      </w:r>
      <w:r>
        <w:rPr>
          <w:rFonts w:hint="eastAsia" w:ascii="仿宋" w:hAnsi="仿宋" w:eastAsia="仿宋"/>
          <w:sz w:val="32"/>
          <w:szCs w:val="32"/>
          <w:lang w:val="en-US" w:eastAsia="zh-CN"/>
        </w:rPr>
        <w:t>7480.29</w:t>
      </w:r>
      <w:r>
        <w:rPr>
          <w:rFonts w:hint="eastAsia" w:ascii="仿宋" w:hAnsi="仿宋" w:eastAsia="仿宋"/>
          <w:sz w:val="32"/>
          <w:szCs w:val="32"/>
        </w:rPr>
        <w:t>万元，年初预算安排支出</w:t>
      </w:r>
      <w:r>
        <w:rPr>
          <w:rFonts w:hint="eastAsia" w:ascii="仿宋" w:hAnsi="仿宋" w:eastAsia="仿宋"/>
          <w:sz w:val="32"/>
          <w:szCs w:val="32"/>
          <w:lang w:val="en-US" w:eastAsia="zh-CN"/>
        </w:rPr>
        <w:t>7480.29</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2025年决算收入</w:t>
      </w:r>
      <w:r>
        <w:rPr>
          <w:rFonts w:hint="eastAsia" w:ascii="仿宋" w:hAnsi="仿宋" w:eastAsia="仿宋"/>
          <w:sz w:val="32"/>
          <w:szCs w:val="32"/>
          <w:lang w:eastAsia="zh-CN"/>
        </w:rPr>
        <w:t>7195</w:t>
      </w:r>
      <w:r>
        <w:rPr>
          <w:rFonts w:hint="eastAsia" w:ascii="仿宋" w:hAnsi="仿宋" w:eastAsia="仿宋"/>
          <w:sz w:val="32"/>
          <w:szCs w:val="32"/>
          <w:lang w:val="en-US" w:eastAsia="zh-CN"/>
        </w:rPr>
        <w:t>.</w:t>
      </w:r>
      <w:r>
        <w:rPr>
          <w:rFonts w:hint="eastAsia" w:ascii="仿宋" w:hAnsi="仿宋" w:eastAsia="仿宋"/>
          <w:sz w:val="32"/>
          <w:szCs w:val="32"/>
          <w:lang w:eastAsia="zh-CN"/>
        </w:rPr>
        <w:t>6</w:t>
      </w:r>
      <w:r>
        <w:rPr>
          <w:rFonts w:hint="eastAsia" w:ascii="仿宋" w:hAnsi="仿宋" w:eastAsia="仿宋"/>
          <w:sz w:val="32"/>
          <w:szCs w:val="32"/>
          <w:lang w:val="en-US" w:eastAsia="zh-CN"/>
        </w:rPr>
        <w:t>7万元，其中，人员经费4412.07万元，占总收入的61.32%，主要用于保障教职工工资福利和离退休人员待遇；日常公用经费668.32万元，占总收入的9.29%，用于单位日常办公运转；项目支出2115.28万元，占总收入的29.39%，重点保障培训业务和基础设施维护。</w:t>
      </w:r>
    </w:p>
    <w:p w14:paraId="02D3AD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2025年度决算支出7195.67万元</w:t>
      </w:r>
      <w:r>
        <w:rPr>
          <w:rFonts w:hint="eastAsia" w:ascii="仿宋" w:hAnsi="仿宋" w:eastAsia="仿宋"/>
          <w:sz w:val="32"/>
          <w:szCs w:val="32"/>
          <w:lang w:eastAsia="zh-CN"/>
        </w:rPr>
        <w:t>。</w:t>
      </w:r>
      <w:r>
        <w:rPr>
          <w:rFonts w:hint="eastAsia" w:ascii="仿宋" w:hAnsi="仿宋" w:eastAsia="仿宋"/>
          <w:sz w:val="32"/>
          <w:szCs w:val="32"/>
        </w:rPr>
        <w:t>从经济分类看，工资福利支出3518.05万元，占总支出的48.89%；商品和服务支出2702.97万元，占总支出的37.58%；对个人和家庭的补助支出894.02万元，占总支出的12.42%；资本性支出80.63万元，占总支出的1.12%。</w:t>
      </w:r>
    </w:p>
    <w:p w14:paraId="2A18760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 w:hAnsi="仿宋" w:eastAsia="仿宋"/>
          <w:sz w:val="32"/>
          <w:szCs w:val="32"/>
        </w:rPr>
      </w:pPr>
      <w:r>
        <w:rPr>
          <w:rFonts w:hint="eastAsia" w:ascii="仿宋" w:hAnsi="仿宋" w:eastAsia="仿宋"/>
          <w:sz w:val="32"/>
          <w:szCs w:val="32"/>
        </w:rPr>
        <w:t>2025年度部门预算“三公”经费预算总支出为15.7万元</w:t>
      </w:r>
      <w:r>
        <w:rPr>
          <w:rFonts w:hint="eastAsia" w:ascii="仿宋" w:hAnsi="仿宋" w:eastAsia="仿宋"/>
          <w:sz w:val="32"/>
          <w:szCs w:val="32"/>
          <w:lang w:eastAsia="zh-CN"/>
        </w:rPr>
        <w:t>。</w:t>
      </w:r>
      <w:r>
        <w:rPr>
          <w:rFonts w:hint="eastAsia" w:ascii="仿宋" w:hAnsi="仿宋" w:eastAsia="仿宋"/>
          <w:sz w:val="32"/>
          <w:szCs w:val="32"/>
          <w:lang w:val="en-US" w:eastAsia="zh-CN"/>
        </w:rPr>
        <w:t>其中</w:t>
      </w:r>
      <w:r>
        <w:rPr>
          <w:rFonts w:hint="eastAsia" w:ascii="仿宋" w:hAnsi="仿宋" w:eastAsia="仿宋"/>
          <w:sz w:val="32"/>
          <w:szCs w:val="32"/>
        </w:rPr>
        <w:t>公务车运行维护费</w:t>
      </w:r>
      <w:r>
        <w:rPr>
          <w:rFonts w:hint="eastAsia" w:ascii="仿宋" w:hAnsi="仿宋" w:eastAsia="仿宋"/>
          <w:sz w:val="32"/>
          <w:szCs w:val="32"/>
          <w:lang w:val="en-US" w:eastAsia="zh-CN"/>
        </w:rPr>
        <w:t>为15.7万元</w:t>
      </w:r>
      <w:r>
        <w:rPr>
          <w:rFonts w:hint="eastAsia" w:ascii="仿宋" w:hAnsi="仿宋" w:eastAsia="仿宋"/>
          <w:sz w:val="32"/>
          <w:szCs w:val="32"/>
        </w:rPr>
        <w:t>，因公出国（境）费</w:t>
      </w:r>
      <w:r>
        <w:rPr>
          <w:rFonts w:hint="eastAsia" w:ascii="仿宋" w:hAnsi="仿宋" w:eastAsia="仿宋"/>
          <w:sz w:val="32"/>
          <w:szCs w:val="32"/>
          <w:lang w:val="en-US" w:eastAsia="zh-CN"/>
        </w:rPr>
        <w:t>0万元</w:t>
      </w:r>
      <w:r>
        <w:rPr>
          <w:rFonts w:hint="eastAsia" w:ascii="仿宋" w:hAnsi="仿宋" w:eastAsia="仿宋"/>
          <w:sz w:val="32"/>
          <w:szCs w:val="32"/>
        </w:rPr>
        <w:t>、公务接待费0万元。决算总支出15.7万元</w:t>
      </w:r>
      <w:r>
        <w:rPr>
          <w:rFonts w:hint="eastAsia" w:ascii="仿宋" w:hAnsi="仿宋" w:eastAsia="仿宋"/>
          <w:sz w:val="32"/>
          <w:szCs w:val="32"/>
          <w:lang w:eastAsia="zh-CN"/>
        </w:rPr>
        <w:t>。</w:t>
      </w:r>
      <w:r>
        <w:rPr>
          <w:rFonts w:hint="eastAsia" w:ascii="仿宋" w:hAnsi="仿宋" w:eastAsia="仿宋"/>
          <w:sz w:val="32"/>
          <w:szCs w:val="32"/>
          <w:lang w:val="en-US" w:eastAsia="zh-CN"/>
        </w:rPr>
        <w:t>其中</w:t>
      </w:r>
      <w:r>
        <w:rPr>
          <w:rFonts w:hint="eastAsia" w:ascii="仿宋" w:hAnsi="仿宋" w:eastAsia="仿宋"/>
          <w:sz w:val="32"/>
          <w:szCs w:val="32"/>
        </w:rPr>
        <w:t>公务车运行维护费</w:t>
      </w:r>
      <w:r>
        <w:rPr>
          <w:rFonts w:hint="eastAsia" w:ascii="仿宋" w:hAnsi="仿宋" w:eastAsia="仿宋"/>
          <w:sz w:val="32"/>
          <w:szCs w:val="32"/>
          <w:lang w:val="en-US" w:eastAsia="zh-CN"/>
        </w:rPr>
        <w:t>为15.7万元</w:t>
      </w:r>
      <w:r>
        <w:rPr>
          <w:rFonts w:hint="eastAsia" w:ascii="仿宋" w:hAnsi="仿宋" w:eastAsia="仿宋"/>
          <w:sz w:val="32"/>
          <w:szCs w:val="32"/>
        </w:rPr>
        <w:t>，因公出国（境）费</w:t>
      </w:r>
      <w:r>
        <w:rPr>
          <w:rFonts w:hint="eastAsia" w:ascii="仿宋" w:hAnsi="仿宋" w:eastAsia="仿宋"/>
          <w:sz w:val="32"/>
          <w:szCs w:val="32"/>
          <w:lang w:val="en-US" w:eastAsia="zh-CN"/>
        </w:rPr>
        <w:t>0万元</w:t>
      </w:r>
      <w:r>
        <w:rPr>
          <w:rFonts w:hint="eastAsia" w:ascii="仿宋" w:hAnsi="仿宋" w:eastAsia="仿宋"/>
          <w:sz w:val="32"/>
          <w:szCs w:val="32"/>
        </w:rPr>
        <w:t>、公务接待费0万元。</w:t>
      </w:r>
    </w:p>
    <w:p w14:paraId="1D1EDCF4">
      <w:pPr>
        <w:adjustRightInd w:val="0"/>
        <w:snapToGrid w:val="0"/>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（三）部门整体支出绩效目标、指标</w:t>
      </w:r>
    </w:p>
    <w:p w14:paraId="114D4085">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我校2025年度整体支出绩效目标为：</w:t>
      </w:r>
      <w:r>
        <w:rPr>
          <w:rFonts w:hint="eastAsia" w:ascii="仿宋" w:hAnsi="仿宋" w:eastAsia="仿宋"/>
          <w:sz w:val="32"/>
          <w:szCs w:val="32"/>
        </w:rPr>
        <w:t>以习近平新时代中国特色社会主义思想为指导，全面贯彻落实《中国共产党党校（行政学院）工作条例》和中央、省委、市委关于加强和改进新形势下党校工作的意见及一系列指示精神，发挥干部教育培训主渠道作用，按照全市干部教育培训重点班次安排计划，以及各分校培训安排，科学组织各类培训班，培训学员</w:t>
      </w:r>
      <w:r>
        <w:rPr>
          <w:rFonts w:hint="eastAsia" w:ascii="仿宋" w:hAnsi="仿宋" w:eastAsia="仿宋"/>
          <w:sz w:val="32"/>
          <w:szCs w:val="32"/>
          <w:lang w:val="en-US" w:eastAsia="zh-CN"/>
        </w:rPr>
        <w:t>5000</w:t>
      </w:r>
      <w:r>
        <w:rPr>
          <w:rFonts w:hint="eastAsia" w:ascii="仿宋" w:hAnsi="仿宋" w:eastAsia="仿宋"/>
          <w:sz w:val="32"/>
          <w:szCs w:val="32"/>
        </w:rPr>
        <w:t>人次；围绕教师政治素质与业务能力提升组织师资培训班；通过严格的行政后勤管理，为学员培训和教学科研活动创造良好的硬件环境和后勤保障；开展重大理论问题和现实问题研究，承担市委、市政府决策咨询服务，全年各类科研项目立项</w:t>
      </w:r>
      <w:r>
        <w:rPr>
          <w:rFonts w:hint="eastAsia" w:ascii="仿宋" w:hAnsi="仿宋" w:eastAsia="仿宋"/>
          <w:sz w:val="32"/>
          <w:szCs w:val="32"/>
          <w:lang w:val="en-US" w:eastAsia="zh-CN"/>
        </w:rPr>
        <w:t>15</w:t>
      </w:r>
      <w:r>
        <w:rPr>
          <w:rFonts w:hint="eastAsia" w:ascii="仿宋" w:hAnsi="仿宋" w:eastAsia="仿宋"/>
          <w:sz w:val="32"/>
          <w:szCs w:val="32"/>
        </w:rPr>
        <w:t>项，报送决策咨询报告</w:t>
      </w:r>
      <w:r>
        <w:rPr>
          <w:rFonts w:hint="eastAsia" w:ascii="仿宋" w:hAnsi="仿宋" w:eastAsia="仿宋"/>
          <w:sz w:val="32"/>
          <w:szCs w:val="32"/>
          <w:lang w:val="en-US" w:eastAsia="zh-CN"/>
        </w:rPr>
        <w:t>4</w:t>
      </w:r>
      <w:r>
        <w:rPr>
          <w:rFonts w:hint="eastAsia" w:ascii="仿宋" w:hAnsi="仿宋" w:eastAsia="仿宋"/>
          <w:sz w:val="32"/>
          <w:szCs w:val="32"/>
        </w:rPr>
        <w:t>篇；对全市县（区）党校办学情况进行调研指导</w:t>
      </w:r>
      <w:r>
        <w:rPr>
          <w:rFonts w:hint="eastAsia" w:ascii="仿宋" w:hAnsi="仿宋" w:eastAsia="仿宋"/>
          <w:sz w:val="32"/>
          <w:szCs w:val="32"/>
          <w:lang w:eastAsia="zh-CN"/>
        </w:rPr>
        <w:t>；</w:t>
      </w:r>
      <w:r>
        <w:rPr>
          <w:rFonts w:hint="eastAsia" w:ascii="仿宋" w:hAnsi="仿宋" w:eastAsia="仿宋"/>
          <w:sz w:val="32"/>
          <w:szCs w:val="32"/>
        </w:rPr>
        <w:t>持续提高党校在经济强市、美丽石家庄建设大局中的贡献率。</w:t>
      </w:r>
    </w:p>
    <w:p w14:paraId="10BB2AE8">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分项绩效目标及指标如下：</w:t>
      </w:r>
    </w:p>
    <w:p w14:paraId="5C4A00F1">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绩效目标：通过专家学者授课，开拓学员思路；通过现场教学、情景教学、案例教学、西柏坡特色教学，有效提高培训质量，提高学员解决实际问题的能力。</w:t>
      </w:r>
    </w:p>
    <w:p w14:paraId="54A5524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绩效指标：全年培训人数达到</w:t>
      </w:r>
      <w:r>
        <w:rPr>
          <w:rFonts w:hint="eastAsia" w:ascii="仿宋" w:hAnsi="仿宋" w:eastAsia="仿宋"/>
          <w:sz w:val="32"/>
          <w:szCs w:val="32"/>
          <w:lang w:val="en-US" w:eastAsia="zh-CN"/>
        </w:rPr>
        <w:t>5000</w:t>
      </w:r>
      <w:r>
        <w:rPr>
          <w:rFonts w:hint="eastAsia" w:ascii="仿宋" w:hAnsi="仿宋" w:eastAsia="仿宋"/>
          <w:sz w:val="32"/>
          <w:szCs w:val="32"/>
        </w:rPr>
        <w:t>人次，培训工作完成率达到</w:t>
      </w:r>
      <w:r>
        <w:rPr>
          <w:rFonts w:hint="eastAsia" w:ascii="仿宋" w:hAnsi="仿宋" w:eastAsia="仿宋"/>
          <w:sz w:val="32"/>
          <w:szCs w:val="32"/>
          <w:lang w:val="en-US" w:eastAsia="zh-CN"/>
        </w:rPr>
        <w:t>95</w:t>
      </w:r>
      <w:r>
        <w:rPr>
          <w:rFonts w:hint="eastAsia" w:ascii="仿宋" w:hAnsi="仿宋" w:eastAsia="仿宋"/>
          <w:sz w:val="32"/>
          <w:szCs w:val="32"/>
        </w:rPr>
        <w:t>%以上、学员报到率平均达到90%，主体班学员受训人均成本达到</w:t>
      </w:r>
      <w:r>
        <w:rPr>
          <w:rFonts w:hint="eastAsia" w:ascii="仿宋" w:hAnsi="仿宋" w:eastAsia="仿宋"/>
          <w:sz w:val="32"/>
          <w:szCs w:val="32"/>
          <w:lang w:val="en-US" w:eastAsia="zh-CN"/>
        </w:rPr>
        <w:t>300</w:t>
      </w:r>
      <w:r>
        <w:rPr>
          <w:rFonts w:hint="eastAsia" w:ascii="仿宋" w:hAnsi="仿宋" w:eastAsia="仿宋"/>
          <w:sz w:val="32"/>
          <w:szCs w:val="32"/>
        </w:rPr>
        <w:t>元/天</w:t>
      </w:r>
      <w:r>
        <w:rPr>
          <w:rFonts w:hint="eastAsia" w:ascii="仿宋" w:hAnsi="仿宋" w:eastAsia="仿宋"/>
          <w:sz w:val="32"/>
          <w:szCs w:val="32"/>
          <w:lang w:val="en-US" w:eastAsia="zh-CN"/>
        </w:rPr>
        <w:t>/</w:t>
      </w:r>
      <w:r>
        <w:rPr>
          <w:rFonts w:hint="eastAsia" w:ascii="仿宋" w:hAnsi="仿宋" w:eastAsia="仿宋"/>
          <w:sz w:val="32"/>
          <w:szCs w:val="32"/>
        </w:rPr>
        <w:t>人次。教学质量平均评优率达到8</w:t>
      </w:r>
      <w:r>
        <w:rPr>
          <w:rFonts w:hint="eastAsia" w:ascii="仿宋" w:hAnsi="仿宋" w:eastAsia="仿宋"/>
          <w:sz w:val="32"/>
          <w:szCs w:val="32"/>
          <w:lang w:val="en-US" w:eastAsia="zh-CN"/>
        </w:rPr>
        <w:t>5</w:t>
      </w:r>
      <w:r>
        <w:rPr>
          <w:rFonts w:hint="eastAsia" w:ascii="仿宋" w:hAnsi="仿宋" w:eastAsia="仿宋"/>
          <w:sz w:val="32"/>
          <w:szCs w:val="32"/>
        </w:rPr>
        <w:t>%以上，受益单位覆盖全市各县（区）及85%以上市</w:t>
      </w:r>
      <w:r>
        <w:rPr>
          <w:rFonts w:hint="eastAsia" w:ascii="仿宋" w:hAnsi="仿宋" w:eastAsia="仿宋"/>
          <w:sz w:val="32"/>
          <w:szCs w:val="32"/>
          <w:lang w:val="en-US" w:eastAsia="zh-CN"/>
        </w:rPr>
        <w:t>直部门，学员满意度达到95%以上。</w:t>
      </w:r>
      <w:r>
        <w:rPr>
          <w:rFonts w:hint="eastAsia" w:ascii="仿宋" w:hAnsi="仿宋" w:eastAsia="仿宋"/>
          <w:sz w:val="32"/>
          <w:szCs w:val="32"/>
        </w:rPr>
        <w:t>。</w:t>
      </w:r>
    </w:p>
    <w:p w14:paraId="03CDB44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2</w:t>
      </w:r>
      <w:r>
        <w:rPr>
          <w:rFonts w:hint="eastAsia" w:ascii="仿宋" w:hAnsi="仿宋" w:eastAsia="仿宋"/>
          <w:sz w:val="32"/>
          <w:szCs w:val="32"/>
        </w:rPr>
        <w:t>）理论研究</w:t>
      </w:r>
    </w:p>
    <w:p w14:paraId="71576C0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绩效目标：立项一批高质量科研课题；发表一批高质量理论研究成果。</w:t>
      </w:r>
    </w:p>
    <w:p w14:paraId="27BDF67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绩效指标：做好课题申报组织工作，提高申报质量，年度立项各类科研项目</w:t>
      </w:r>
      <w:r>
        <w:rPr>
          <w:rFonts w:hint="eastAsia" w:ascii="仿宋" w:hAnsi="仿宋" w:eastAsia="仿宋"/>
          <w:sz w:val="32"/>
          <w:szCs w:val="32"/>
          <w:lang w:val="en-US" w:eastAsia="zh-CN"/>
        </w:rPr>
        <w:t>15</w:t>
      </w:r>
      <w:r>
        <w:rPr>
          <w:rFonts w:hint="eastAsia" w:ascii="仿宋" w:hAnsi="仿宋" w:eastAsia="仿宋"/>
          <w:sz w:val="32"/>
          <w:szCs w:val="32"/>
        </w:rPr>
        <w:t>项，并按立项要求做好课题研究工作。全年在省级以上报刊发表研究成果</w:t>
      </w:r>
      <w:r>
        <w:rPr>
          <w:rFonts w:hint="eastAsia" w:ascii="仿宋" w:hAnsi="仿宋" w:eastAsia="仿宋"/>
          <w:sz w:val="32"/>
          <w:szCs w:val="32"/>
          <w:lang w:val="en-US" w:eastAsia="zh-CN"/>
        </w:rPr>
        <w:t>30</w:t>
      </w:r>
      <w:r>
        <w:rPr>
          <w:rFonts w:hint="eastAsia" w:ascii="仿宋" w:hAnsi="仿宋" w:eastAsia="仿宋"/>
          <w:sz w:val="32"/>
          <w:szCs w:val="32"/>
        </w:rPr>
        <w:t>篇，发挥思想引领和理论建设作用。</w:t>
      </w:r>
    </w:p>
    <w:p w14:paraId="386938F6">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3</w:t>
      </w:r>
      <w:r>
        <w:rPr>
          <w:rFonts w:hint="eastAsia" w:ascii="仿宋" w:hAnsi="仿宋" w:eastAsia="仿宋"/>
          <w:sz w:val="32"/>
          <w:szCs w:val="32"/>
        </w:rPr>
        <w:t>）决策咨询</w:t>
      </w:r>
    </w:p>
    <w:p w14:paraId="73E0EE1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绩效目标：向市委市政府报送一批高质量决策咨询报告。</w:t>
      </w:r>
    </w:p>
    <w:p w14:paraId="0DD9A772">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绩效指标：围绕市委市政府中心工作开展决策咨询研究，组织决策服务课题立项，高质量完成研究任务。全年向市委市政府报送咨询报告</w:t>
      </w:r>
      <w:r>
        <w:rPr>
          <w:rFonts w:hint="eastAsia" w:ascii="仿宋" w:hAnsi="仿宋" w:eastAsia="仿宋"/>
          <w:sz w:val="32"/>
          <w:szCs w:val="32"/>
          <w:lang w:val="en-US" w:eastAsia="zh-CN"/>
        </w:rPr>
        <w:t>4</w:t>
      </w:r>
      <w:r>
        <w:rPr>
          <w:rFonts w:hint="eastAsia" w:ascii="仿宋" w:hAnsi="仿宋" w:eastAsia="仿宋"/>
          <w:sz w:val="32"/>
          <w:szCs w:val="32"/>
        </w:rPr>
        <w:t>篇，切实发挥决策咨询和智库作用。</w:t>
      </w:r>
    </w:p>
    <w:p w14:paraId="5607A81B">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4</w:t>
      </w:r>
      <w:r>
        <w:rPr>
          <w:rFonts w:hint="eastAsia" w:ascii="仿宋" w:hAnsi="仿宋" w:eastAsia="仿宋"/>
          <w:sz w:val="32"/>
          <w:szCs w:val="32"/>
        </w:rPr>
        <w:t>）开展业务指导</w:t>
      </w:r>
    </w:p>
    <w:p w14:paraId="06F5A87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绩效目标：对全市各级党校（行政学院）开展业务指导并对办学能力和水平进行调研。</w:t>
      </w:r>
    </w:p>
    <w:p w14:paraId="579617FA">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绩效指标：通过对全市县（区）党校（行政学院、行政学校）办学治校方针政策的情况进行调研检查，提出指导性意见。</w:t>
      </w:r>
    </w:p>
    <w:p w14:paraId="32A7F8AE">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5</w:t>
      </w:r>
      <w:r>
        <w:rPr>
          <w:rFonts w:hint="eastAsia" w:ascii="仿宋" w:hAnsi="仿宋" w:eastAsia="仿宋"/>
          <w:sz w:val="32"/>
          <w:szCs w:val="32"/>
        </w:rPr>
        <w:t>）师资培训</w:t>
      </w:r>
    </w:p>
    <w:p w14:paraId="27B75E64">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绩效目标：加强师资培训。</w:t>
      </w:r>
    </w:p>
    <w:p w14:paraId="27B817CE">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绩效指标：教师专题培训比率稳定在10%以上，培训出勤率在9</w:t>
      </w:r>
      <w:r>
        <w:rPr>
          <w:rFonts w:hint="eastAsia" w:ascii="仿宋" w:hAnsi="仿宋" w:eastAsia="仿宋"/>
          <w:sz w:val="32"/>
          <w:szCs w:val="32"/>
          <w:lang w:val="en-US" w:eastAsia="zh-CN"/>
        </w:rPr>
        <w:t>5</w:t>
      </w:r>
      <w:r>
        <w:rPr>
          <w:rFonts w:hint="eastAsia" w:ascii="仿宋" w:hAnsi="仿宋" w:eastAsia="仿宋"/>
          <w:sz w:val="32"/>
          <w:szCs w:val="32"/>
        </w:rPr>
        <w:t>%以上，参训人员满意度在9</w:t>
      </w:r>
      <w:r>
        <w:rPr>
          <w:rFonts w:hint="eastAsia" w:ascii="仿宋" w:hAnsi="仿宋" w:eastAsia="仿宋"/>
          <w:sz w:val="32"/>
          <w:szCs w:val="32"/>
          <w:lang w:val="en-US" w:eastAsia="zh-CN"/>
        </w:rPr>
        <w:t>5</w:t>
      </w:r>
      <w:r>
        <w:rPr>
          <w:rFonts w:hint="eastAsia" w:ascii="仿宋" w:hAnsi="仿宋" w:eastAsia="仿宋"/>
          <w:sz w:val="32"/>
          <w:szCs w:val="32"/>
        </w:rPr>
        <w:t>%以上。培训涵盖党校（行政学院）马克思主义理论、党史党建、经济学、管理学、政治法律等各专业领域教师。学习新思想新理念新方法，进一步更新知识结构、提升教研水平。</w:t>
      </w:r>
    </w:p>
    <w:p w14:paraId="0B75789B">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）教学事务管理</w:t>
      </w:r>
    </w:p>
    <w:p w14:paraId="51809689">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绩效目标：通过严格的行政后勤管理，为学员培训和教学科研活动创造良好的硬件环境和后勤保障。</w:t>
      </w:r>
    </w:p>
    <w:p w14:paraId="1E25CB42">
      <w:pPr>
        <w:adjustRightInd w:val="0"/>
        <w:snapToGrid w:val="0"/>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rPr>
        <w:t>绩效指标：作好后勤、保障和设备维护，包括水、电、暖、燃气、中央空调机组、校园内建筑物维修维护；后勤保障事务完成率不低于90%；设备维护按计划完成率不低于90%；用餐满意度不低于90%，受益人员覆盖全市各级党政领导干部、公务员、国有企业领导人员、事业单位领导人员、年轻干部、理论宣传骨干、高层次人才、基层干部、党员，同时开展党校（行政学院）系统师资培训。</w:t>
      </w:r>
    </w:p>
    <w:p w14:paraId="2F4A2F6A">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二、自评工作开展情况</w:t>
      </w:r>
    </w:p>
    <w:p w14:paraId="75A4F82B">
      <w:pPr>
        <w:spacing w:line="560" w:lineRule="exact"/>
        <w:rPr>
          <w:rFonts w:ascii="楷体" w:hAnsi="楷体" w:eastAsia="楷体" w:cs="楷体_GB2312"/>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（一）自评的组织工作</w:t>
      </w:r>
    </w:p>
    <w:p w14:paraId="62C51568">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 xml:space="preserve"> 202</w:t>
      </w:r>
      <w:r>
        <w:rPr>
          <w:rFonts w:hint="eastAsia" w:ascii="仿宋" w:hAnsi="仿宋" w:eastAsia="仿宋"/>
          <w:sz w:val="32"/>
          <w:szCs w:val="32"/>
          <w:lang w:val="en-US" w:eastAsia="zh-CN"/>
        </w:rPr>
        <w:t>6</w:t>
      </w:r>
      <w:r>
        <w:rPr>
          <w:rFonts w:hint="eastAsia" w:ascii="仿宋" w:hAnsi="仿宋" w:eastAsia="仿宋"/>
          <w:sz w:val="32"/>
          <w:szCs w:val="32"/>
        </w:rPr>
        <w:t>年</w:t>
      </w:r>
      <w:r>
        <w:rPr>
          <w:rFonts w:hint="eastAsia" w:ascii="仿宋" w:hAnsi="仿宋" w:eastAsia="仿宋"/>
          <w:sz w:val="32"/>
          <w:szCs w:val="32"/>
          <w:lang w:val="en-US" w:eastAsia="zh-CN"/>
        </w:rPr>
        <w:t>初</w:t>
      </w:r>
      <w:r>
        <w:rPr>
          <w:rFonts w:hint="eastAsia" w:ascii="仿宋" w:hAnsi="仿宋" w:eastAsia="仿宋"/>
          <w:sz w:val="32"/>
          <w:szCs w:val="32"/>
        </w:rPr>
        <w:t>，我校根据相关文件要求和本单位工作特点，成立了自评工作组，工作组组长由主管财务的副校长栾俊鹏担任，成员包括办公室、财务科及各业务</w:t>
      </w:r>
      <w:r>
        <w:rPr>
          <w:rFonts w:hint="eastAsia" w:ascii="仿宋" w:hAnsi="仿宋" w:eastAsia="仿宋"/>
          <w:sz w:val="32"/>
          <w:szCs w:val="32"/>
          <w:lang w:val="en-US" w:eastAsia="zh-CN"/>
        </w:rPr>
        <w:t>科室</w:t>
      </w:r>
      <w:r>
        <w:rPr>
          <w:rFonts w:hint="eastAsia" w:ascii="仿宋" w:hAnsi="仿宋" w:eastAsia="仿宋"/>
          <w:sz w:val="32"/>
          <w:szCs w:val="32"/>
        </w:rPr>
        <w:t>相关负责人。工作组主要职责是统筹推进自评工作，明确各科室自评责任，收集、整理和审核各业务责任科室的自评结果，确保自评工作规范、有序开展。</w:t>
      </w:r>
    </w:p>
    <w:p w14:paraId="1A25C773">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rPr>
        <w:t>评价政策依据及数据资料：《中国共产党党校（行政学院）工作条例》、《中共石家庄市委关于贯彻《中国共产党党校（行政学院）工作条例》的实施意见》、市委市政府《关于全面落实预算绩效管理的实施意见》（石发﹝2019﹞8号）、2025年度部门预算、决算资料、各类培训、科研、后勤保障等工作台账。</w:t>
      </w:r>
    </w:p>
    <w:p w14:paraId="34BE1630">
      <w:pPr>
        <w:numPr>
          <w:ilvl w:val="0"/>
          <w:numId w:val="2"/>
        </w:numPr>
        <w:spacing w:line="560" w:lineRule="exact"/>
        <w:rPr>
          <w:rFonts w:ascii="楷体" w:hAnsi="楷体" w:eastAsia="楷体" w:cs="楷体_GB2312"/>
          <w:bCs/>
          <w:sz w:val="32"/>
          <w:szCs w:val="32"/>
        </w:rPr>
      </w:pPr>
      <w:r>
        <w:rPr>
          <w:rFonts w:hint="eastAsia" w:ascii="楷体" w:hAnsi="楷体" w:eastAsia="楷体" w:cs="楷体_GB2312"/>
          <w:bCs/>
          <w:sz w:val="32"/>
          <w:szCs w:val="32"/>
        </w:rPr>
        <w:t>自评的方法和过程</w:t>
      </w:r>
    </w:p>
    <w:p w14:paraId="4CF2BA06">
      <w:pPr>
        <w:numPr>
          <w:ilvl w:val="0"/>
          <w:numId w:val="3"/>
        </w:num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按照文件要求确定绩效自评对象及范围。</w:t>
      </w:r>
    </w:p>
    <w:p w14:paraId="6EB778E5">
      <w:pPr>
        <w:numPr>
          <w:ilvl w:val="0"/>
          <w:numId w:val="3"/>
        </w:num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准备《202</w:t>
      </w:r>
      <w:r>
        <w:rPr>
          <w:rFonts w:hint="eastAsia" w:ascii="仿宋" w:hAnsi="仿宋" w:eastAsia="仿宋" w:cs="仿宋"/>
          <w:sz w:val="32"/>
          <w:szCs w:val="32"/>
          <w:lang w:val="en-US" w:eastAsia="zh-CN"/>
        </w:rPr>
        <w:t>5</w:t>
      </w:r>
      <w:r>
        <w:rPr>
          <w:rFonts w:hint="eastAsia" w:ascii="仿宋" w:hAnsi="仿宋" w:eastAsia="仿宋" w:cs="仿宋"/>
          <w:sz w:val="32"/>
          <w:szCs w:val="32"/>
        </w:rPr>
        <w:t>年度预算项目绩效自评表》模板和《</w:t>
      </w:r>
      <w:r>
        <w:rPr>
          <w:rFonts w:hint="eastAsia" w:ascii="仿宋" w:hAnsi="仿宋" w:eastAsia="仿宋" w:cs="仿宋"/>
          <w:sz w:val="32"/>
          <w:szCs w:val="32"/>
          <w:lang w:val="en-US" w:eastAsia="zh-CN"/>
        </w:rPr>
        <w:t>科</w:t>
      </w:r>
      <w:r>
        <w:rPr>
          <w:rFonts w:hint="eastAsia" w:ascii="仿宋" w:hAnsi="仿宋" w:eastAsia="仿宋" w:cs="仿宋"/>
          <w:sz w:val="32"/>
          <w:szCs w:val="32"/>
        </w:rPr>
        <w:t xml:space="preserve">室绩效自评工作报告》模板等相关资料供评价人员参考。 </w:t>
      </w:r>
    </w:p>
    <w:p w14:paraId="307DBEF0">
      <w:pPr>
        <w:numPr>
          <w:ilvl w:val="0"/>
          <w:numId w:val="3"/>
        </w:numPr>
        <w:spacing w:line="360" w:lineRule="auto"/>
        <w:ind w:firstLine="640" w:firstLineChars="200"/>
        <w:rPr>
          <w:rFonts w:hint="eastAsia" w:ascii="仿宋" w:hAnsi="仿宋" w:eastAsia="仿宋" w:cs="仿宋"/>
          <w:sz w:val="32"/>
          <w:szCs w:val="32"/>
        </w:rPr>
      </w:pPr>
      <w:r>
        <w:rPr>
          <w:rFonts w:hint="eastAsia" w:ascii="仿宋" w:hAnsi="仿宋" w:eastAsia="仿宋" w:cs="仿宋"/>
          <w:sz w:val="32"/>
          <w:szCs w:val="32"/>
        </w:rPr>
        <w:t>组织绩效自评相关</w:t>
      </w:r>
      <w:r>
        <w:rPr>
          <w:rFonts w:hint="eastAsia" w:ascii="仿宋" w:hAnsi="仿宋" w:eastAsia="仿宋" w:cs="仿宋"/>
          <w:sz w:val="32"/>
          <w:szCs w:val="32"/>
          <w:lang w:val="en-US" w:eastAsia="zh-CN"/>
        </w:rPr>
        <w:t>科</w:t>
      </w:r>
      <w:r>
        <w:rPr>
          <w:rFonts w:hint="eastAsia" w:ascii="仿宋" w:hAnsi="仿宋" w:eastAsia="仿宋" w:cs="仿宋"/>
          <w:sz w:val="32"/>
          <w:szCs w:val="32"/>
        </w:rPr>
        <w:t xml:space="preserve">室人员进行绩效自评工作培训。     </w:t>
      </w:r>
    </w:p>
    <w:p w14:paraId="46A374DE">
      <w:pPr>
        <w:spacing w:line="360" w:lineRule="auto"/>
        <w:ind w:firstLine="66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组织收集、系统整理预算项目绩效完成信息，确认绩效指标实际完成值和实现程度。将预算项目各绩效指标实际完成值（实现程度）与年初设定的预期值相比较，逐项评定每项指标得分，汇总形成预算项目自评最终得分。</w:t>
      </w:r>
    </w:p>
    <w:p w14:paraId="3D1436B4">
      <w:pPr>
        <w:spacing w:line="360" w:lineRule="auto"/>
        <w:ind w:firstLine="660"/>
        <w:rPr>
          <w:rFonts w:hint="eastAsia" w:ascii="仿宋" w:hAnsi="仿宋" w:eastAsia="仿宋" w:cs="仿宋"/>
          <w:b/>
          <w:bCs/>
          <w:sz w:val="32"/>
          <w:szCs w:val="32"/>
          <w:lang w:val="en-US" w:eastAsia="zh-CN"/>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填报《202</w:t>
      </w:r>
      <w:r>
        <w:rPr>
          <w:rFonts w:hint="eastAsia" w:ascii="仿宋" w:hAnsi="仿宋" w:eastAsia="仿宋" w:cs="仿宋"/>
          <w:sz w:val="32"/>
          <w:szCs w:val="32"/>
          <w:lang w:val="en-US" w:eastAsia="zh-CN"/>
        </w:rPr>
        <w:t>5</w:t>
      </w:r>
      <w:r>
        <w:rPr>
          <w:rFonts w:hint="eastAsia" w:ascii="仿宋" w:hAnsi="仿宋" w:eastAsia="仿宋" w:cs="仿宋"/>
          <w:sz w:val="32"/>
          <w:szCs w:val="32"/>
        </w:rPr>
        <w:t>年度预算项目绩效自评表》。按照市财政局要求以及预算项目绩效情况，撰写《项目绩效自评报告》，并在规定时限内上报</w:t>
      </w:r>
      <w:r>
        <w:rPr>
          <w:rFonts w:hint="eastAsia" w:ascii="仿宋" w:hAnsi="仿宋" w:eastAsia="仿宋" w:cs="仿宋"/>
          <w:sz w:val="32"/>
          <w:szCs w:val="32"/>
          <w:lang w:eastAsia="zh-CN"/>
        </w:rPr>
        <w:t>。</w:t>
      </w:r>
    </w:p>
    <w:p w14:paraId="031BE99B">
      <w:pPr>
        <w:spacing w:line="560" w:lineRule="exact"/>
        <w:rPr>
          <w:rFonts w:ascii="黑体" w:hAnsi="黑体" w:eastAsia="黑体"/>
          <w:b/>
          <w:bCs/>
          <w:sz w:val="32"/>
          <w:szCs w:val="32"/>
        </w:rPr>
      </w:pPr>
      <w:r>
        <w:rPr>
          <w:rFonts w:hint="eastAsia" w:ascii="黑体" w:hAnsi="黑体" w:eastAsia="黑体"/>
          <w:sz w:val="32"/>
          <w:szCs w:val="32"/>
        </w:rPr>
        <w:t xml:space="preserve">    三、部门整体支出绩效目标实现情况及指标分析</w:t>
      </w:r>
    </w:p>
    <w:p w14:paraId="67D76839">
      <w:pPr>
        <w:numPr>
          <w:ilvl w:val="0"/>
          <w:numId w:val="4"/>
        </w:numPr>
        <w:spacing w:line="560" w:lineRule="exact"/>
        <w:ind w:firstLine="640" w:firstLineChars="200"/>
        <w:rPr>
          <w:rFonts w:ascii="楷体" w:hAnsi="楷体" w:eastAsia="楷体" w:cs="楷体_GB2312"/>
          <w:bCs/>
          <w:sz w:val="32"/>
          <w:szCs w:val="32"/>
        </w:rPr>
      </w:pPr>
      <w:r>
        <w:rPr>
          <w:rFonts w:hint="eastAsia" w:ascii="楷体" w:hAnsi="楷体" w:eastAsia="楷体" w:cs="楷体_GB2312"/>
          <w:bCs/>
          <w:sz w:val="32"/>
          <w:szCs w:val="32"/>
        </w:rPr>
        <w:t>总体绩效目标实现情况</w:t>
      </w:r>
    </w:p>
    <w:p w14:paraId="417737AC">
      <w:pPr>
        <w:adjustRightInd w:val="0"/>
        <w:snapToGrid w:val="0"/>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我校</w:t>
      </w:r>
      <w:r>
        <w:rPr>
          <w:rFonts w:hint="eastAsia" w:ascii="仿宋" w:hAnsi="仿宋" w:eastAsia="仿宋"/>
          <w:sz w:val="32"/>
          <w:szCs w:val="32"/>
        </w:rPr>
        <w:t>以习近平新时代中国特色社会主义思想为指导，全面贯彻落实《中国共产党党校（行政学院）工作条例》和中央、省委、市委关于加强和改进新形势下党校工作的意见及一系列指示精神，发挥干部教育培训主渠道作用，按照全市干部教育培训重点班次安排计划，以及各分校培训安排，科学组织各类培训班，培训学员</w:t>
      </w:r>
      <w:r>
        <w:rPr>
          <w:rFonts w:hint="eastAsia" w:ascii="仿宋" w:hAnsi="仿宋" w:eastAsia="仿宋"/>
          <w:sz w:val="32"/>
          <w:szCs w:val="32"/>
          <w:lang w:val="en-US" w:eastAsia="zh-CN"/>
        </w:rPr>
        <w:t>9047</w:t>
      </w:r>
      <w:r>
        <w:rPr>
          <w:rFonts w:hint="eastAsia" w:ascii="仿宋" w:hAnsi="仿宋" w:eastAsia="仿宋"/>
          <w:sz w:val="32"/>
          <w:szCs w:val="32"/>
        </w:rPr>
        <w:t>人次</w:t>
      </w:r>
      <w:r>
        <w:rPr>
          <w:rFonts w:hint="eastAsia" w:ascii="仿宋" w:hAnsi="仿宋" w:eastAsia="仿宋"/>
          <w:sz w:val="32"/>
          <w:szCs w:val="32"/>
          <w:lang w:eastAsia="zh-CN"/>
        </w:rPr>
        <w:t>，圆满完成年度培训计划</w:t>
      </w:r>
      <w:r>
        <w:rPr>
          <w:rFonts w:hint="eastAsia" w:ascii="仿宋" w:hAnsi="仿宋" w:eastAsia="仿宋"/>
          <w:sz w:val="32"/>
          <w:szCs w:val="32"/>
        </w:rPr>
        <w:t>；围绕教师政治素质与业务能力提升组织师资培训班；通过严格的行政后勤管理，为学员培训和教学科研活动创造良好的硬件环境和后勤保障；开展重大理论问题和现实问题研究，承担市委、市政府决策咨询服务，</w:t>
      </w:r>
      <w:r>
        <w:rPr>
          <w:rFonts w:hint="eastAsia" w:ascii="仿宋" w:hAnsi="仿宋" w:eastAsia="仿宋"/>
          <w:sz w:val="32"/>
          <w:szCs w:val="32"/>
          <w:lang w:val="en-US" w:eastAsia="zh-CN"/>
        </w:rPr>
        <w:t>教师全年出版学术专著2部，公开发表理论文章207篇，</w:t>
      </w:r>
      <w:r>
        <w:rPr>
          <w:rFonts w:hint="eastAsia" w:ascii="仿宋" w:hAnsi="仿宋" w:eastAsia="仿宋"/>
          <w:sz w:val="32"/>
          <w:szCs w:val="32"/>
        </w:rPr>
        <w:t>全年各类科研项目立项</w:t>
      </w:r>
      <w:r>
        <w:rPr>
          <w:rFonts w:hint="eastAsia" w:ascii="仿宋" w:hAnsi="仿宋" w:eastAsia="仿宋"/>
          <w:sz w:val="32"/>
          <w:szCs w:val="32"/>
          <w:lang w:val="en-US" w:eastAsia="zh-CN"/>
        </w:rPr>
        <w:t>36</w:t>
      </w:r>
      <w:r>
        <w:rPr>
          <w:rFonts w:hint="eastAsia" w:ascii="仿宋" w:hAnsi="仿宋" w:eastAsia="仿宋"/>
          <w:sz w:val="32"/>
          <w:szCs w:val="32"/>
        </w:rPr>
        <w:t>项，</w:t>
      </w:r>
      <w:r>
        <w:rPr>
          <w:rFonts w:hint="eastAsia" w:ascii="仿宋" w:hAnsi="仿宋" w:eastAsia="仿宋"/>
          <w:sz w:val="32"/>
          <w:szCs w:val="32"/>
          <w:lang w:val="en-US" w:eastAsia="zh-CN"/>
        </w:rPr>
        <w:t>校级决策咨询课题立项25项，</w:t>
      </w:r>
      <w:r>
        <w:rPr>
          <w:rFonts w:hint="eastAsia" w:ascii="仿宋" w:hAnsi="仿宋" w:eastAsia="仿宋"/>
          <w:sz w:val="32"/>
          <w:szCs w:val="32"/>
        </w:rPr>
        <w:t>报送决策咨询报告</w:t>
      </w:r>
      <w:r>
        <w:rPr>
          <w:rFonts w:hint="eastAsia" w:ascii="仿宋" w:hAnsi="仿宋" w:eastAsia="仿宋"/>
          <w:sz w:val="32"/>
          <w:szCs w:val="32"/>
          <w:lang w:val="en-US" w:eastAsia="zh-CN"/>
        </w:rPr>
        <w:t>1</w:t>
      </w:r>
      <w:r>
        <w:rPr>
          <w:rFonts w:hint="eastAsia" w:ascii="仿宋" w:hAnsi="仿宋" w:eastAsia="仿宋"/>
          <w:sz w:val="32"/>
          <w:szCs w:val="32"/>
        </w:rPr>
        <w:t>篇；</w:t>
      </w:r>
      <w:r>
        <w:rPr>
          <w:rFonts w:hint="eastAsia" w:ascii="仿宋" w:hAnsi="仿宋" w:eastAsia="仿宋"/>
          <w:sz w:val="32"/>
          <w:szCs w:val="32"/>
          <w:lang w:val="en-US" w:eastAsia="zh-CN"/>
        </w:rPr>
        <w:t>持续</w:t>
      </w:r>
      <w:r>
        <w:rPr>
          <w:rFonts w:hint="eastAsia" w:ascii="仿宋" w:hAnsi="仿宋" w:eastAsia="仿宋"/>
          <w:sz w:val="32"/>
          <w:szCs w:val="32"/>
        </w:rPr>
        <w:t>对全市县（区）党校办学情况进行调研指导。持续提高党校在现代省会、经济强市建设大局中的贡献率，较为良好的完成了全年度总体绩效目标。</w:t>
      </w:r>
    </w:p>
    <w:p w14:paraId="6B4C98D7">
      <w:pPr>
        <w:spacing w:line="560" w:lineRule="exact"/>
        <w:rPr>
          <w:rFonts w:ascii="楷体" w:hAnsi="楷体" w:eastAsia="楷体"/>
          <w:bCs/>
          <w:sz w:val="32"/>
          <w:szCs w:val="32"/>
        </w:rPr>
      </w:pPr>
      <w:r>
        <w:rPr>
          <w:rFonts w:hint="eastAsia" w:ascii="仿宋" w:hAnsi="仿宋" w:eastAsia="仿宋" w:cs="楷体_GB2312"/>
          <w:b/>
          <w:bCs/>
          <w:sz w:val="32"/>
          <w:szCs w:val="32"/>
        </w:rPr>
        <w:t xml:space="preserve">    </w:t>
      </w:r>
      <w:r>
        <w:rPr>
          <w:rFonts w:hint="eastAsia" w:ascii="楷体" w:hAnsi="楷体" w:eastAsia="楷体" w:cs="楷体_GB2312"/>
          <w:bCs/>
          <w:sz w:val="32"/>
          <w:szCs w:val="32"/>
        </w:rPr>
        <w:t>（二）分项绩效目标实现情况及指标分析</w:t>
      </w:r>
    </w:p>
    <w:p w14:paraId="1D1DB019">
      <w:pPr>
        <w:spacing w:line="560" w:lineRule="exact"/>
        <w:ind w:firstLine="800" w:firstLineChars="250"/>
        <w:rPr>
          <w:rFonts w:hint="eastAsia" w:ascii="仿宋" w:hAnsi="仿宋" w:eastAsia="仿宋"/>
          <w:sz w:val="32"/>
          <w:szCs w:val="32"/>
        </w:rPr>
      </w:pPr>
      <w:r>
        <w:rPr>
          <w:rFonts w:hint="eastAsia" w:ascii="仿宋" w:hAnsi="仿宋" w:eastAsia="仿宋"/>
          <w:sz w:val="32"/>
          <w:szCs w:val="32"/>
          <w:lang w:val="en-US" w:eastAsia="zh-CN"/>
        </w:rPr>
        <w:t>1.</w:t>
      </w:r>
      <w:r>
        <w:rPr>
          <w:rFonts w:hint="eastAsia" w:ascii="仿宋" w:hAnsi="仿宋" w:eastAsia="仿宋"/>
          <w:sz w:val="32"/>
          <w:szCs w:val="32"/>
        </w:rPr>
        <w:t>培训教育：全年共举办各类培训班次99期，培训学员</w:t>
      </w:r>
      <w:r>
        <w:rPr>
          <w:rFonts w:hint="eastAsia" w:ascii="仿宋" w:hAnsi="仿宋" w:eastAsia="仿宋"/>
          <w:sz w:val="32"/>
          <w:szCs w:val="32"/>
          <w:lang w:val="en-US" w:eastAsia="zh-CN"/>
        </w:rPr>
        <w:t>9047</w:t>
      </w:r>
      <w:r>
        <w:rPr>
          <w:rFonts w:hint="eastAsia" w:ascii="仿宋" w:hAnsi="仿宋" w:eastAsia="仿宋"/>
          <w:sz w:val="32"/>
          <w:szCs w:val="32"/>
        </w:rPr>
        <w:t>人次，培训工作完成率100%；学员报到率平均达到95%以上，超出90%的预期目标；学员受训人均成本控制在</w:t>
      </w:r>
      <w:r>
        <w:rPr>
          <w:rFonts w:hint="eastAsia" w:ascii="仿宋" w:hAnsi="仿宋" w:eastAsia="仿宋"/>
          <w:sz w:val="32"/>
          <w:szCs w:val="32"/>
          <w:lang w:val="en-US" w:eastAsia="zh-CN"/>
        </w:rPr>
        <w:t>300元/人/天</w:t>
      </w:r>
      <w:r>
        <w:rPr>
          <w:rFonts w:hint="eastAsia" w:ascii="仿宋" w:hAnsi="仿宋" w:eastAsia="仿宋"/>
          <w:sz w:val="32"/>
          <w:szCs w:val="32"/>
        </w:rPr>
        <w:t>合理范围。教学质量平均评优率达到</w:t>
      </w:r>
      <w:r>
        <w:rPr>
          <w:rFonts w:hint="eastAsia" w:ascii="仿宋" w:hAnsi="仿宋" w:eastAsia="仿宋"/>
          <w:sz w:val="32"/>
          <w:szCs w:val="32"/>
          <w:lang w:val="en-US" w:eastAsia="zh-CN"/>
        </w:rPr>
        <w:t>100</w:t>
      </w:r>
      <w:r>
        <w:rPr>
          <w:rFonts w:hint="eastAsia" w:ascii="仿宋" w:hAnsi="仿宋" w:eastAsia="仿宋"/>
          <w:sz w:val="32"/>
          <w:szCs w:val="32"/>
        </w:rPr>
        <w:t>%以上，受益单位覆盖全市各县（区）及85%以上市直部门，学员满意度达到</w:t>
      </w:r>
      <w:r>
        <w:rPr>
          <w:rFonts w:hint="eastAsia" w:ascii="仿宋" w:hAnsi="仿宋" w:eastAsia="仿宋"/>
          <w:sz w:val="32"/>
          <w:szCs w:val="32"/>
          <w:lang w:val="en-US" w:eastAsia="zh-CN"/>
        </w:rPr>
        <w:t>100</w:t>
      </w:r>
      <w:r>
        <w:rPr>
          <w:rFonts w:hint="eastAsia" w:ascii="仿宋" w:hAnsi="仿宋" w:eastAsia="仿宋"/>
          <w:sz w:val="32"/>
          <w:szCs w:val="32"/>
        </w:rPr>
        <w:t>%以上，各项指标均超额完成，培训成效显著</w:t>
      </w:r>
      <w:r>
        <w:rPr>
          <w:rFonts w:hint="eastAsia" w:ascii="仿宋" w:hAnsi="仿宋" w:eastAsia="仿宋"/>
          <w:sz w:val="32"/>
          <w:szCs w:val="32"/>
          <w:lang w:eastAsia="zh-CN"/>
        </w:rPr>
        <w:t>，</w:t>
      </w:r>
      <w:r>
        <w:rPr>
          <w:rFonts w:hint="eastAsia" w:ascii="仿宋" w:hAnsi="仿宋" w:eastAsia="仿宋"/>
          <w:sz w:val="32"/>
          <w:szCs w:val="32"/>
        </w:rPr>
        <w:t>有效提升了各级干部的政治素养与履职能力。</w:t>
      </w:r>
    </w:p>
    <w:p w14:paraId="3D99C33D">
      <w:pPr>
        <w:spacing w:line="560" w:lineRule="exact"/>
        <w:ind w:firstLine="800" w:firstLineChars="250"/>
        <w:rPr>
          <w:rFonts w:hint="eastAsia" w:ascii="仿宋" w:hAnsi="仿宋" w:eastAsia="仿宋"/>
          <w:sz w:val="32"/>
          <w:szCs w:val="32"/>
        </w:rPr>
      </w:pPr>
      <w:r>
        <w:rPr>
          <w:rFonts w:hint="eastAsia" w:ascii="仿宋" w:hAnsi="仿宋" w:eastAsia="仿宋"/>
          <w:sz w:val="32"/>
          <w:szCs w:val="32"/>
          <w:lang w:val="en-US" w:eastAsia="zh-CN"/>
        </w:rPr>
        <w:t>2.</w:t>
      </w:r>
      <w:r>
        <w:rPr>
          <w:rFonts w:hint="eastAsia" w:ascii="仿宋" w:hAnsi="仿宋" w:eastAsia="仿宋"/>
          <w:sz w:val="32"/>
          <w:szCs w:val="32"/>
        </w:rPr>
        <w:t>理论研究：全年组织申报各类科研项目</w:t>
      </w:r>
      <w:r>
        <w:rPr>
          <w:rFonts w:hint="eastAsia" w:ascii="仿宋" w:hAnsi="仿宋" w:eastAsia="仿宋"/>
          <w:sz w:val="32"/>
          <w:szCs w:val="32"/>
          <w:lang w:val="en-US" w:eastAsia="zh-CN"/>
        </w:rPr>
        <w:t>83</w:t>
      </w:r>
      <w:r>
        <w:rPr>
          <w:rFonts w:hint="eastAsia" w:ascii="仿宋" w:hAnsi="仿宋" w:eastAsia="仿宋"/>
          <w:sz w:val="32"/>
          <w:szCs w:val="32"/>
        </w:rPr>
        <w:t>项，成功立项省级11项、市级25项，超出既定目标；出版学术专著2部，公开发表理论文章207篇，其中《河北日报》《石家庄日报》等主流媒体刊发103篇，核心期刊1篇，各项指标均完成预期目标，思想引领和理论建设作用得到充分发挥。同时，围绕落实中央八项规定精神、弘扬伟大抗战精神等主题录制《理论微访谈》1</w:t>
      </w:r>
      <w:r>
        <w:rPr>
          <w:rFonts w:hint="eastAsia" w:ascii="仿宋" w:hAnsi="仿宋" w:eastAsia="仿宋"/>
          <w:sz w:val="32"/>
          <w:szCs w:val="32"/>
          <w:lang w:val="en-US" w:eastAsia="zh-CN"/>
        </w:rPr>
        <w:t>1</w:t>
      </w:r>
      <w:r>
        <w:rPr>
          <w:rFonts w:hint="eastAsia" w:ascii="仿宋" w:hAnsi="仿宋" w:eastAsia="仿宋"/>
          <w:sz w:val="32"/>
          <w:szCs w:val="32"/>
        </w:rPr>
        <w:t>期，扩大学术影响力。</w:t>
      </w:r>
    </w:p>
    <w:p w14:paraId="672F59FD">
      <w:pPr>
        <w:spacing w:line="560" w:lineRule="exact"/>
        <w:ind w:firstLine="800" w:firstLineChars="250"/>
        <w:rPr>
          <w:rFonts w:hint="eastAsia" w:ascii="仿宋" w:hAnsi="仿宋" w:eastAsia="仿宋"/>
          <w:sz w:val="32"/>
          <w:szCs w:val="32"/>
        </w:rPr>
      </w:pPr>
      <w:r>
        <w:rPr>
          <w:rFonts w:hint="eastAsia" w:ascii="仿宋" w:hAnsi="仿宋" w:eastAsia="仿宋"/>
          <w:sz w:val="32"/>
          <w:szCs w:val="32"/>
          <w:lang w:val="en-US" w:eastAsia="zh-CN"/>
        </w:rPr>
        <w:t>3.</w:t>
      </w:r>
      <w:r>
        <w:rPr>
          <w:rFonts w:hint="eastAsia" w:ascii="仿宋" w:hAnsi="仿宋" w:eastAsia="仿宋"/>
          <w:sz w:val="32"/>
          <w:szCs w:val="32"/>
        </w:rPr>
        <w:t>决策咨询：全年立项校级决策咨询课题25项，围绕“石家庄都市圈协同发展”举办系列研讨，形成成果25篇，其中《关于优先制定《石家庄都市圈协同发展促进条例的思考与建议》获市人大常委会主要领导肯定性批示，决策转化取得实质性进展，切实发挥了决策咨询和智库作用。</w:t>
      </w:r>
    </w:p>
    <w:p w14:paraId="461169E5">
      <w:pPr>
        <w:spacing w:line="560" w:lineRule="exact"/>
        <w:ind w:firstLine="800" w:firstLineChars="250"/>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开展业务指导：组织举办全市党校系统师资培训2期，围绕基本培训与教学能力提升开展专题辅导与精品课展示，37门课程获评示范、精品、优秀等级；对县（区）党校办学情况开展调研2次，提出指导性意见，推动市委党校、西柏坡管理局工委党校和河北正定干部学院分院在课程设置、师资培训等方面协同发展。</w:t>
      </w:r>
    </w:p>
    <w:p w14:paraId="2961D5D0">
      <w:pPr>
        <w:spacing w:line="560" w:lineRule="exact"/>
        <w:ind w:firstLine="800" w:firstLineChars="250"/>
        <w:rPr>
          <w:rFonts w:hint="eastAsia" w:ascii="仿宋" w:hAnsi="仿宋" w:eastAsia="仿宋"/>
          <w:sz w:val="32"/>
          <w:szCs w:val="32"/>
        </w:rPr>
      </w:pPr>
      <w:r>
        <w:rPr>
          <w:rFonts w:hint="eastAsia" w:ascii="仿宋" w:hAnsi="仿宋" w:eastAsia="仿宋"/>
          <w:sz w:val="32"/>
          <w:szCs w:val="32"/>
          <w:lang w:val="en-US" w:eastAsia="zh-CN"/>
        </w:rPr>
        <w:t>5.</w:t>
      </w:r>
      <w:r>
        <w:rPr>
          <w:rFonts w:hint="eastAsia" w:ascii="仿宋" w:hAnsi="仿宋" w:eastAsia="仿宋"/>
          <w:sz w:val="32"/>
          <w:szCs w:val="32"/>
        </w:rPr>
        <w:t>师资培训：教师专题培训比率稳定在10%以上，全年选派23名教师赴中央及省委党校进修，组织300余人次教师参与国家级线上培训与“好课共享”，培训出勤率达到</w:t>
      </w:r>
      <w:r>
        <w:rPr>
          <w:rFonts w:hint="eastAsia" w:ascii="仿宋" w:hAnsi="仿宋" w:eastAsia="仿宋"/>
          <w:sz w:val="32"/>
          <w:szCs w:val="32"/>
          <w:lang w:val="en-US" w:eastAsia="zh-CN"/>
        </w:rPr>
        <w:t>100</w:t>
      </w:r>
      <w:r>
        <w:rPr>
          <w:rFonts w:hint="eastAsia" w:ascii="仿宋" w:hAnsi="仿宋" w:eastAsia="仿宋"/>
          <w:sz w:val="32"/>
          <w:szCs w:val="32"/>
        </w:rPr>
        <w:t>%以上，参训人员满意度达到</w:t>
      </w:r>
      <w:r>
        <w:rPr>
          <w:rFonts w:hint="eastAsia" w:ascii="仿宋" w:hAnsi="仿宋" w:eastAsia="仿宋"/>
          <w:sz w:val="32"/>
          <w:szCs w:val="32"/>
          <w:lang w:val="en-US" w:eastAsia="zh-CN"/>
        </w:rPr>
        <w:t>100</w:t>
      </w:r>
      <w:r>
        <w:rPr>
          <w:rFonts w:hint="eastAsia" w:ascii="仿宋" w:hAnsi="仿宋" w:eastAsia="仿宋"/>
          <w:sz w:val="32"/>
          <w:szCs w:val="32"/>
        </w:rPr>
        <w:t>%以上，培训涵盖党校（行政学院）马克思主义理论、党史党建、经济学、管理学、政治法律等各专业领域教师。</w:t>
      </w:r>
    </w:p>
    <w:p w14:paraId="3AFFBD26">
      <w:pPr>
        <w:spacing w:line="560" w:lineRule="exact"/>
        <w:ind w:firstLine="800" w:firstLineChars="25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教学事务管理：后勤保障事务完成率98%以上，设备维护按计划完成率99%以上，用餐满意度、住宿满意度均达到90%以上；全年保障各类培训</w:t>
      </w:r>
      <w:r>
        <w:rPr>
          <w:rFonts w:hint="eastAsia" w:ascii="仿宋" w:hAnsi="仿宋" w:eastAsia="仿宋"/>
          <w:sz w:val="32"/>
          <w:szCs w:val="32"/>
          <w:lang w:val="en-US" w:eastAsia="zh-CN"/>
        </w:rPr>
        <w:t>和</w:t>
      </w:r>
      <w:r>
        <w:rPr>
          <w:rFonts w:hint="eastAsia" w:ascii="仿宋" w:hAnsi="仿宋" w:eastAsia="仿宋"/>
          <w:sz w:val="32"/>
          <w:szCs w:val="32"/>
        </w:rPr>
        <w:t>会议，实现“零事故、零投诉”；开展校园安全隐患排查，有效保障了各项工作的平稳有序开展，圆满完成绩效目标。</w:t>
      </w:r>
    </w:p>
    <w:p w14:paraId="179C6653">
      <w:pPr>
        <w:spacing w:line="560" w:lineRule="exact"/>
        <w:ind w:firstLine="640" w:firstLineChars="200"/>
        <w:rPr>
          <w:rFonts w:ascii="黑体" w:hAnsi="黑体" w:eastAsia="黑体"/>
          <w:sz w:val="32"/>
          <w:szCs w:val="32"/>
        </w:rPr>
      </w:pPr>
      <w:r>
        <w:rPr>
          <w:rFonts w:hint="eastAsia" w:ascii="黑体" w:hAnsi="黑体" w:eastAsia="黑体"/>
          <w:sz w:val="32"/>
          <w:szCs w:val="32"/>
        </w:rPr>
        <w:t>四、评价结论和评价等级</w:t>
      </w:r>
    </w:p>
    <w:p w14:paraId="2CDE28FB">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结合我单位各科室承担职责和履职情况，汇总自评得分情况，我单位2025年度整体支出绩效评价为优秀。</w:t>
      </w:r>
    </w:p>
    <w:p w14:paraId="55A41225">
      <w:pPr>
        <w:spacing w:line="560" w:lineRule="exact"/>
        <w:ind w:firstLine="640" w:firstLineChars="200"/>
        <w:rPr>
          <w:rFonts w:ascii="黑体" w:hAnsi="黑体" w:eastAsia="黑体"/>
          <w:sz w:val="32"/>
          <w:szCs w:val="32"/>
        </w:rPr>
      </w:pPr>
      <w:r>
        <w:rPr>
          <w:rFonts w:hint="eastAsia" w:ascii="黑体" w:hAnsi="黑体" w:eastAsia="黑体"/>
          <w:sz w:val="32"/>
          <w:szCs w:val="32"/>
        </w:rPr>
        <w:t>五、存在的问题及改进措施</w:t>
      </w:r>
    </w:p>
    <w:p w14:paraId="5972F63C">
      <w:pPr>
        <w:spacing w:line="560" w:lineRule="exact"/>
        <w:ind w:firstLine="640" w:firstLineChars="200"/>
        <w:rPr>
          <w:rFonts w:hint="eastAsia" w:ascii="楷体" w:hAnsi="楷体" w:eastAsia="楷体"/>
          <w:bCs/>
          <w:sz w:val="32"/>
          <w:szCs w:val="32"/>
        </w:rPr>
      </w:pPr>
      <w:r>
        <w:rPr>
          <w:rFonts w:hint="eastAsia" w:ascii="楷体" w:hAnsi="楷体" w:eastAsia="楷体"/>
          <w:bCs/>
          <w:sz w:val="32"/>
          <w:szCs w:val="32"/>
        </w:rPr>
        <w:t>（一）存在的主要问题</w:t>
      </w:r>
    </w:p>
    <w:p w14:paraId="2DACA24B">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1.个别项目预算执行进度不均衡，部分项目如教职工进修培训经费、教职工社会调研经费因工作任务紧张、安排不够及时，支出进度较慢，未全部按预算执行完毕。</w:t>
      </w:r>
    </w:p>
    <w:p w14:paraId="47018FED">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2.个别绩效指标设定仍需进一步精准细化，部分指标侧重于数量完成情况，对质量和效益的量化评价不够细致。</w:t>
      </w:r>
    </w:p>
    <w:p w14:paraId="6E7FD1B1">
      <w:pPr>
        <w:spacing w:line="560" w:lineRule="exact"/>
        <w:ind w:firstLine="640" w:firstLineChars="200"/>
        <w:rPr>
          <w:rFonts w:hint="eastAsia" w:ascii="仿宋" w:hAnsi="仿宋" w:eastAsia="仿宋"/>
          <w:sz w:val="32"/>
          <w:szCs w:val="32"/>
          <w:lang w:val="en-US" w:eastAsia="zh-CN"/>
        </w:rPr>
      </w:pPr>
      <w:r>
        <w:rPr>
          <w:rFonts w:hint="eastAsia" w:ascii="仿宋" w:hAnsi="仿宋" w:eastAsia="仿宋"/>
          <w:sz w:val="32"/>
          <w:szCs w:val="32"/>
          <w:lang w:val="en-US" w:eastAsia="zh-CN"/>
        </w:rPr>
        <w:t>3.科研成果转化效率有待提升，部分科研课题研究成果未能及时充分转化为教学课程和决策咨询建议，成果利用率需进一步提高。</w:t>
      </w:r>
    </w:p>
    <w:p w14:paraId="2E4FD2EB">
      <w:pPr>
        <w:spacing w:line="560" w:lineRule="exact"/>
        <w:ind w:firstLine="640" w:firstLineChars="200"/>
        <w:rPr>
          <w:rFonts w:ascii="楷体" w:hAnsi="楷体" w:eastAsia="楷体"/>
          <w:bCs/>
          <w:sz w:val="32"/>
          <w:szCs w:val="32"/>
        </w:rPr>
      </w:pPr>
      <w:r>
        <w:rPr>
          <w:rFonts w:hint="eastAsia" w:ascii="楷体" w:hAnsi="楷体" w:eastAsia="楷体"/>
          <w:bCs/>
          <w:sz w:val="32"/>
          <w:szCs w:val="32"/>
        </w:rPr>
        <w:t>（二）针对问题提出具体的改进措施或建议</w:t>
      </w:r>
    </w:p>
    <w:p w14:paraId="36C979EA">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rPr>
      </w:pPr>
      <w:r>
        <w:rPr>
          <w:rFonts w:hint="eastAsia" w:ascii="仿宋" w:hAnsi="仿宋" w:eastAsia="仿宋" w:cs="仿宋"/>
          <w:bCs/>
          <w:sz w:val="32"/>
          <w:szCs w:val="32"/>
          <w:lang w:val="en-US" w:eastAsia="zh-CN"/>
        </w:rPr>
        <w:t xml:space="preserve"> </w:t>
      </w:r>
      <w:r>
        <w:rPr>
          <w:rFonts w:hint="eastAsia" w:ascii="仿宋" w:hAnsi="仿宋" w:eastAsia="仿宋" w:cs="仿宋"/>
          <w:sz w:val="32"/>
          <w:szCs w:val="32"/>
          <w:lang w:val="en-US" w:eastAsia="zh-CN"/>
        </w:rPr>
        <w:t>1.</w:t>
      </w:r>
      <w:r>
        <w:rPr>
          <w:rFonts w:hint="eastAsia" w:ascii="仿宋" w:hAnsi="仿宋" w:eastAsia="仿宋" w:cs="仿宋"/>
          <w:bCs/>
          <w:sz w:val="32"/>
          <w:szCs w:val="32"/>
        </w:rPr>
        <w:t>提高预算项目支出进度均衡性。</w:t>
      </w:r>
      <w:r>
        <w:rPr>
          <w:rFonts w:hint="eastAsia" w:ascii="仿宋" w:hAnsi="仿宋" w:eastAsia="仿宋" w:cs="仿宋"/>
          <w:bCs/>
          <w:sz w:val="32"/>
          <w:szCs w:val="32"/>
          <w:lang w:val="en-US" w:eastAsia="zh-CN"/>
        </w:rPr>
        <w:t>根据</w:t>
      </w:r>
      <w:r>
        <w:rPr>
          <w:rFonts w:hint="eastAsia" w:ascii="仿宋" w:hAnsi="仿宋" w:eastAsia="仿宋" w:cs="仿宋"/>
          <w:sz w:val="32"/>
          <w:szCs w:val="32"/>
        </w:rPr>
        <w:t>年初市财政局批复预算，及时分解</w:t>
      </w:r>
      <w:r>
        <w:rPr>
          <w:rFonts w:hint="eastAsia" w:ascii="仿宋" w:hAnsi="仿宋" w:eastAsia="仿宋" w:cs="仿宋"/>
          <w:sz w:val="32"/>
          <w:szCs w:val="32"/>
          <w:lang w:val="en-US" w:eastAsia="zh-CN"/>
        </w:rPr>
        <w:t>支出任务</w:t>
      </w:r>
      <w:r>
        <w:rPr>
          <w:rFonts w:hint="eastAsia" w:ascii="仿宋" w:hAnsi="仿宋" w:eastAsia="仿宋" w:cs="仿宋"/>
          <w:sz w:val="32"/>
          <w:szCs w:val="32"/>
        </w:rPr>
        <w:t>下达到各项目承办</w:t>
      </w:r>
      <w:r>
        <w:rPr>
          <w:rFonts w:hint="eastAsia" w:ascii="仿宋" w:hAnsi="仿宋" w:eastAsia="仿宋" w:cs="仿宋"/>
          <w:sz w:val="32"/>
          <w:szCs w:val="32"/>
          <w:lang w:val="en-US" w:eastAsia="zh-CN"/>
        </w:rPr>
        <w:t>科</w:t>
      </w:r>
      <w:r>
        <w:rPr>
          <w:rFonts w:hint="eastAsia" w:ascii="仿宋" w:hAnsi="仿宋" w:eastAsia="仿宋" w:cs="仿宋"/>
          <w:sz w:val="32"/>
          <w:szCs w:val="32"/>
        </w:rPr>
        <w:t>室</w:t>
      </w:r>
      <w:r>
        <w:rPr>
          <w:rFonts w:hint="eastAsia" w:ascii="仿宋" w:hAnsi="仿宋" w:eastAsia="仿宋" w:cs="仿宋"/>
          <w:sz w:val="32"/>
          <w:szCs w:val="32"/>
          <w:lang w:eastAsia="zh-CN"/>
        </w:rPr>
        <w:t>。</w:t>
      </w:r>
      <w:r>
        <w:rPr>
          <w:rFonts w:hint="eastAsia" w:ascii="仿宋" w:hAnsi="仿宋" w:eastAsia="仿宋" w:cs="仿宋"/>
          <w:sz w:val="32"/>
          <w:szCs w:val="32"/>
        </w:rPr>
        <w:t>各</w:t>
      </w:r>
      <w:r>
        <w:rPr>
          <w:rFonts w:hint="eastAsia" w:ascii="仿宋" w:hAnsi="仿宋" w:eastAsia="仿宋" w:cs="仿宋"/>
          <w:sz w:val="32"/>
          <w:szCs w:val="32"/>
          <w:lang w:eastAsia="zh-CN"/>
        </w:rPr>
        <w:t>科</w:t>
      </w:r>
      <w:r>
        <w:rPr>
          <w:rFonts w:hint="eastAsia" w:ascii="仿宋" w:hAnsi="仿宋" w:eastAsia="仿宋" w:cs="仿宋"/>
          <w:sz w:val="32"/>
          <w:szCs w:val="32"/>
        </w:rPr>
        <w:t>室对承办的专项项目支出进度承担主体责任，并实行承诺制，确保项目支出进度符合时间节点要求。财务</w:t>
      </w:r>
      <w:r>
        <w:rPr>
          <w:rFonts w:hint="eastAsia" w:ascii="仿宋" w:hAnsi="仿宋" w:eastAsia="仿宋" w:cs="仿宋"/>
          <w:sz w:val="32"/>
          <w:szCs w:val="32"/>
          <w:lang w:val="en-US" w:eastAsia="zh-CN"/>
        </w:rPr>
        <w:t>科</w:t>
      </w:r>
      <w:r>
        <w:rPr>
          <w:rFonts w:hint="eastAsia" w:ascii="仿宋" w:hAnsi="仿宋" w:eastAsia="仿宋" w:cs="仿宋"/>
          <w:sz w:val="32"/>
          <w:szCs w:val="32"/>
        </w:rPr>
        <w:t>每月统计预算项目支出情况，对支出进度不符合要求的相关</w:t>
      </w:r>
      <w:r>
        <w:rPr>
          <w:rFonts w:hint="eastAsia" w:ascii="仿宋" w:hAnsi="仿宋" w:eastAsia="仿宋" w:cs="仿宋"/>
          <w:sz w:val="32"/>
          <w:szCs w:val="32"/>
          <w:lang w:val="en-US" w:eastAsia="zh-CN"/>
        </w:rPr>
        <w:t>科</w:t>
      </w:r>
      <w:r>
        <w:rPr>
          <w:rFonts w:hint="eastAsia" w:ascii="仿宋" w:hAnsi="仿宋" w:eastAsia="仿宋" w:cs="仿宋"/>
          <w:sz w:val="32"/>
          <w:szCs w:val="32"/>
        </w:rPr>
        <w:t>室，督促其采取有效措施加快预算执行进度。另外，加强年初预算项目论证、审查，要求各</w:t>
      </w:r>
      <w:r>
        <w:rPr>
          <w:rFonts w:hint="eastAsia" w:ascii="仿宋" w:hAnsi="仿宋" w:eastAsia="仿宋" w:cs="仿宋"/>
          <w:sz w:val="32"/>
          <w:szCs w:val="32"/>
          <w:lang w:val="en-US" w:eastAsia="zh-CN"/>
        </w:rPr>
        <w:t>科</w:t>
      </w:r>
      <w:r>
        <w:rPr>
          <w:rFonts w:hint="eastAsia" w:ascii="仿宋" w:hAnsi="仿宋" w:eastAsia="仿宋" w:cs="仿宋"/>
          <w:sz w:val="32"/>
          <w:szCs w:val="32"/>
        </w:rPr>
        <w:t>室对需列入预算的项目做到早谋划</w:t>
      </w:r>
      <w:r>
        <w:rPr>
          <w:rFonts w:hint="eastAsia" w:ascii="仿宋" w:hAnsi="仿宋" w:eastAsia="仿宋" w:cs="仿宋"/>
          <w:sz w:val="32"/>
          <w:szCs w:val="32"/>
          <w:lang w:val="en-US" w:eastAsia="zh-CN"/>
        </w:rPr>
        <w:t>早制定</w:t>
      </w:r>
      <w:r>
        <w:rPr>
          <w:rFonts w:hint="eastAsia" w:ascii="仿宋" w:hAnsi="仿宋" w:eastAsia="仿宋" w:cs="仿宋"/>
          <w:sz w:val="32"/>
          <w:szCs w:val="32"/>
        </w:rPr>
        <w:t>，对于实施条件成熟的项目将优先安排，确保预算下达后，可以尽快实施。</w:t>
      </w:r>
    </w:p>
    <w:p w14:paraId="220CD716">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bCs/>
          <w:sz w:val="32"/>
          <w:szCs w:val="32"/>
          <w:lang w:val="en-US" w:eastAsia="zh-CN"/>
        </w:rPr>
        <w:t>2.</w:t>
      </w:r>
      <w:r>
        <w:rPr>
          <w:rFonts w:hint="eastAsia" w:ascii="仿宋" w:hAnsi="仿宋" w:eastAsia="仿宋" w:cs="仿宋"/>
          <w:bCs/>
          <w:sz w:val="32"/>
          <w:szCs w:val="32"/>
        </w:rPr>
        <w:t>强化项目绩效目标管理。</w:t>
      </w:r>
      <w:r>
        <w:rPr>
          <w:rFonts w:hint="eastAsia" w:ascii="仿宋" w:hAnsi="仿宋" w:eastAsia="仿宋" w:cs="仿宋"/>
          <w:sz w:val="32"/>
          <w:szCs w:val="32"/>
        </w:rPr>
        <w:t>各</w:t>
      </w:r>
      <w:r>
        <w:rPr>
          <w:rFonts w:hint="eastAsia" w:ascii="仿宋" w:hAnsi="仿宋" w:eastAsia="仿宋" w:cs="仿宋"/>
          <w:sz w:val="32"/>
          <w:szCs w:val="32"/>
          <w:lang w:val="en-US" w:eastAsia="zh-CN"/>
        </w:rPr>
        <w:t>科</w:t>
      </w:r>
      <w:r>
        <w:rPr>
          <w:rFonts w:hint="eastAsia" w:ascii="仿宋" w:hAnsi="仿宋" w:eastAsia="仿宋" w:cs="仿宋"/>
          <w:sz w:val="32"/>
          <w:szCs w:val="32"/>
        </w:rPr>
        <w:t>室在编制预算时，要求其根据学校发展规划、年度工作计划等，科学合理测算资金需求，全面</w:t>
      </w:r>
      <w:r>
        <w:rPr>
          <w:rFonts w:hint="eastAsia" w:ascii="仿宋" w:hAnsi="仿宋" w:eastAsia="仿宋" w:cs="仿宋"/>
          <w:sz w:val="32"/>
          <w:szCs w:val="32"/>
          <w:lang w:val="en-US" w:eastAsia="zh-CN"/>
        </w:rPr>
        <w:t>合理、细化</w:t>
      </w:r>
      <w:r>
        <w:rPr>
          <w:rFonts w:hint="eastAsia" w:ascii="仿宋" w:hAnsi="仿宋" w:eastAsia="仿宋" w:cs="仿宋"/>
          <w:sz w:val="32"/>
          <w:szCs w:val="32"/>
        </w:rPr>
        <w:t>设置项目绩效目标和指标。财务</w:t>
      </w:r>
      <w:r>
        <w:rPr>
          <w:rFonts w:hint="eastAsia" w:ascii="仿宋" w:hAnsi="仿宋" w:eastAsia="仿宋" w:cs="仿宋"/>
          <w:sz w:val="32"/>
          <w:szCs w:val="32"/>
          <w:lang w:val="en-US" w:eastAsia="zh-CN"/>
        </w:rPr>
        <w:t>科</w:t>
      </w:r>
      <w:r>
        <w:rPr>
          <w:rFonts w:hint="eastAsia" w:ascii="仿宋" w:hAnsi="仿宋" w:eastAsia="仿宋" w:cs="仿宋"/>
          <w:sz w:val="32"/>
          <w:szCs w:val="32"/>
        </w:rPr>
        <w:t>将绩效目标指标设置情况作为预算安排的前提条件，加强绩效目标审核，对绩效目标不完善或编制质量不高的，不安排预算。</w:t>
      </w:r>
    </w:p>
    <w:p w14:paraId="30D31563">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健全科研成果转化机制，提升成果利用率。建立科研课题研究成果与教学课程、决策咨询对接机制，督促课题负责人及时将研究成果转化为教学专题、案例素材，纳入课程体系；加强与市委、市政府相关部门的沟通对接，及时推送高质量科研成果，推动成果转化为决策参考。</w:t>
      </w:r>
    </w:p>
    <w:p w14:paraId="4FB3824D">
      <w:pPr>
        <w:keepNext w:val="0"/>
        <w:keepLines w:val="0"/>
        <w:pageBreakBefore w:val="0"/>
        <w:widowControl/>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4.加强部门协同配合，提升工作效能。针对跨科室协同推进的工作，建立健全协同工作机制，明确各科室职责分工，加强沟通协调，避免工作脱节，确保各项工作高效推进。</w:t>
      </w:r>
    </w:p>
    <w:p w14:paraId="418036B0">
      <w:pPr>
        <w:adjustRightInd w:val="0"/>
        <w:snapToGrid w:val="0"/>
        <w:spacing w:line="560" w:lineRule="exact"/>
        <w:ind w:firstLine="640" w:firstLineChars="200"/>
        <w:rPr>
          <w:rFonts w:hint="eastAsia" w:ascii="黑体" w:hAnsi="黑体" w:eastAsia="黑体"/>
          <w:sz w:val="32"/>
          <w:szCs w:val="32"/>
        </w:rPr>
      </w:pPr>
      <w:r>
        <w:rPr>
          <w:rFonts w:hint="eastAsia" w:ascii="黑体" w:hAnsi="黑体" w:eastAsia="黑体"/>
          <w:sz w:val="32"/>
          <w:szCs w:val="32"/>
        </w:rPr>
        <w:t>六、评价工作组人员名单及签字（姓名、工作单位、职务、职</w:t>
      </w:r>
      <w:r>
        <w:rPr>
          <w:rFonts w:hint="eastAsia" w:ascii="黑体" w:hAnsi="黑体" w:eastAsia="黑体"/>
          <w:sz w:val="32"/>
          <w:szCs w:val="32"/>
          <w:lang w:val="en-US" w:eastAsia="zh-CN"/>
        </w:rPr>
        <w:t>级</w:t>
      </w:r>
      <w:r>
        <w:rPr>
          <w:rFonts w:hint="eastAsia" w:ascii="黑体" w:hAnsi="黑体" w:eastAsia="黑体"/>
          <w:sz w:val="32"/>
          <w:szCs w:val="32"/>
        </w:rPr>
        <w:t>）</w:t>
      </w:r>
    </w:p>
    <w:tbl>
      <w:tblPr>
        <w:tblStyle w:val="5"/>
        <w:tblW w:w="86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0"/>
        <w:gridCol w:w="2505"/>
        <w:gridCol w:w="3576"/>
        <w:gridCol w:w="1635"/>
      </w:tblGrid>
      <w:tr w14:paraId="2B06E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70EA3">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姓名</w:t>
            </w:r>
          </w:p>
        </w:tc>
        <w:tc>
          <w:tcPr>
            <w:tcW w:w="25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A2CE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工作单位</w:t>
            </w:r>
          </w:p>
        </w:tc>
        <w:tc>
          <w:tcPr>
            <w:tcW w:w="35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AFAD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职务</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B1EFC">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签字</w:t>
            </w:r>
          </w:p>
        </w:tc>
      </w:tr>
      <w:tr w14:paraId="6CF87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D856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吴概球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22F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0FD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常务副校（院）长、校（院）委主任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6075B">
            <w:pPr>
              <w:jc w:val="center"/>
              <w:rPr>
                <w:rFonts w:hint="eastAsia" w:ascii="仿宋" w:hAnsi="仿宋" w:eastAsia="仿宋" w:cs="仿宋"/>
                <w:i w:val="0"/>
                <w:iCs w:val="0"/>
                <w:color w:val="000000"/>
                <w:sz w:val="21"/>
                <w:szCs w:val="21"/>
                <w:u w:val="none"/>
              </w:rPr>
            </w:pPr>
          </w:p>
        </w:tc>
      </w:tr>
      <w:tr w14:paraId="48301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6877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姚化昌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523FF">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81B4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副校（院）长、校（院）委委员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A2E6">
            <w:pPr>
              <w:jc w:val="center"/>
              <w:rPr>
                <w:rFonts w:hint="eastAsia" w:ascii="仿宋" w:hAnsi="仿宋" w:eastAsia="仿宋" w:cs="仿宋"/>
                <w:i w:val="0"/>
                <w:iCs w:val="0"/>
                <w:color w:val="000000"/>
                <w:sz w:val="21"/>
                <w:szCs w:val="21"/>
                <w:u w:val="none"/>
              </w:rPr>
            </w:pPr>
          </w:p>
        </w:tc>
      </w:tr>
      <w:tr w14:paraId="4B9DC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F6E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范立强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BAD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EBFB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副校（院）长、校（院）委委员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34EC">
            <w:pPr>
              <w:jc w:val="center"/>
              <w:rPr>
                <w:rFonts w:hint="eastAsia" w:ascii="仿宋" w:hAnsi="仿宋" w:eastAsia="仿宋" w:cs="仿宋"/>
                <w:i w:val="0"/>
                <w:iCs w:val="0"/>
                <w:color w:val="000000"/>
                <w:sz w:val="21"/>
                <w:szCs w:val="21"/>
                <w:u w:val="none"/>
              </w:rPr>
            </w:pPr>
          </w:p>
        </w:tc>
      </w:tr>
      <w:tr w14:paraId="3A27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0B95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栾俊鹏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7892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3DC8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副校（院）长、校（院）委委员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04F7">
            <w:pPr>
              <w:jc w:val="center"/>
              <w:rPr>
                <w:rFonts w:hint="eastAsia" w:ascii="仿宋" w:hAnsi="仿宋" w:eastAsia="仿宋" w:cs="仿宋"/>
                <w:i w:val="0"/>
                <w:iCs w:val="0"/>
                <w:color w:val="000000"/>
                <w:sz w:val="21"/>
                <w:szCs w:val="21"/>
                <w:u w:val="none"/>
              </w:rPr>
            </w:pPr>
          </w:p>
        </w:tc>
      </w:tr>
      <w:tr w14:paraId="5CEB2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1850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杨书伟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9FA2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7AB3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二级调研员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1CEA">
            <w:pPr>
              <w:jc w:val="center"/>
              <w:rPr>
                <w:rFonts w:hint="eastAsia" w:ascii="仿宋" w:hAnsi="仿宋" w:eastAsia="仿宋" w:cs="仿宋"/>
                <w:i w:val="0"/>
                <w:iCs w:val="0"/>
                <w:color w:val="000000"/>
                <w:sz w:val="21"/>
                <w:szCs w:val="21"/>
                <w:u w:val="none"/>
              </w:rPr>
            </w:pPr>
          </w:p>
        </w:tc>
      </w:tr>
      <w:tr w14:paraId="39C0A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DDA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董杰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1754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587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二级调研员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2635">
            <w:pPr>
              <w:jc w:val="center"/>
              <w:rPr>
                <w:rFonts w:hint="eastAsia" w:ascii="仿宋" w:hAnsi="仿宋" w:eastAsia="仿宋" w:cs="仿宋"/>
                <w:i w:val="0"/>
                <w:iCs w:val="0"/>
                <w:color w:val="000000"/>
                <w:sz w:val="21"/>
                <w:szCs w:val="21"/>
                <w:u w:val="none"/>
              </w:rPr>
            </w:pPr>
          </w:p>
        </w:tc>
      </w:tr>
      <w:tr w14:paraId="28C49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40FB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尚顺忠</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E154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F4C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二级调研员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2AEDF">
            <w:pPr>
              <w:jc w:val="center"/>
              <w:rPr>
                <w:rFonts w:hint="eastAsia" w:ascii="仿宋" w:hAnsi="仿宋" w:eastAsia="仿宋" w:cs="仿宋"/>
                <w:i w:val="0"/>
                <w:iCs w:val="0"/>
                <w:color w:val="000000"/>
                <w:sz w:val="21"/>
                <w:szCs w:val="21"/>
                <w:u w:val="none"/>
              </w:rPr>
            </w:pPr>
          </w:p>
        </w:tc>
      </w:tr>
      <w:tr w14:paraId="689A4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1895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李斌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B1CB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4EC7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办公室主任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3F523">
            <w:pPr>
              <w:jc w:val="center"/>
              <w:rPr>
                <w:rFonts w:hint="eastAsia" w:ascii="仿宋" w:hAnsi="仿宋" w:eastAsia="仿宋" w:cs="仿宋"/>
                <w:i w:val="0"/>
                <w:iCs w:val="0"/>
                <w:color w:val="000000"/>
                <w:sz w:val="21"/>
                <w:szCs w:val="21"/>
                <w:u w:val="none"/>
              </w:rPr>
            </w:pPr>
          </w:p>
        </w:tc>
      </w:tr>
      <w:tr w14:paraId="6113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659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聂晓耀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7A45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B18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财务科科长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99408">
            <w:pPr>
              <w:jc w:val="center"/>
              <w:rPr>
                <w:rFonts w:hint="eastAsia" w:ascii="仿宋" w:hAnsi="仿宋" w:eastAsia="仿宋" w:cs="仿宋"/>
                <w:i w:val="0"/>
                <w:iCs w:val="0"/>
                <w:color w:val="000000"/>
                <w:sz w:val="21"/>
                <w:szCs w:val="21"/>
                <w:u w:val="none"/>
              </w:rPr>
            </w:pPr>
          </w:p>
        </w:tc>
      </w:tr>
      <w:tr w14:paraId="63D81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F0BE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韩丽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00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D0F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人事科科长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6600E">
            <w:pPr>
              <w:jc w:val="center"/>
              <w:rPr>
                <w:rFonts w:hint="eastAsia" w:ascii="仿宋" w:hAnsi="仿宋" w:eastAsia="仿宋" w:cs="仿宋"/>
                <w:i w:val="0"/>
                <w:iCs w:val="0"/>
                <w:color w:val="000000"/>
                <w:sz w:val="21"/>
                <w:szCs w:val="21"/>
                <w:u w:val="none"/>
              </w:rPr>
            </w:pPr>
          </w:p>
        </w:tc>
      </w:tr>
      <w:tr w14:paraId="71E89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1D4E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郝海华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FFD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FB53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机关党委书记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8D8C9">
            <w:pPr>
              <w:jc w:val="center"/>
              <w:rPr>
                <w:rFonts w:hint="eastAsia" w:ascii="仿宋" w:hAnsi="仿宋" w:eastAsia="仿宋" w:cs="仿宋"/>
                <w:i w:val="0"/>
                <w:iCs w:val="0"/>
                <w:color w:val="000000"/>
                <w:sz w:val="21"/>
                <w:szCs w:val="21"/>
                <w:u w:val="none"/>
              </w:rPr>
            </w:pPr>
          </w:p>
        </w:tc>
      </w:tr>
      <w:tr w14:paraId="51C0E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0206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BFF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61F7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教务科科长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42CC8">
            <w:pPr>
              <w:jc w:val="center"/>
              <w:rPr>
                <w:rFonts w:hint="eastAsia" w:ascii="仿宋" w:hAnsi="仿宋" w:eastAsia="仿宋" w:cs="仿宋"/>
                <w:i w:val="0"/>
                <w:iCs w:val="0"/>
                <w:color w:val="000000"/>
                <w:sz w:val="21"/>
                <w:szCs w:val="21"/>
                <w:u w:val="none"/>
              </w:rPr>
            </w:pPr>
          </w:p>
        </w:tc>
      </w:tr>
      <w:tr w14:paraId="0E026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438D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胡香中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F4D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4E5B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后勤科科长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A936C">
            <w:pPr>
              <w:jc w:val="center"/>
              <w:rPr>
                <w:rFonts w:hint="eastAsia" w:ascii="仿宋" w:hAnsi="仿宋" w:eastAsia="仿宋" w:cs="仿宋"/>
                <w:i w:val="0"/>
                <w:iCs w:val="0"/>
                <w:color w:val="000000"/>
                <w:sz w:val="21"/>
                <w:szCs w:val="21"/>
                <w:u w:val="none"/>
              </w:rPr>
            </w:pPr>
          </w:p>
        </w:tc>
      </w:tr>
      <w:tr w14:paraId="1B779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A61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赵晓岚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C85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A899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学员科科长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09EB">
            <w:pPr>
              <w:jc w:val="center"/>
              <w:rPr>
                <w:rFonts w:hint="eastAsia" w:ascii="仿宋" w:hAnsi="仿宋" w:eastAsia="仿宋" w:cs="仿宋"/>
                <w:i w:val="0"/>
                <w:iCs w:val="0"/>
                <w:color w:val="000000"/>
                <w:sz w:val="21"/>
                <w:szCs w:val="21"/>
                <w:u w:val="none"/>
              </w:rPr>
            </w:pPr>
          </w:p>
        </w:tc>
      </w:tr>
      <w:tr w14:paraId="3BF9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B56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刘志刚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1265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F20F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教研保障</w:t>
            </w:r>
            <w:bookmarkStart w:id="0" w:name="_GoBack"/>
            <w:bookmarkEnd w:id="0"/>
            <w:r>
              <w:rPr>
                <w:rFonts w:hint="eastAsia" w:ascii="仿宋" w:hAnsi="仿宋" w:eastAsia="仿宋" w:cs="仿宋"/>
                <w:i w:val="0"/>
                <w:iCs w:val="0"/>
                <w:color w:val="000000"/>
                <w:kern w:val="0"/>
                <w:sz w:val="21"/>
                <w:szCs w:val="21"/>
                <w:u w:val="none"/>
                <w:lang w:val="en-US" w:eastAsia="zh-CN" w:bidi="ar"/>
              </w:rPr>
              <w:t>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6BAE9">
            <w:pPr>
              <w:jc w:val="center"/>
              <w:rPr>
                <w:rFonts w:hint="eastAsia" w:ascii="仿宋" w:hAnsi="仿宋" w:eastAsia="仿宋" w:cs="仿宋"/>
                <w:i w:val="0"/>
                <w:iCs w:val="0"/>
                <w:color w:val="000000"/>
                <w:sz w:val="21"/>
                <w:szCs w:val="21"/>
                <w:u w:val="none"/>
              </w:rPr>
            </w:pPr>
          </w:p>
        </w:tc>
      </w:tr>
      <w:tr w14:paraId="65F95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45DA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张春光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EC9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BD59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保卫科科长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CF5B">
            <w:pPr>
              <w:jc w:val="center"/>
              <w:rPr>
                <w:rFonts w:hint="eastAsia" w:ascii="仿宋" w:hAnsi="仿宋" w:eastAsia="仿宋" w:cs="仿宋"/>
                <w:i w:val="0"/>
                <w:iCs w:val="0"/>
                <w:color w:val="000000"/>
                <w:sz w:val="21"/>
                <w:szCs w:val="21"/>
                <w:u w:val="none"/>
              </w:rPr>
            </w:pPr>
          </w:p>
        </w:tc>
      </w:tr>
      <w:tr w14:paraId="3BC6B3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87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鲁飞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184D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E765">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图书馆馆长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800A">
            <w:pPr>
              <w:jc w:val="center"/>
              <w:rPr>
                <w:rFonts w:hint="eastAsia" w:ascii="仿宋" w:hAnsi="仿宋" w:eastAsia="仿宋" w:cs="仿宋"/>
                <w:i w:val="0"/>
                <w:iCs w:val="0"/>
                <w:color w:val="000000"/>
                <w:sz w:val="21"/>
                <w:szCs w:val="21"/>
                <w:u w:val="none"/>
              </w:rPr>
            </w:pPr>
          </w:p>
        </w:tc>
      </w:tr>
      <w:tr w14:paraId="53F1E6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B257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张梦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CEA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A0E47">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科研科科长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2A446">
            <w:pPr>
              <w:jc w:val="center"/>
              <w:rPr>
                <w:rFonts w:hint="eastAsia" w:ascii="仿宋" w:hAnsi="仿宋" w:eastAsia="仿宋" w:cs="仿宋"/>
                <w:i w:val="0"/>
                <w:iCs w:val="0"/>
                <w:color w:val="000000"/>
                <w:sz w:val="21"/>
                <w:szCs w:val="21"/>
                <w:u w:val="none"/>
              </w:rPr>
            </w:pPr>
          </w:p>
        </w:tc>
      </w:tr>
      <w:tr w14:paraId="168F4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53F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王玉倩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7D7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759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校刊编辑部主任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57D1D">
            <w:pPr>
              <w:jc w:val="center"/>
              <w:rPr>
                <w:rFonts w:hint="eastAsia" w:ascii="仿宋" w:hAnsi="仿宋" w:eastAsia="仿宋" w:cs="仿宋"/>
                <w:i w:val="0"/>
                <w:iCs w:val="0"/>
                <w:color w:val="000000"/>
                <w:sz w:val="21"/>
                <w:szCs w:val="21"/>
                <w:u w:val="none"/>
              </w:rPr>
            </w:pPr>
          </w:p>
        </w:tc>
      </w:tr>
      <w:tr w14:paraId="0004D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19FB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仇亚强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549B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中共石家庄市委党校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8FC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对外交流中心主任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FDA5">
            <w:pPr>
              <w:jc w:val="center"/>
              <w:rPr>
                <w:rFonts w:hint="eastAsia" w:ascii="仿宋" w:hAnsi="仿宋" w:eastAsia="仿宋" w:cs="仿宋"/>
                <w:i w:val="0"/>
                <w:iCs w:val="0"/>
                <w:color w:val="000000"/>
                <w:sz w:val="21"/>
                <w:szCs w:val="21"/>
                <w:u w:val="none"/>
              </w:rPr>
            </w:pPr>
          </w:p>
        </w:tc>
      </w:tr>
    </w:tbl>
    <w:p w14:paraId="65862311">
      <w:pPr>
        <w:adjustRightInd w:val="0"/>
        <w:snapToGrid w:val="0"/>
        <w:spacing w:line="560" w:lineRule="exact"/>
        <w:ind w:firstLine="640" w:firstLineChars="200"/>
        <w:rPr>
          <w:rFonts w:hint="eastAsia" w:ascii="黑体" w:hAnsi="黑体" w:eastAsia="黑体"/>
          <w:sz w:val="32"/>
          <w:szCs w:val="32"/>
        </w:rPr>
      </w:pPr>
    </w:p>
    <w:sectPr>
      <w:footerReference r:id="rId3" w:type="default"/>
      <w:pgSz w:w="11906" w:h="16838"/>
      <w:pgMar w:top="1440" w:right="1474" w:bottom="1440"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D3E62">
    <w:pPr>
      <w:pStyle w:val="3"/>
    </w:pPr>
    <w:r>
      <w:pict>
        <v:shape id="Quad Arrow 3073" o:spid="_x0000_s4097" o:spt="202" type="#_x0000_t202" style="position:absolute;left:0pt;margin-top:0pt;height:144pt;width:144pt;mso-position-horizontal:center;mso-position-horizontal-relative:margin;mso-wrap-style:none;z-index:251659264;mso-width-relative:page;mso-height-relative:page;" filled="f" o:preferrelative="t" stroked="f" coordsize="21600,21600">
          <v:path/>
          <v:fill on="f" focussize="0,0"/>
          <v:stroke on="f" joinstyle="miter"/>
          <v:imagedata o:title=""/>
          <o:lock v:ext="edit"/>
          <v:textbox inset="0mm,0mm,0mm,0mm" style="mso-fit-shape-to-text:t;">
            <w:txbxContent>
              <w:p w14:paraId="1CD7A13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- 1 -</w:t>
                </w:r>
                <w:r>
                  <w:rPr>
                    <w:rFonts w:hint="eastAsia"/>
                    <w:sz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decimal"/>
      <w:suff w:val="nothing"/>
      <w:lvlText w:val="%1."/>
      <w:lvlJc w:val="left"/>
    </w:lvl>
  </w:abstractNum>
  <w:abstractNum w:abstractNumId="1">
    <w:nsid w:val="0516AA81"/>
    <w:multiLevelType w:val="singleLevel"/>
    <w:tmpl w:val="0516AA81"/>
    <w:lvl w:ilvl="0" w:tentative="0">
      <w:start w:val="2"/>
      <w:numFmt w:val="chineseCounting"/>
      <w:suff w:val="nothing"/>
      <w:lvlText w:val="（%1）"/>
      <w:lvlJc w:val="left"/>
      <w:pPr>
        <w:ind w:left="642" w:firstLine="0"/>
      </w:pPr>
      <w:rPr>
        <w:rFonts w:hint="eastAsia"/>
      </w:rPr>
    </w:lvl>
  </w:abstractNum>
  <w:abstractNum w:abstractNumId="2">
    <w:nsid w:val="11DAF486"/>
    <w:multiLevelType w:val="singleLevel"/>
    <w:tmpl w:val="11DAF486"/>
    <w:lvl w:ilvl="0" w:tentative="0">
      <w:start w:val="2"/>
      <w:numFmt w:val="chineseCounting"/>
      <w:suff w:val="nothing"/>
      <w:lvlText w:val="（%1）"/>
      <w:lvlJc w:val="left"/>
      <w:rPr>
        <w:rFonts w:hint="eastAsia"/>
      </w:rPr>
    </w:lvl>
  </w:abstractNum>
  <w:abstractNum w:abstractNumId="3">
    <w:nsid w:val="5E68489B"/>
    <w:multiLevelType w:val="singleLevel"/>
    <w:tmpl w:val="5E68489B"/>
    <w:lvl w:ilvl="0" w:tentative="0">
      <w:start w:val="1"/>
      <w:numFmt w:val="chineseCounting"/>
      <w:suff w:val="nothing"/>
      <w:lvlText w:val="（%1）"/>
      <w:lvlJc w:val="left"/>
      <w:rPr>
        <w:rFonts w:ascii="楷体" w:hAnsi="楷体" w:eastAsia="楷体"/>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zgxMzVhZTBlNDUyZWUxNDVhMjNkN2E1NjFlOTE5NDcifQ=="/>
  </w:docVars>
  <w:rsids>
    <w:rsidRoot w:val="0EBD2122"/>
    <w:rsid w:val="000B0260"/>
    <w:rsid w:val="001F187B"/>
    <w:rsid w:val="007E6C1F"/>
    <w:rsid w:val="00956A93"/>
    <w:rsid w:val="009E575C"/>
    <w:rsid w:val="00AF167E"/>
    <w:rsid w:val="00AF566A"/>
    <w:rsid w:val="00B478EA"/>
    <w:rsid w:val="00B6553A"/>
    <w:rsid w:val="00BC6576"/>
    <w:rsid w:val="00CE06BA"/>
    <w:rsid w:val="00F441CC"/>
    <w:rsid w:val="01B104CA"/>
    <w:rsid w:val="02106AB0"/>
    <w:rsid w:val="02B43A28"/>
    <w:rsid w:val="046F331E"/>
    <w:rsid w:val="07956271"/>
    <w:rsid w:val="07EA7CE0"/>
    <w:rsid w:val="09721397"/>
    <w:rsid w:val="0BB63BED"/>
    <w:rsid w:val="0C5B7066"/>
    <w:rsid w:val="0DD97980"/>
    <w:rsid w:val="0EB97A43"/>
    <w:rsid w:val="0EBD2122"/>
    <w:rsid w:val="0F214EAE"/>
    <w:rsid w:val="11B71E6A"/>
    <w:rsid w:val="1AAF0063"/>
    <w:rsid w:val="1B740D26"/>
    <w:rsid w:val="1BE140DE"/>
    <w:rsid w:val="1E542E40"/>
    <w:rsid w:val="248C197D"/>
    <w:rsid w:val="252959AF"/>
    <w:rsid w:val="277A6671"/>
    <w:rsid w:val="292D35B7"/>
    <w:rsid w:val="33EB6CFF"/>
    <w:rsid w:val="35A12947"/>
    <w:rsid w:val="37387040"/>
    <w:rsid w:val="3B625C0A"/>
    <w:rsid w:val="3CEE1963"/>
    <w:rsid w:val="43081441"/>
    <w:rsid w:val="436B78D3"/>
    <w:rsid w:val="46CB0A1F"/>
    <w:rsid w:val="4C9C27FE"/>
    <w:rsid w:val="502A44B1"/>
    <w:rsid w:val="512260B4"/>
    <w:rsid w:val="52BD6ACB"/>
    <w:rsid w:val="55537534"/>
    <w:rsid w:val="561A74F1"/>
    <w:rsid w:val="57F26BF1"/>
    <w:rsid w:val="58B17416"/>
    <w:rsid w:val="597244E8"/>
    <w:rsid w:val="5EB71C30"/>
    <w:rsid w:val="61953257"/>
    <w:rsid w:val="66AF0CE5"/>
    <w:rsid w:val="68AC2130"/>
    <w:rsid w:val="6AC537CF"/>
    <w:rsid w:val="6E5B14A6"/>
    <w:rsid w:val="711B255E"/>
    <w:rsid w:val="7BB51E06"/>
    <w:rsid w:val="7C387F7C"/>
    <w:rsid w:val="7FE83423"/>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customStyle="1" w:styleId="7">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5451</Words>
  <Characters>5710</Characters>
  <Lines>4</Lines>
  <Paragraphs>1</Paragraphs>
  <TotalTime>227</TotalTime>
  <ScaleCrop>false</ScaleCrop>
  <LinksUpToDate>false</LinksUpToDate>
  <CharactersWithSpaces>5735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2020-02-04T03:46:00Z</dcterms:created>
  <dc:creator>欣欣大人</dc:creator>
  <cp:lastModifiedBy>aaaaa</cp:lastModifiedBy>
  <cp:lastPrinted>2026-03-03T01:23:00Z</cp:lastPrinted>
  <dcterms:modified xsi:type="dcterms:W3CDTF">2026-05-06T02:41:55Z</dcterms:modified>
  <dc:title>附件3：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96934721B1514D3FBAA28020338CE855_12</vt:lpwstr>
  </property>
  <property fmtid="{D5CDD505-2E9C-101B-9397-08002B2CF9AE}" pid="4" name="KSOTemplateDocerSaveRecord">
    <vt:lpwstr>eyJoZGlkIjoiMzcyYWFlZWQ1OThkOTA3NzRhNDc0MmJlYzhmNzhhOTciLCJ1c2VySWQiOiIyNzYxNDkxMTYifQ==</vt:lpwstr>
  </property>
</Properties>
</file>