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spacing w:line="560" w:lineRule="exact"/>
        <w:jc w:val="center"/>
        <w:rPr>
          <w:rFonts w:ascii="宋体" w:hAnsi="宋体" w:cs="宋体"/>
          <w:b/>
          <w:bCs/>
          <w:sz w:val="44"/>
          <w:szCs w:val="44"/>
        </w:rPr>
      </w:pPr>
    </w:p>
    <w:p>
      <w:pPr>
        <w:spacing w:line="560" w:lineRule="exact"/>
        <w:jc w:val="center"/>
        <w:rPr>
          <w:rFonts w:hint="eastAsia" w:ascii="宋体" w:hAnsi="宋体" w:cs="宋体"/>
          <w:b/>
          <w:bCs/>
          <w:sz w:val="44"/>
          <w:szCs w:val="44"/>
        </w:rPr>
      </w:pPr>
      <w:r>
        <w:rPr>
          <w:rFonts w:hint="eastAsia" w:ascii="宋体" w:hAnsi="宋体" w:cs="宋体"/>
          <w:b/>
          <w:bCs/>
          <w:sz w:val="44"/>
          <w:szCs w:val="44"/>
        </w:rPr>
        <w:t>石家庄市长安区人民检察院部门</w:t>
      </w:r>
    </w:p>
    <w:p>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pPr>
        <w:spacing w:line="560" w:lineRule="exact"/>
        <w:jc w:val="center"/>
        <w:rPr>
          <w:rFonts w:ascii="宋体" w:hAnsi="宋体" w:cs="宋体"/>
          <w:sz w:val="32"/>
          <w:szCs w:val="32"/>
        </w:rPr>
      </w:pPr>
      <w:r>
        <w:rPr>
          <w:rFonts w:hint="eastAsia" w:ascii="宋体" w:hAnsi="宋体" w:cs="宋体"/>
          <w:sz w:val="32"/>
          <w:szCs w:val="32"/>
        </w:rPr>
        <w:t>（参考格式）</w:t>
      </w:r>
    </w:p>
    <w:p>
      <w:pPr>
        <w:spacing w:line="560" w:lineRule="exact"/>
        <w:jc w:val="center"/>
        <w:rPr>
          <w:rFonts w:ascii="华文楷体" w:eastAsia="华文楷体"/>
          <w:sz w:val="32"/>
          <w:szCs w:val="32"/>
        </w:rPr>
      </w:pP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贯彻落实市委市政府《关于全面落实预算绩效管理的实施意见》（石发﹝2019﹞8号）文件精神，遵循“科学性、规范性、客观性和公正性”的原则，对石家庄市长安区人民检察院部门202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部门职责：</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（一）深入贯彻习近平新时代中国特色社会主义思想，深入贯彻党的路线方针和决策部署，坚持党对检察工作的绝对领导，坚决维护习近平总书记的核心地位，坚决维护党中央权威和集中统一领导。</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（二）依法向区人民代表大会及其常务委员会提出议案。</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（三）贯彻落实检察工作方针、总体规划，研究制定检察工作计划并组织实施。</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（四）依照法律规定对直接受理的刑事案件行使侦查权。</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（五）负责对管辖的各类刑事案件依法审查批准逮捕、决定逮捕、提起公诉。</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（六) 负责应由本院承办的刑事、民事、行政诉讼活动及刑事、民事、行政判决和裁定等生效法律文书执行的法律监督工作。</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（七）负责应由本院承办的提起公益诉讼工作。</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（八）依法受理核准追诉案件，审查是否上报。</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（九）负责应由本院承办的对社区矫正等执法活动的法律监督工作。</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（十）受理向本院的控告申诉。</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（十一）组织检察工作中法律政策具体应用问题的研究；组织开展检察理论研究工作。</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（十二）负责检察人员思想政治教育和业务培训工作；按照权限管理检察官和其他工作人员。</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（十三）负责本院检务督查工作。</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（十四）负责本院检务保障以及检察技术、信息化建设工作。</w:t>
      </w:r>
    </w:p>
    <w:p>
      <w:pPr>
        <w:widowControl w:val="0"/>
        <w:wordWrap/>
        <w:adjustRightInd w:val="0"/>
        <w:snapToGrid w:val="0"/>
        <w:spacing w:line="560" w:lineRule="exact"/>
        <w:ind w:left="0" w:leftChars="0"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rPr>
        <w:t>（十五）完成其他应当由本院负责的工作。</w:t>
      </w:r>
    </w:p>
    <w:p>
      <w:pPr>
        <w:ind w:firstLine="640" w:firstLineChars="200"/>
        <w:jc w:val="left"/>
        <w:rPr>
          <w:rFonts w:ascii="Times New Roman" w:eastAsia="方正仿宋_GBK"/>
          <w:sz w:val="28"/>
        </w:rPr>
      </w:pPr>
      <w:r>
        <w:rPr>
          <w:rFonts w:hint="eastAsia" w:ascii="仿宋" w:hAnsi="仿宋" w:eastAsia="仿宋"/>
          <w:sz w:val="32"/>
          <w:szCs w:val="32"/>
        </w:rPr>
        <w:t>机构设置：</w:t>
      </w:r>
    </w:p>
    <w:tbl>
      <w:tblPr>
        <w:tblStyle w:val="4"/>
        <w:tblpPr w:leftFromText="180" w:rightFromText="180" w:vertAnchor="text" w:horzAnchor="page" w:tblpX="1472" w:tblpY="22"/>
        <w:tblOverlap w:val="never"/>
        <w:tblW w:w="965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37"/>
        <w:gridCol w:w="1673"/>
        <w:gridCol w:w="1903"/>
        <w:gridCol w:w="274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4" w:hRule="atLeast"/>
          <w:tblHeader/>
        </w:trPr>
        <w:tc>
          <w:tcPr>
            <w:tcW w:w="3337" w:type="dxa"/>
            <w:noWrap w:val="0"/>
            <w:vAlign w:val="center"/>
          </w:tcPr>
          <w:p>
            <w:pPr>
              <w:spacing w:line="300" w:lineRule="exact"/>
              <w:jc w:val="center"/>
              <w:rPr>
                <w:rFonts w:ascii="方正书宋_GBK" w:eastAsia="方正书宋_GBK"/>
                <w:b/>
              </w:rPr>
            </w:pPr>
            <w:r>
              <w:rPr>
                <w:rFonts w:ascii="方正书宋_GBK" w:eastAsia="方正书宋_GBK"/>
                <w:b/>
              </w:rPr>
              <w:t>单位名称</w:t>
            </w:r>
          </w:p>
        </w:tc>
        <w:tc>
          <w:tcPr>
            <w:tcW w:w="1673" w:type="dxa"/>
            <w:noWrap w:val="0"/>
            <w:vAlign w:val="center"/>
          </w:tcPr>
          <w:p>
            <w:pPr>
              <w:spacing w:line="300" w:lineRule="exact"/>
              <w:jc w:val="center"/>
              <w:rPr>
                <w:rFonts w:ascii="方正书宋_GBK" w:eastAsia="方正书宋_GBK"/>
                <w:b/>
              </w:rPr>
            </w:pPr>
            <w:r>
              <w:rPr>
                <w:rFonts w:ascii="方正书宋_GBK" w:eastAsia="方正书宋_GBK"/>
                <w:b/>
              </w:rPr>
              <w:t>单位性质</w:t>
            </w:r>
          </w:p>
        </w:tc>
        <w:tc>
          <w:tcPr>
            <w:tcW w:w="1903" w:type="dxa"/>
            <w:noWrap w:val="0"/>
            <w:vAlign w:val="center"/>
          </w:tcPr>
          <w:p>
            <w:pPr>
              <w:spacing w:line="300" w:lineRule="exact"/>
              <w:jc w:val="center"/>
              <w:rPr>
                <w:rFonts w:ascii="方正书宋_GBK" w:eastAsia="方正书宋_GBK"/>
                <w:b/>
              </w:rPr>
            </w:pPr>
            <w:r>
              <w:rPr>
                <w:rFonts w:ascii="方正书宋_GBK" w:eastAsia="方正书宋_GBK"/>
                <w:b/>
              </w:rPr>
              <w:t>单位规格</w:t>
            </w:r>
          </w:p>
        </w:tc>
        <w:tc>
          <w:tcPr>
            <w:tcW w:w="2745" w:type="dxa"/>
            <w:noWrap w:val="0"/>
            <w:vAlign w:val="center"/>
          </w:tcPr>
          <w:p>
            <w:pPr>
              <w:spacing w:line="300" w:lineRule="exact"/>
              <w:jc w:val="center"/>
              <w:rPr>
                <w:rFonts w:ascii="方正书宋_GBK" w:eastAsia="方正书宋_GBK"/>
                <w:b/>
              </w:rPr>
            </w:pPr>
            <w:r>
              <w:rPr>
                <w:rFonts w:ascii="方正书宋_GBK" w:eastAsia="方正书宋_GBK"/>
                <w:b/>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29" w:hRule="atLeast"/>
        </w:trPr>
        <w:tc>
          <w:tcPr>
            <w:tcW w:w="3337" w:type="dxa"/>
            <w:noWrap w:val="0"/>
            <w:vAlign w:val="center"/>
          </w:tcPr>
          <w:p>
            <w:pPr>
              <w:spacing w:line="300" w:lineRule="exact"/>
              <w:jc w:val="left"/>
              <w:rPr>
                <w:rFonts w:ascii="方正书宋_GBK" w:eastAsia="方正书宋_GBK"/>
              </w:rPr>
            </w:pPr>
            <w:r>
              <w:rPr>
                <w:rFonts w:ascii="方正书宋_GBK" w:eastAsia="方正书宋_GBK"/>
              </w:rPr>
              <w:t>石家庄市长安区人民检察院本级</w:t>
            </w:r>
          </w:p>
        </w:tc>
        <w:tc>
          <w:tcPr>
            <w:tcW w:w="1673" w:type="dxa"/>
            <w:noWrap w:val="0"/>
            <w:vAlign w:val="center"/>
          </w:tcPr>
          <w:p>
            <w:pPr>
              <w:spacing w:line="300" w:lineRule="exact"/>
              <w:jc w:val="center"/>
              <w:rPr>
                <w:rFonts w:ascii="方正书宋_GBK" w:eastAsia="方正书宋_GBK"/>
              </w:rPr>
            </w:pPr>
            <w:r>
              <w:rPr>
                <w:rFonts w:ascii="方正书宋_GBK" w:eastAsia="方正书宋_GBK"/>
              </w:rPr>
              <w:t>行政</w:t>
            </w:r>
          </w:p>
        </w:tc>
        <w:tc>
          <w:tcPr>
            <w:tcW w:w="1903" w:type="dxa"/>
            <w:noWrap w:val="0"/>
            <w:vAlign w:val="center"/>
          </w:tcPr>
          <w:p>
            <w:pPr>
              <w:spacing w:line="300" w:lineRule="exact"/>
              <w:jc w:val="center"/>
              <w:rPr>
                <w:rFonts w:ascii="方正书宋_GBK" w:eastAsia="方正书宋_GBK"/>
              </w:rPr>
            </w:pPr>
            <w:r>
              <w:rPr>
                <w:rFonts w:ascii="方正书宋_GBK" w:eastAsia="方正书宋_GBK"/>
              </w:rPr>
              <w:t>副处（县）级</w:t>
            </w:r>
          </w:p>
        </w:tc>
        <w:tc>
          <w:tcPr>
            <w:tcW w:w="2745" w:type="dxa"/>
            <w:noWrap w:val="0"/>
            <w:vAlign w:val="center"/>
          </w:tcPr>
          <w:p>
            <w:pPr>
              <w:spacing w:line="300" w:lineRule="exact"/>
              <w:jc w:val="center"/>
              <w:rPr>
                <w:rFonts w:ascii="方正书宋_GBK" w:eastAsia="方正书宋_GBK"/>
              </w:rPr>
            </w:pPr>
            <w:r>
              <w:rPr>
                <w:rFonts w:ascii="方正书宋_GBK" w:eastAsia="方正书宋_GBK"/>
              </w:rPr>
              <w:t>财政拨款</w:t>
            </w:r>
          </w:p>
        </w:tc>
      </w:tr>
    </w:tbl>
    <w:p>
      <w:pPr>
        <w:adjustRightInd w:val="0"/>
        <w:snapToGrid w:val="0"/>
        <w:spacing w:line="560" w:lineRule="exact"/>
        <w:ind w:firstLine="640" w:firstLineChars="200"/>
        <w:rPr>
          <w:rFonts w:hint="default" w:ascii="仿宋" w:hAnsi="仿宋" w:eastAsia="仿宋" w:cs="仿宋"/>
          <w:bCs/>
          <w:sz w:val="32"/>
          <w:szCs w:val="32"/>
          <w:lang w:val="en-US" w:eastAsia="zh-CN"/>
        </w:rPr>
      </w:pPr>
      <w:r>
        <w:rPr>
          <w:rFonts w:hint="eastAsia" w:ascii="仿宋" w:hAnsi="仿宋" w:eastAsia="仿宋" w:cs="仿宋"/>
          <w:bCs/>
          <w:sz w:val="32"/>
          <w:szCs w:val="32"/>
          <w:lang w:eastAsia="zh-CN"/>
        </w:rPr>
        <w:t>人员情况：我院人员编制</w:t>
      </w:r>
      <w:r>
        <w:rPr>
          <w:rFonts w:hint="eastAsia" w:ascii="仿宋" w:hAnsi="仿宋" w:eastAsia="仿宋" w:cs="仿宋"/>
          <w:bCs/>
          <w:sz w:val="32"/>
          <w:szCs w:val="32"/>
          <w:lang w:val="en-US" w:eastAsia="zh-CN"/>
        </w:rPr>
        <w:t>87人，实有在职人数8</w:t>
      </w:r>
      <w:r>
        <w:rPr>
          <w:rFonts w:hint="default" w:ascii="仿宋" w:hAnsi="仿宋" w:eastAsia="仿宋" w:cs="仿宋"/>
          <w:bCs/>
          <w:sz w:val="32"/>
          <w:szCs w:val="32"/>
          <w:lang w:val="en-US" w:eastAsia="zh-CN"/>
        </w:rPr>
        <w:t>3</w:t>
      </w:r>
      <w:r>
        <w:rPr>
          <w:rFonts w:hint="eastAsia" w:ascii="仿宋" w:hAnsi="仿宋" w:eastAsia="仿宋" w:cs="仿宋"/>
          <w:bCs/>
          <w:sz w:val="32"/>
          <w:szCs w:val="32"/>
          <w:lang w:val="en-US" w:eastAsia="zh-CN"/>
        </w:rPr>
        <w:t>人。</w:t>
      </w:r>
    </w:p>
    <w:p>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pPr>
        <w:numPr>
          <w:ilvl w:val="0"/>
          <w:numId w:val="0"/>
        </w:numPr>
        <w:adjustRightInd w:val="0"/>
        <w:snapToGrid w:val="0"/>
        <w:spacing w:line="560" w:lineRule="exact"/>
        <w:ind w:firstLine="640" w:firstLineChars="200"/>
        <w:rPr>
          <w:rFonts w:ascii="楷体" w:hAnsi="楷体" w:eastAsia="楷体" w:cs="楷体_GB2312"/>
          <w:bCs/>
          <w:sz w:val="32"/>
          <w:szCs w:val="32"/>
        </w:rPr>
      </w:pPr>
      <w:r>
        <w:rPr>
          <w:rFonts w:hint="eastAsia" w:ascii="仿宋" w:hAnsi="仿宋" w:eastAsia="仿宋" w:cs="仿宋"/>
          <w:color w:val="000000"/>
          <w:sz w:val="32"/>
          <w:szCs w:val="32"/>
        </w:rPr>
        <w:t>202</w:t>
      </w:r>
      <w:r>
        <w:rPr>
          <w:rFonts w:hint="default" w:ascii="仿宋" w:hAnsi="仿宋" w:eastAsia="仿宋" w:cs="仿宋"/>
          <w:color w:val="000000"/>
          <w:sz w:val="32"/>
          <w:szCs w:val="32"/>
          <w:lang w:val="en-US" w:eastAsia="zh-CN"/>
        </w:rPr>
        <w:t>5</w:t>
      </w:r>
      <w:r>
        <w:rPr>
          <w:rFonts w:hint="eastAsia" w:ascii="仿宋" w:hAnsi="仿宋" w:eastAsia="仿宋" w:cs="仿宋"/>
          <w:color w:val="000000"/>
          <w:sz w:val="32"/>
          <w:szCs w:val="32"/>
        </w:rPr>
        <w:t>年预算收支安排</w:t>
      </w:r>
      <w:r>
        <w:rPr>
          <w:rFonts w:hint="default" w:ascii="仿宋_GB2312" w:hAnsi="仿宋" w:eastAsia="仿宋_GB2312"/>
          <w:sz w:val="32"/>
          <w:szCs w:val="32"/>
          <w:lang w:val="en-US" w:eastAsia="zh-CN"/>
        </w:rPr>
        <w:t>2881.88</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202</w:t>
      </w:r>
      <w:r>
        <w:rPr>
          <w:rFonts w:hint="default" w:ascii="仿宋" w:hAnsi="仿宋" w:eastAsia="仿宋" w:cs="仿宋"/>
          <w:color w:val="000000"/>
          <w:sz w:val="32"/>
          <w:szCs w:val="32"/>
          <w:lang w:val="en-US" w:eastAsia="zh-CN"/>
        </w:rPr>
        <w:t>5</w:t>
      </w:r>
      <w:r>
        <w:rPr>
          <w:rFonts w:hint="eastAsia" w:ascii="仿宋" w:hAnsi="仿宋" w:eastAsia="仿宋" w:cs="仿宋"/>
          <w:color w:val="000000"/>
          <w:sz w:val="32"/>
          <w:szCs w:val="32"/>
          <w:lang w:val="en-US" w:eastAsia="zh-CN"/>
        </w:rPr>
        <w:t>年</w:t>
      </w:r>
      <w:r>
        <w:rPr>
          <w:rFonts w:hint="eastAsia" w:ascii="仿宋" w:hAnsi="仿宋" w:eastAsia="仿宋" w:cs="仿宋"/>
          <w:color w:val="000000"/>
          <w:sz w:val="32"/>
          <w:szCs w:val="32"/>
          <w:lang w:eastAsia="zh-CN"/>
        </w:rPr>
        <w:t>决算本年收入</w:t>
      </w:r>
      <w:r>
        <w:rPr>
          <w:rFonts w:hint="default" w:ascii="仿宋" w:hAnsi="仿宋" w:eastAsia="仿宋" w:cs="仿宋"/>
          <w:color w:val="000000"/>
          <w:sz w:val="32"/>
          <w:szCs w:val="32"/>
          <w:lang w:val="en-US" w:eastAsia="zh-CN"/>
        </w:rPr>
        <w:t>2916.21</w:t>
      </w:r>
      <w:r>
        <w:rPr>
          <w:rFonts w:hint="eastAsia" w:ascii="仿宋" w:hAnsi="仿宋" w:eastAsia="仿宋" w:cs="仿宋"/>
          <w:color w:val="000000"/>
          <w:sz w:val="32"/>
          <w:szCs w:val="32"/>
          <w:lang w:val="en-US" w:eastAsia="zh-CN"/>
        </w:rPr>
        <w:t>万元，</w:t>
      </w:r>
      <w:r>
        <w:rPr>
          <w:rFonts w:hint="eastAsia" w:ascii="仿宋" w:hAnsi="仿宋" w:eastAsia="仿宋" w:cs="仿宋"/>
          <w:color w:val="000000"/>
          <w:sz w:val="32"/>
          <w:szCs w:val="32"/>
          <w:lang w:eastAsia="zh-CN"/>
        </w:rPr>
        <w:t>本年</w:t>
      </w:r>
      <w:r>
        <w:rPr>
          <w:rFonts w:hint="eastAsia" w:ascii="仿宋" w:hAnsi="仿宋" w:eastAsia="仿宋" w:cs="仿宋"/>
          <w:color w:val="000000"/>
          <w:sz w:val="32"/>
          <w:szCs w:val="32"/>
          <w:lang w:val="en-US" w:eastAsia="zh-CN"/>
        </w:rPr>
        <w:t>支出</w:t>
      </w:r>
      <w:r>
        <w:rPr>
          <w:rFonts w:hint="default" w:ascii="仿宋" w:hAnsi="仿宋" w:eastAsia="仿宋" w:cs="仿宋"/>
          <w:color w:val="000000"/>
          <w:sz w:val="32"/>
          <w:szCs w:val="32"/>
          <w:lang w:val="en-US" w:eastAsia="zh-CN"/>
        </w:rPr>
        <w:t>2916.21</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w:t>
      </w:r>
    </w:p>
    <w:p>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pPr>
        <w:pStyle w:val="6"/>
      </w:pPr>
      <w:r>
        <w:rPr>
          <w:rFonts w:hint="eastAsia" w:ascii="仿宋" w:hAnsi="仿宋" w:eastAsia="仿宋" w:cs="Times New Roman"/>
          <w:sz w:val="32"/>
          <w:szCs w:val="32"/>
        </w:rPr>
        <w:t>2025年，长安区人民检察院将始终坚持以习近平新时代中国特色社会主义思想为指导，深入贯彻党的二十大和二十届三中全会精神，全面贯彻习近平法治思想，坚决贯彻习近平总书记视察河北、视察石家庄重要讲话精神，认真落实《中共中央关于加强新时代检察机关法律监督工作的意见》及省委、市委、区委和上级检察机关各项决策部署，依法履行法律监督职责，扎实推进检察机关化解矛盾风险、维护社会稳定工作，更好为大局服务、为人民司法、为法治担当，努力实现政治高度、实践宽度、理念深度有机融合，为建设经济强区、美丽长安新征程提供有力司法保障。</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根据《石家庄市市级部门项目绩效自评管理办法》（石财绩〔2020〕5号）</w:t>
      </w:r>
      <w:r>
        <w:rPr>
          <w:rFonts w:hint="eastAsia" w:ascii="仿宋" w:hAnsi="仿宋" w:eastAsia="仿宋"/>
          <w:sz w:val="32"/>
          <w:szCs w:val="32"/>
          <w:lang w:eastAsia="zh-CN"/>
        </w:rPr>
        <w:t>文件</w:t>
      </w:r>
      <w:r>
        <w:rPr>
          <w:rFonts w:hint="eastAsia" w:ascii="仿宋" w:hAnsi="仿宋" w:eastAsia="仿宋"/>
          <w:sz w:val="32"/>
          <w:szCs w:val="32"/>
        </w:rPr>
        <w:t>，我院组织召开了专题会议，制定了工作计划，成立绩效评价工作小组，初步收集相关资料，学习有关制度文件，并对全年项目资金的使用情况进行了解，研究商定评价工作内容，制定绩效评价工作方案。</w:t>
      </w:r>
    </w:p>
    <w:p>
      <w:pPr>
        <w:numPr>
          <w:ilvl w:val="0"/>
          <w:numId w:val="2"/>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1、评价方法</w:t>
      </w:r>
    </w:p>
    <w:p>
      <w:pPr>
        <w:widowControl w:val="0"/>
        <w:wordWrap/>
        <w:spacing w:line="560" w:lineRule="exact"/>
        <w:ind w:right="0" w:firstLine="640" w:firstLineChars="200"/>
        <w:textAlignment w:val="auto"/>
        <w:outlineLvl w:val="9"/>
        <w:rPr>
          <w:rFonts w:hint="eastAsia" w:ascii="仿宋" w:hAnsi="仿宋" w:eastAsia="仿宋"/>
          <w:sz w:val="32"/>
          <w:szCs w:val="32"/>
        </w:rPr>
      </w:pPr>
      <w:r>
        <w:rPr>
          <w:rFonts w:hint="eastAsia" w:ascii="仿宋" w:hAnsi="仿宋" w:eastAsia="仿宋"/>
          <w:sz w:val="32"/>
          <w:szCs w:val="32"/>
          <w:lang w:eastAsia="zh-CN"/>
        </w:rPr>
        <w:t>办公室</w:t>
      </w:r>
      <w:r>
        <w:rPr>
          <w:rFonts w:hint="eastAsia" w:ascii="仿宋" w:hAnsi="仿宋" w:eastAsia="仿宋"/>
          <w:sz w:val="32"/>
          <w:szCs w:val="32"/>
        </w:rPr>
        <w:t>作为经费管理部门负责项目考评全面工作，业务部门作为项目执行部门，全</w:t>
      </w:r>
      <w:r>
        <w:rPr>
          <w:rFonts w:hint="eastAsia" w:ascii="仿宋" w:hAnsi="仿宋" w:eastAsia="仿宋"/>
          <w:sz w:val="32"/>
          <w:szCs w:val="32"/>
          <w:lang w:eastAsia="zh-CN"/>
        </w:rPr>
        <w:t>力</w:t>
      </w:r>
      <w:r>
        <w:rPr>
          <w:rFonts w:hint="eastAsia" w:ascii="仿宋" w:hAnsi="仿宋" w:eastAsia="仿宋"/>
          <w:sz w:val="32"/>
          <w:szCs w:val="32"/>
        </w:rPr>
        <w:t>配合检务保障部绩效考评工作的开展，相关部门均确定专人负责该项工作，领导的重视、明确的职责</w:t>
      </w:r>
      <w:r>
        <w:rPr>
          <w:rFonts w:hint="eastAsia" w:ascii="仿宋" w:hAnsi="仿宋" w:eastAsia="仿宋"/>
          <w:sz w:val="32"/>
          <w:szCs w:val="32"/>
          <w:lang w:eastAsia="zh-CN"/>
        </w:rPr>
        <w:t>，</w:t>
      </w:r>
      <w:r>
        <w:rPr>
          <w:rFonts w:hint="eastAsia" w:ascii="仿宋" w:hAnsi="仿宋" w:eastAsia="仿宋"/>
          <w:sz w:val="32"/>
          <w:szCs w:val="32"/>
        </w:rPr>
        <w:t>有力的推动绩效管理项目自评工作的顺利完成。</w:t>
      </w:r>
    </w:p>
    <w:p>
      <w:pPr>
        <w:ind w:firstLine="640" w:firstLineChars="200"/>
        <w:rPr>
          <w:rFonts w:hint="eastAsia" w:ascii="仿宋_GB2312" w:eastAsia="仿宋_GB2312"/>
          <w:sz w:val="32"/>
          <w:szCs w:val="32"/>
        </w:rPr>
      </w:pPr>
      <w:r>
        <w:rPr>
          <w:rFonts w:hint="eastAsia" w:ascii="仿宋_GB2312" w:eastAsia="仿宋_GB2312"/>
          <w:sz w:val="32"/>
          <w:szCs w:val="32"/>
        </w:rPr>
        <w:t>2、评价工作过程</w:t>
      </w:r>
    </w:p>
    <w:p>
      <w:pPr>
        <w:ind w:firstLine="640" w:firstLineChars="200"/>
        <w:rPr>
          <w:rFonts w:hint="eastAsia" w:ascii="仿宋_GB2312" w:eastAsia="仿宋_GB2312"/>
          <w:sz w:val="32"/>
          <w:szCs w:val="32"/>
        </w:rPr>
      </w:pPr>
      <w:r>
        <w:rPr>
          <w:rFonts w:hint="eastAsia" w:ascii="仿宋_GB2312" w:eastAsia="仿宋_GB2312"/>
          <w:sz w:val="32"/>
          <w:szCs w:val="32"/>
        </w:rPr>
        <w:t>本次绩效评价工作过程包括前期准备和组织实施两个阶段。</w:t>
      </w:r>
    </w:p>
    <w:p>
      <w:pPr>
        <w:ind w:firstLine="640" w:firstLineChars="200"/>
        <w:rPr>
          <w:rFonts w:hint="eastAsia" w:ascii="仿宋_GB2312" w:eastAsia="仿宋_GB2312"/>
          <w:sz w:val="32"/>
          <w:szCs w:val="32"/>
        </w:rPr>
      </w:pPr>
      <w:r>
        <w:rPr>
          <w:rFonts w:hint="eastAsia" w:ascii="仿宋_GB2312" w:eastAsia="仿宋_GB2312"/>
          <w:sz w:val="32"/>
          <w:szCs w:val="32"/>
        </w:rPr>
        <w:t>（1）前期准备</w:t>
      </w:r>
    </w:p>
    <w:p>
      <w:pPr>
        <w:rPr>
          <w:rFonts w:hint="eastAsia" w:ascii="仿宋_GB2312" w:eastAsia="仿宋_GB2312"/>
          <w:sz w:val="32"/>
          <w:szCs w:val="32"/>
        </w:rPr>
      </w:pPr>
      <w:r>
        <w:rPr>
          <w:rFonts w:hint="eastAsia" w:ascii="仿宋_GB2312" w:eastAsia="仿宋_GB2312"/>
          <w:sz w:val="32"/>
          <w:szCs w:val="32"/>
        </w:rPr>
        <w:t xml:space="preserve">    组织召开专题办公会议，明确了由办公室牵头、相关业务科室具体负责绩效评价，并及时按照绩效评价相关要求，指定绩效管理办法和绩效评价工作方案等。</w:t>
      </w:r>
    </w:p>
    <w:p>
      <w:pPr>
        <w:ind w:firstLine="640" w:firstLineChars="200"/>
        <w:rPr>
          <w:rFonts w:hint="eastAsia" w:ascii="仿宋_GB2312" w:eastAsia="仿宋_GB2312"/>
          <w:sz w:val="32"/>
          <w:szCs w:val="32"/>
        </w:rPr>
      </w:pPr>
      <w:r>
        <w:rPr>
          <w:rFonts w:hint="eastAsia" w:ascii="仿宋_GB2312" w:eastAsia="仿宋_GB2312"/>
          <w:sz w:val="32"/>
          <w:szCs w:val="32"/>
        </w:rPr>
        <w:t>（2）组织实施</w:t>
      </w:r>
    </w:p>
    <w:p>
      <w:pPr>
        <w:ind w:firstLine="640" w:firstLineChars="200"/>
        <w:rPr>
          <w:rFonts w:hint="eastAsia" w:ascii="仿宋" w:hAnsi="仿宋" w:eastAsia="仿宋" w:cs="楷体_GB2312"/>
          <w:b/>
          <w:bCs/>
          <w:sz w:val="32"/>
          <w:szCs w:val="32"/>
        </w:rPr>
      </w:pPr>
      <w:r>
        <w:rPr>
          <w:rFonts w:hint="eastAsia" w:ascii="仿宋_GB2312" w:eastAsia="仿宋_GB2312"/>
          <w:sz w:val="32"/>
          <w:szCs w:val="32"/>
        </w:rPr>
        <w:t>相关业务科室对各科室涉及的项目进行自评，</w:t>
      </w:r>
      <w:r>
        <w:rPr>
          <w:rFonts w:hint="eastAsia" w:ascii="仿宋_GB2312" w:eastAsia="仿宋_GB2312"/>
          <w:sz w:val="32"/>
          <w:szCs w:val="32"/>
          <w:lang w:eastAsia="zh-CN"/>
        </w:rPr>
        <w:t>办公室</w:t>
      </w:r>
      <w:r>
        <w:rPr>
          <w:rFonts w:hint="eastAsia" w:ascii="仿宋_GB2312" w:eastAsia="仿宋_GB2312"/>
          <w:sz w:val="32"/>
          <w:szCs w:val="32"/>
        </w:rPr>
        <w:t>结合业务科室提交的自评情况，采集相关数据、查阅财务资料、核查资金适用情况和相关资料，在整个评价工作过程中相关业务科室进行反复沟通，根据业务科室提交的自评质量进行汇总分析，形成评价结论。</w:t>
      </w:r>
    </w:p>
    <w:p>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pPr>
        <w:numPr>
          <w:ilvl w:val="0"/>
          <w:numId w:val="3"/>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pPr>
        <w:pStyle w:val="6"/>
      </w:pPr>
      <w:r>
        <w:rPr>
          <w:rFonts w:hint="eastAsia" w:ascii="仿宋" w:hAnsi="仿宋" w:eastAsia="仿宋" w:cs="Times New Roman"/>
          <w:sz w:val="32"/>
          <w:szCs w:val="32"/>
        </w:rPr>
        <w:t>2025年，长安区人民检察院将始终坚持以习近平新时代中国特色社会主义思想为指导，深入贯彻党的二十大和二十届三中全会精神，全面贯彻习近平法治思想，坚决贯彻习近平总书记视察河北、视察石家庄重要讲话精神，认真落实《中共中央关于加强新时代检察机关法律监督工作的意见》及省委、市委、区委和上级检察机关各项决策部署，依法履行法律监督职责，扎实推进检察机关化解矛盾风险、维护社会稳定工作，更好为大局服务、为人民司法、为法治担当，努力实现政治高度、实践宽度、理念深度有机融合，为建设经济强区、美丽长安新征程提供有力司法保障。</w:t>
      </w:r>
    </w:p>
    <w:p>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1.严厉惩治犯罪，维护政治社会稳定</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绩效目标：遵循证据裁判、罪刑法定原则，实行客观性证据审查模式，找准检察机关追诉犯罪、维护稳定、保障人权、守护公正的政治定位，更加有力服务长安区高水平安全和经济发展。</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绩效指标：依法打击各类刑事犯罪，加大知识产权检察保护，缜密办好职务犯罪案件，稳慎用好刑事检察政策。努力提升办案质效和检察公信力，深化检务公开，年度内查办案件及实施检察监督案件的数量超过500件，审结的案件占受理案件的比例达到90%以上，通过办理案件，稳定社会环境，收到良好的社会效果，通过项目试试促进社会稳定水平明显提高。</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2.树牢为人民司法理念，提升检察为民质效</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绩效目标：进一步加强对各类市场主体依法平等保护，营造法治化营商环境，强化民生司法保障，切实维护群众合法权益。坚持以双赢、多赢、共赢理念，汇聚民生保障合力，加大人民群众关心关注领域监督办案力度，努力让人民群众的获得感、幸福感、安全感更加充实、更有保障、更可持续。</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绩效指标：着力提升“检护民生”办案质效，扎实推进“检察护企”走深走实，巩固发展“燕赵山海”成果，强化涉检信访法治化建设。加强与人大代表、政协委员和社会各界的常态化联系，主动通报检察工作情况，及时赠阅期刊，加强立案侦查案件的监督。积极参与社会治理现代化，针对案件反映出的倾向性问题和管理漏洞，及时提出检察建议，检察建议被采纳案件占全部检察建议案件的70%以上。</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 xml:space="preserve">3、加强检察队伍正规化职业化专业化建设 </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 xml:space="preserve">绩效目标：提高检察机关执法办案的良好形象，按时配发检察服、法警服装。高标准完成检察机关日常办文办公办会保障。加强干警的党性修养和政治理论素养，提高干警综合素质，加强基层党组织和党员队伍建设，保障各类学习教育活动，不断提高全市检察干警的政治素质、业务素质、职业道德素质。 </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绩效指标：购置服装合格率达到100%，配发服装与实际需求量的比率达到98%，显著提升了公众对检察机关认可度。购置设备质量合格的数量占购置的总数的比例不小于98%，办公设备购置能够对办公环境改善的提升情况达到98%，对于缺少的办公家具及时补充。</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 xml:space="preserve">4.注重检察宣传，切实提升检察效能 </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绩效目标：提升“两微一端”的整体水平，运用图文、视频等形式展示检察机关亮点工作，做好先进典型、事迹的宣传。加强检察原创作品制作，加强警示教育，提高公众对违法犯罪危害的认识。从正面引导舆论和宣传，构建积极向上的主流舆论。保证办公楼的各项设施设备正常运转，及时解决各种故障，消除安全隐患。</w:t>
      </w:r>
    </w:p>
    <w:p>
      <w:pPr>
        <w:spacing w:line="560" w:lineRule="exact"/>
        <w:ind w:firstLine="800" w:firstLineChars="250"/>
        <w:rPr>
          <w:rFonts w:hint="eastAsia" w:ascii="仿宋" w:hAnsi="仿宋" w:eastAsia="仿宋"/>
          <w:sz w:val="32"/>
          <w:szCs w:val="32"/>
        </w:rPr>
      </w:pPr>
      <w:r>
        <w:rPr>
          <w:rFonts w:hint="eastAsia" w:ascii="仿宋" w:hAnsi="仿宋" w:eastAsia="仿宋"/>
          <w:sz w:val="32"/>
          <w:szCs w:val="32"/>
        </w:rPr>
        <w:t>绩效指标：系统运转情况良好，全年检察新媒体中心运行故障次数不超过2次，当年维护软件的次数大于10次，“两微一端”内容质量和更新频率得到有效增强，编辑人员使用设备满意度达到95%以上。“两微一端”粉丝和关注度增加100%以上，反馈和互动效果得到显著提升。</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根据部门职责定位和各项工作履职情况进行综合评价，给出总得分，满分100分，得出综合绩效评价等级。部门整体支出综合绩效评价分为4个等级：得分</w:t>
      </w:r>
      <w:r>
        <w:rPr>
          <w:rFonts w:ascii="仿宋" w:hAnsi="仿宋" w:eastAsia="仿宋" w:cs="Arial"/>
          <w:sz w:val="32"/>
          <w:szCs w:val="32"/>
        </w:rPr>
        <w:t>≥</w:t>
      </w:r>
      <w:r>
        <w:rPr>
          <w:rFonts w:hint="eastAsia" w:ascii="仿宋" w:hAnsi="仿宋" w:eastAsia="仿宋"/>
          <w:sz w:val="32"/>
          <w:szCs w:val="32"/>
        </w:rPr>
        <w:t>85分为优秀；75</w:t>
      </w:r>
      <w:r>
        <w:rPr>
          <w:rFonts w:ascii="仿宋" w:hAnsi="仿宋" w:eastAsia="仿宋" w:cs="Arial"/>
          <w:sz w:val="32"/>
          <w:szCs w:val="32"/>
        </w:rPr>
        <w:t>≤</w:t>
      </w:r>
      <w:r>
        <w:rPr>
          <w:rFonts w:hint="eastAsia" w:ascii="仿宋" w:hAnsi="仿宋" w:eastAsia="仿宋"/>
          <w:sz w:val="32"/>
          <w:szCs w:val="32"/>
        </w:rPr>
        <w:t>得分＜85分为良好；60</w:t>
      </w:r>
      <w:r>
        <w:rPr>
          <w:rFonts w:ascii="仿宋" w:hAnsi="仿宋" w:eastAsia="仿宋" w:cs="Arial"/>
          <w:sz w:val="32"/>
          <w:szCs w:val="32"/>
        </w:rPr>
        <w:t>≤</w:t>
      </w:r>
      <w:r>
        <w:rPr>
          <w:rFonts w:hint="eastAsia" w:ascii="仿宋" w:hAnsi="仿宋" w:eastAsia="仿宋"/>
          <w:sz w:val="32"/>
          <w:szCs w:val="32"/>
        </w:rPr>
        <w:t>得分＜75分为一般；得分＜60分为较差。</w:t>
      </w:r>
    </w:p>
    <w:p>
      <w:pPr>
        <w:spacing w:line="560" w:lineRule="exact"/>
        <w:ind w:firstLine="640" w:firstLineChars="200"/>
        <w:rPr>
          <w:rFonts w:ascii="仿宋" w:hAnsi="仿宋" w:eastAsia="仿宋"/>
          <w:color w:val="auto"/>
          <w:sz w:val="32"/>
          <w:szCs w:val="32"/>
          <w:highlight w:val="none"/>
        </w:rPr>
      </w:pPr>
      <w:r>
        <w:rPr>
          <w:rFonts w:hint="eastAsia" w:ascii="仿宋" w:hAnsi="仿宋" w:eastAsia="仿宋"/>
          <w:sz w:val="32"/>
          <w:szCs w:val="32"/>
        </w:rPr>
        <w:t>根据部门职责定位和各项工作履职情况进行综合评价，</w:t>
      </w:r>
      <w:r>
        <w:rPr>
          <w:rFonts w:hint="eastAsia" w:ascii="仿宋" w:hAnsi="仿宋" w:eastAsia="仿宋"/>
          <w:sz w:val="32"/>
          <w:szCs w:val="32"/>
          <w:lang w:eastAsia="zh-CN"/>
        </w:rPr>
        <w:t>认真履行职责，</w:t>
      </w:r>
      <w:r>
        <w:rPr>
          <w:rFonts w:hint="eastAsia" w:ascii="仿宋" w:hAnsi="仿宋" w:eastAsia="仿宋" w:cs="Times New Roman"/>
          <w:sz w:val="32"/>
          <w:szCs w:val="32"/>
        </w:rPr>
        <w:t>努力提升办案质效和检察公信力</w:t>
      </w:r>
      <w:r>
        <w:rPr>
          <w:rFonts w:hint="eastAsia" w:ascii="仿宋" w:hAnsi="仿宋" w:eastAsia="仿宋" w:cs="Times New Roman"/>
          <w:sz w:val="32"/>
          <w:szCs w:val="32"/>
          <w:lang w:eastAsia="zh-CN"/>
        </w:rPr>
        <w:t>，</w:t>
      </w:r>
      <w:r>
        <w:rPr>
          <w:rFonts w:hint="eastAsia" w:ascii="仿宋" w:hAnsi="仿宋" w:eastAsia="仿宋" w:cs="Times New Roman"/>
          <w:sz w:val="32"/>
          <w:szCs w:val="32"/>
        </w:rPr>
        <w:t>稳定社会环境</w:t>
      </w:r>
      <w:r>
        <w:rPr>
          <w:rFonts w:hint="eastAsia" w:ascii="仿宋" w:hAnsi="仿宋" w:eastAsia="仿宋" w:cs="Times New Roman"/>
          <w:sz w:val="32"/>
          <w:szCs w:val="32"/>
          <w:lang w:eastAsia="zh-CN"/>
        </w:rPr>
        <w:t>，</w:t>
      </w:r>
      <w:r>
        <w:rPr>
          <w:rFonts w:hint="eastAsia" w:ascii="仿宋" w:hAnsi="仿宋" w:eastAsia="仿宋"/>
          <w:sz w:val="32"/>
          <w:szCs w:val="32"/>
          <w:lang w:eastAsia="zh-CN"/>
        </w:rPr>
        <w:t>较好地完成了年初确定的各项工作任务。</w:t>
      </w:r>
      <w:r>
        <w:rPr>
          <w:rFonts w:hint="eastAsia" w:ascii="仿宋" w:hAnsi="仿宋" w:eastAsia="仿宋"/>
          <w:sz w:val="32"/>
          <w:szCs w:val="32"/>
        </w:rPr>
        <w:t>部门整体支出综合绩效评</w:t>
      </w:r>
      <w:r>
        <w:rPr>
          <w:rFonts w:hint="eastAsia" w:ascii="仿宋" w:hAnsi="仿宋" w:eastAsia="仿宋"/>
          <w:color w:val="auto"/>
          <w:sz w:val="32"/>
          <w:szCs w:val="32"/>
          <w:highlight w:val="none"/>
        </w:rPr>
        <w:t>价分为</w:t>
      </w:r>
      <w:r>
        <w:rPr>
          <w:rFonts w:hint="eastAsia" w:ascii="仿宋" w:hAnsi="仿宋" w:eastAsia="仿宋"/>
          <w:color w:val="auto"/>
          <w:sz w:val="32"/>
          <w:szCs w:val="32"/>
          <w:highlight w:val="none"/>
          <w:lang w:val="en-US" w:eastAsia="zh-CN"/>
        </w:rPr>
        <w:t>95分，</w:t>
      </w:r>
      <w:r>
        <w:rPr>
          <w:rFonts w:hint="eastAsia" w:ascii="仿宋" w:hAnsi="仿宋" w:eastAsia="仿宋"/>
          <w:color w:val="auto"/>
          <w:sz w:val="32"/>
          <w:szCs w:val="32"/>
          <w:highlight w:val="none"/>
        </w:rPr>
        <w:t>等级</w:t>
      </w:r>
      <w:r>
        <w:rPr>
          <w:rFonts w:hint="eastAsia" w:ascii="仿宋" w:hAnsi="仿宋" w:eastAsia="仿宋"/>
          <w:color w:val="auto"/>
          <w:sz w:val="32"/>
          <w:szCs w:val="32"/>
          <w:highlight w:val="none"/>
          <w:lang w:eastAsia="zh-CN"/>
        </w:rPr>
        <w:t>为优秀</w:t>
      </w:r>
      <w:r>
        <w:rPr>
          <w:rFonts w:hint="eastAsia" w:ascii="仿宋" w:hAnsi="仿宋" w:eastAsia="仿宋"/>
          <w:color w:val="auto"/>
          <w:sz w:val="32"/>
          <w:szCs w:val="32"/>
          <w:highlight w:val="none"/>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楷体" w:hAnsi="楷体" w:eastAsia="楷体"/>
          <w:bCs/>
          <w:sz w:val="32"/>
          <w:szCs w:val="32"/>
        </w:rPr>
      </w:pPr>
      <w:r>
        <w:rPr>
          <w:rFonts w:hint="eastAsia" w:ascii="楷体" w:hAnsi="楷体" w:eastAsia="楷体"/>
          <w:bCs/>
          <w:sz w:val="32"/>
          <w:szCs w:val="32"/>
        </w:rPr>
        <w:t>（一）存在的主要问题</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1.部分项目绩效管理指标不规范。</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 w:hAnsi="仿宋" w:eastAsia="仿宋"/>
          <w:sz w:val="32"/>
          <w:szCs w:val="32"/>
        </w:rPr>
      </w:pPr>
      <w:r>
        <w:rPr>
          <w:rFonts w:hint="eastAsia" w:ascii="仿宋" w:hAnsi="仿宋" w:eastAsia="仿宋"/>
          <w:sz w:val="32"/>
          <w:szCs w:val="32"/>
        </w:rPr>
        <w:t>一是绩效管理意识还不够强，绩效管理体系建设不够完备。二是绩效评价结果与预算安排的挂钩机制不完善。</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 w:hAnsi="仿宋" w:eastAsia="仿宋"/>
          <w:sz w:val="32"/>
          <w:szCs w:val="32"/>
          <w:lang w:val="en-US" w:eastAsia="zh-CN"/>
        </w:rPr>
      </w:pPr>
      <w:r>
        <w:rPr>
          <w:rFonts w:hint="eastAsia" w:ascii="仿宋" w:hAnsi="仿宋" w:eastAsia="仿宋"/>
          <w:sz w:val="32"/>
          <w:szCs w:val="32"/>
          <w:lang w:val="en-US" w:eastAsia="zh-CN"/>
        </w:rPr>
        <w:t>2.项目执行进度慢，影响资金使用效益。</w:t>
      </w:r>
    </w:p>
    <w:p>
      <w:pPr>
        <w:widowControl w:val="0"/>
        <w:wordWrap/>
        <w:spacing w:line="560" w:lineRule="exact"/>
        <w:ind w:left="0" w:leftChars="0" w:right="0" w:firstLine="640" w:firstLineChars="200"/>
        <w:textAlignment w:val="auto"/>
        <w:outlineLvl w:val="9"/>
        <w:rPr>
          <w:rFonts w:ascii="楷体" w:hAnsi="楷体" w:eastAsia="楷体"/>
          <w:bCs/>
          <w:sz w:val="32"/>
          <w:szCs w:val="32"/>
        </w:rPr>
      </w:pPr>
      <w:r>
        <w:rPr>
          <w:rFonts w:hint="eastAsia" w:ascii="仿宋_GB2312" w:hAnsi="仿宋_GB2312" w:eastAsia="仿宋_GB2312" w:cs="仿宋_GB2312"/>
          <w:kern w:val="2"/>
          <w:sz w:val="32"/>
          <w:szCs w:val="32"/>
          <w:lang w:val="en-US" w:eastAsia="zh-CN" w:bidi="ar"/>
        </w:rPr>
        <w:t>部分项目执行进度慢，在前期工作中，未能及时考虑到一些突发因素以及影响支出进度的事项，导致项目不能完全实施或者是实施不到位。</w:t>
      </w:r>
      <w:bookmarkStart w:id="0" w:name="_GoBack"/>
      <w:bookmarkEnd w:id="0"/>
    </w:p>
    <w:p>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pPr>
        <w:keepNext w:val="0"/>
        <w:keepLines w:val="0"/>
        <w:pageBreakBefore w:val="0"/>
        <w:widowControl w:val="0"/>
        <w:numPr>
          <w:ilvl w:val="0"/>
          <w:numId w:val="0"/>
        </w:numPr>
        <w:kinsoku/>
        <w:wordWrap/>
        <w:overflowPunct/>
        <w:topLinePunct w:val="0"/>
        <w:autoSpaceDE/>
        <w:autoSpaceDN/>
        <w:bidi w:val="0"/>
        <w:spacing w:before="0" w:beforeLines="0" w:after="0" w:afterLines="0" w:line="540" w:lineRule="exact"/>
        <w:ind w:leftChars="20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一是健全项目管理制度，制定项目用款计划、预期绩效目标，充分发挥资金使用效益。</w:t>
      </w:r>
    </w:p>
    <w:p>
      <w:pPr>
        <w:numPr>
          <w:ilvl w:val="0"/>
          <w:numId w:val="0"/>
        </w:numPr>
        <w:spacing w:line="560" w:lineRule="exact"/>
        <w:ind w:leftChars="200"/>
        <w:rPr>
          <w:rFonts w:hint="eastAsia" w:ascii="楷体" w:hAnsi="楷体" w:eastAsia="楷体"/>
          <w:bCs/>
          <w:sz w:val="32"/>
          <w:szCs w:val="32"/>
        </w:rPr>
      </w:pPr>
      <w:r>
        <w:rPr>
          <w:rFonts w:hint="eastAsia" w:ascii="仿宋_GB2312" w:hAnsi="仿宋_GB2312" w:eastAsia="仿宋_GB2312" w:cs="仿宋_GB2312"/>
          <w:sz w:val="32"/>
          <w:szCs w:val="32"/>
          <w:lang w:val="en-US" w:eastAsia="zh-CN"/>
        </w:rPr>
        <w:t xml:space="preserve">    二</w:t>
      </w:r>
      <w:r>
        <w:rPr>
          <w:rFonts w:hint="eastAsia" w:ascii="仿宋" w:hAnsi="仿宋" w:eastAsia="仿宋" w:cs="仿宋"/>
          <w:sz w:val="32"/>
          <w:szCs w:val="32"/>
        </w:rPr>
        <w:t>是加强对相关绩效管理文件精神的学习，要求业务科室负责人和财务人员一起认真学习，深刻领会文件要求。</w:t>
      </w:r>
    </w:p>
    <w:p>
      <w:pPr>
        <w:adjustRightInd w:val="0"/>
        <w:snapToGrid w:val="0"/>
        <w:spacing w:line="560" w:lineRule="exact"/>
        <w:ind w:firstLine="640" w:firstLineChars="200"/>
        <w:rPr>
          <w:rFonts w:ascii="黑体" w:hAnsi="黑体" w:eastAsia="黑体"/>
          <w:sz w:val="32"/>
          <w:szCs w:val="32"/>
        </w:rPr>
      </w:pPr>
    </w:p>
    <w:p>
      <w:pPr>
        <w:spacing w:line="560" w:lineRule="exact"/>
        <w:rPr>
          <w:rFonts w:ascii="仿宋" w:hAnsi="仿宋" w:eastAsia="仿宋"/>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script"/>
    <w:pitch w:val="default"/>
    <w:sig w:usb0="A00002BF" w:usb1="38CF7CFA" w:usb2="00082016"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1">
    <w:nsid w:val="162AA8CD"/>
    <w:multiLevelType w:val="singleLevel"/>
    <w:tmpl w:val="162AA8CD"/>
    <w:lvl w:ilvl="0" w:tentative="0">
      <w:start w:val="2"/>
      <w:numFmt w:val="chineseCounting"/>
      <w:suff w:val="nothing"/>
      <w:lvlText w:val="（%1）"/>
      <w:lvlJc w:val="left"/>
      <w:rPr>
        <w:rFonts w:hint="eastAsia"/>
      </w:rPr>
    </w:lvl>
  </w:abstractNum>
  <w:abstractNum w:abstractNumId="2">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1F187B"/>
    <w:rsid w:val="007E6C1F"/>
    <w:rsid w:val="00956A93"/>
    <w:rsid w:val="009E575C"/>
    <w:rsid w:val="00AF167E"/>
    <w:rsid w:val="00AF566A"/>
    <w:rsid w:val="00B478EA"/>
    <w:rsid w:val="00B6553A"/>
    <w:rsid w:val="00BC6576"/>
    <w:rsid w:val="00CE06BA"/>
    <w:rsid w:val="00F441CC"/>
    <w:rsid w:val="01B104CA"/>
    <w:rsid w:val="02106AB0"/>
    <w:rsid w:val="02B43A28"/>
    <w:rsid w:val="046F331E"/>
    <w:rsid w:val="07956271"/>
    <w:rsid w:val="09721397"/>
    <w:rsid w:val="0BB63BED"/>
    <w:rsid w:val="0EB97A43"/>
    <w:rsid w:val="0EBD2122"/>
    <w:rsid w:val="0F214EAE"/>
    <w:rsid w:val="11B71E6A"/>
    <w:rsid w:val="16955AB1"/>
    <w:rsid w:val="1AAF0063"/>
    <w:rsid w:val="1B740D26"/>
    <w:rsid w:val="1BE140DE"/>
    <w:rsid w:val="1E542E40"/>
    <w:rsid w:val="22277A2F"/>
    <w:rsid w:val="248C197D"/>
    <w:rsid w:val="252959AF"/>
    <w:rsid w:val="277A6671"/>
    <w:rsid w:val="292D35B7"/>
    <w:rsid w:val="33EB6CFF"/>
    <w:rsid w:val="35A12947"/>
    <w:rsid w:val="37387040"/>
    <w:rsid w:val="379D5367"/>
    <w:rsid w:val="3B625C0A"/>
    <w:rsid w:val="3CEE1963"/>
    <w:rsid w:val="436B78D3"/>
    <w:rsid w:val="4C9C27FE"/>
    <w:rsid w:val="502A44B1"/>
    <w:rsid w:val="512260B4"/>
    <w:rsid w:val="52BD6ACB"/>
    <w:rsid w:val="55537534"/>
    <w:rsid w:val="561A74F1"/>
    <w:rsid w:val="58B17416"/>
    <w:rsid w:val="597244E8"/>
    <w:rsid w:val="5EB71C30"/>
    <w:rsid w:val="66AF0CE5"/>
    <w:rsid w:val="68AC2130"/>
    <w:rsid w:val="6AC537CF"/>
    <w:rsid w:val="6E5B14A6"/>
    <w:rsid w:val="70B43612"/>
    <w:rsid w:val="711B255E"/>
    <w:rsid w:val="79F03EE6"/>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6">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7">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573</Words>
  <Characters>590</Characters>
  <Lines>4</Lines>
  <Paragraphs>1</Paragraphs>
  <TotalTime>0</TotalTime>
  <ScaleCrop>false</ScaleCrop>
  <LinksUpToDate>false</LinksUpToDate>
  <CharactersWithSpaces>612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Administrator</cp:lastModifiedBy>
  <cp:lastPrinted>2026-04-28T01:03:00Z</cp:lastPrinted>
  <dcterms:modified xsi:type="dcterms:W3CDTF">2026-07-31T02:19:19Z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97DC0CF034EA40E4B15AA20AAA90974C</vt:lpwstr>
  </property>
  <property fmtid="{D5CDD505-2E9C-101B-9397-08002B2CF9AE}" pid="4" name="KSOTemplateDocerSaveRecord">
    <vt:lpwstr>eyJoZGlkIjoiMDRiNGJkYjBiMjRiNTM2Zjk5YWM2NmU3YTc2OThjMTYiLCJ1c2VySWQiOiIxMDI2NzA5MTgxIn0=</vt:lpwstr>
  </property>
</Properties>
</file>