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6.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r>
        <w:drawing>
          <wp:anchor distT="0" distB="0" distL="114300" distR="114300" simplePos="0" relativeHeight="251665408" behindDoc="0" locked="0" layoutInCell="1" allowOverlap="1">
            <wp:simplePos x="0" y="0"/>
            <wp:positionH relativeFrom="column">
              <wp:posOffset>-406400</wp:posOffset>
            </wp:positionH>
            <wp:positionV relativeFrom="paragraph">
              <wp:posOffset>2153920</wp:posOffset>
            </wp:positionV>
            <wp:extent cx="2159000" cy="1310640"/>
            <wp:effectExtent l="0" t="0" r="12700" b="3810"/>
            <wp:wrapNone/>
            <wp:docPr id="12" name="https://photo-static-api.fotomore.com/creative/vcg/400/new/VCG211393708916.jpg" descr="templates\picture_hover\&amp;pky00203123560_sjzg_VCG211393708916&amp;2&amp;src_toppic_droprecen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ttps://photo-static-api.fotomore.com/creative/vcg/400/new/VCG211393708916.jpg" descr="templates\picture_hover\&amp;pky00203123560_sjzg_VCG211393708916&amp;2&amp;src_toppic_droprecent&amp;"/>
                    <pic:cNvPicPr>
                      <a:picLocks noChangeAspect="1"/>
                    </pic:cNvPicPr>
                  </pic:nvPicPr>
                  <pic:blipFill>
                    <a:blip r:embed="rId10"/>
                    <a:stretch>
                      <a:fillRect/>
                    </a:stretch>
                  </pic:blipFill>
                  <pic:spPr>
                    <a:xfrm>
                      <a:off x="0" y="0"/>
                      <a:ext cx="2159000" cy="1310640"/>
                    </a:xfrm>
                    <a:prstGeom prst="rect">
                      <a:avLst/>
                    </a:prstGeom>
                  </pic:spPr>
                </pic:pic>
              </a:graphicData>
            </a:graphic>
          </wp:anchor>
        </w:drawing>
      </w:r>
      <w:r>
        <w:drawing>
          <wp:anchor distT="0" distB="0" distL="114300" distR="114300" simplePos="0" relativeHeight="251666432" behindDoc="0" locked="0" layoutInCell="1" allowOverlap="1">
            <wp:simplePos x="0" y="0"/>
            <wp:positionH relativeFrom="column">
              <wp:posOffset>1800860</wp:posOffset>
            </wp:positionH>
            <wp:positionV relativeFrom="paragraph">
              <wp:posOffset>2153920</wp:posOffset>
            </wp:positionV>
            <wp:extent cx="2160270" cy="1310640"/>
            <wp:effectExtent l="0" t="0" r="11430" b="3810"/>
            <wp:wrapNone/>
            <wp:docPr id="14" name="https://photo-static-api.fotomore.com/creative/vcg/400/version23/VCG41520173064.jpg" descr="templates\picture_hover\&amp;pky94109459339_sjzg_VCG41520173064&amp;2&amp;src_toppic_droprecent&amp;"/>
            <wp:cNvGraphicFramePr/>
            <a:graphic xmlns:a="http://schemas.openxmlformats.org/drawingml/2006/main">
              <a:graphicData uri="http://schemas.openxmlformats.org/drawingml/2006/picture">
                <pic:pic xmlns:pic="http://schemas.openxmlformats.org/drawingml/2006/picture">
                  <pic:nvPicPr>
                    <pic:cNvPr id="14" name="https://photo-static-api.fotomore.com/creative/vcg/400/version23/VCG41520173064.jpg" descr="templates\picture_hover\&amp;pky94109459339_sjzg_VCG41520173064&amp;2&amp;src_toppic_droprecent&amp;"/>
                    <pic:cNvPicPr/>
                  </pic:nvPicPr>
                  <pic:blipFill>
                    <a:blip r:embed="rId11"/>
                    <a:stretch>
                      <a:fillRect/>
                    </a:stretch>
                  </pic:blipFill>
                  <pic:spPr>
                    <a:xfrm>
                      <a:off x="0" y="0"/>
                      <a:ext cx="2160270" cy="1310640"/>
                    </a:xfrm>
                    <a:prstGeom prst="rect">
                      <a:avLst/>
                    </a:prstGeom>
                  </pic:spPr>
                </pic:pic>
              </a:graphicData>
            </a:graphic>
          </wp:anchor>
        </w:drawing>
      </w:r>
      <w:r>
        <w:drawing>
          <wp:anchor distT="0" distB="0" distL="114300" distR="114300" simplePos="0" relativeHeight="251664384" behindDoc="0" locked="0" layoutInCell="1" allowOverlap="1">
            <wp:simplePos x="0" y="0"/>
            <wp:positionH relativeFrom="column">
              <wp:posOffset>4027805</wp:posOffset>
            </wp:positionH>
            <wp:positionV relativeFrom="paragraph">
              <wp:posOffset>2141220</wp:posOffset>
            </wp:positionV>
            <wp:extent cx="2162810" cy="1310640"/>
            <wp:effectExtent l="0" t="0" r="8890" b="3810"/>
            <wp:wrapNone/>
            <wp:docPr id="8" name="https://photo-static-api.fotomore.com/creative/vcg/400/new/VCG41N1489769134.jpg?uid=386&amp;timestamp=1686554386&amp;sign=5f45ccbb5851510551cea00294a903df" descr="templates\picture_hover\&amp;pky17209834312_sjzg_VCG41N1489769134&amp;2&amp;src_toppic_droprecen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https://photo-static-api.fotomore.com/creative/vcg/400/new/VCG41N1489769134.jpg?uid=386&amp;timestamp=1686554386&amp;sign=5f45ccbb5851510551cea00294a903df" descr="templates\picture_hover\&amp;pky17209834312_sjzg_VCG41N1489769134&amp;2&amp;src_toppic_droprecent&amp;"/>
                    <pic:cNvPicPr>
                      <a:picLocks noChangeAspect="1"/>
                    </pic:cNvPicPr>
                  </pic:nvPicPr>
                  <pic:blipFill>
                    <a:blip r:embed="rId12"/>
                    <a:stretch>
                      <a:fillRect/>
                    </a:stretch>
                  </pic:blipFill>
                  <pic:spPr>
                    <a:xfrm>
                      <a:off x="0" y="0"/>
                      <a:ext cx="2162810" cy="1310640"/>
                    </a:xfrm>
                    <a:prstGeom prst="rect">
                      <a:avLst/>
                    </a:prstGeom>
                  </pic:spPr>
                </pic:pic>
              </a:graphicData>
            </a:graphic>
          </wp:anchor>
        </w:drawing>
      </w:r>
      <w:r>
        <mc:AlternateContent>
          <mc:Choice Requires="wpg">
            <w:drawing>
              <wp:anchor distT="0" distB="0" distL="114300" distR="114300" simplePos="0" relativeHeight="251662336" behindDoc="0" locked="0" layoutInCell="1" allowOverlap="1">
                <wp:simplePos x="0" y="0"/>
                <wp:positionH relativeFrom="column">
                  <wp:posOffset>-2783205</wp:posOffset>
                </wp:positionH>
                <wp:positionV relativeFrom="paragraph">
                  <wp:posOffset>2138680</wp:posOffset>
                </wp:positionV>
                <wp:extent cx="9053195" cy="1447165"/>
                <wp:effectExtent l="0" t="0" r="14605" b="635"/>
                <wp:wrapNone/>
                <wp:docPr id="2" name="组合 2"/>
                <wp:cNvGraphicFramePr/>
                <a:graphic xmlns:a="http://schemas.openxmlformats.org/drawingml/2006/main">
                  <a:graphicData uri="http://schemas.microsoft.com/office/word/2010/wordprocessingGroup">
                    <wpg:wgp>
                      <wpg:cNvGrpSpPr/>
                      <wpg:grpSpPr>
                        <a:xfrm>
                          <a:off x="0" y="0"/>
                          <a:ext cx="9053195" cy="1447017"/>
                          <a:chOff x="-3504" y="4387"/>
                          <a:chExt cx="19200" cy="2716"/>
                        </a:xfrm>
                      </wpg:grpSpPr>
                      <wps:wsp>
                        <wps:cNvPr id="3075" name="矩形 19"/>
                        <wps:cNvSpPr/>
                        <wps:spPr>
                          <a:xfrm>
                            <a:off x="-381" y="4387"/>
                            <a:ext cx="1834" cy="2457"/>
                          </a:xfrm>
                          <a:prstGeom prst="rect">
                            <a:avLst/>
                          </a:prstGeom>
                          <a:solidFill>
                            <a:srgbClr val="0176AB"/>
                          </a:solidFill>
                          <a:ln w="9525">
                            <a:noFill/>
                          </a:ln>
                        </wps:spPr>
                        <wps:bodyPr anchor="ctr" anchorCtr="0"/>
                      </wps:wsp>
                      <wps:wsp>
                        <wps:cNvPr id="3079" name="矩形 24"/>
                        <wps:cNvSpPr/>
                        <wps:spPr>
                          <a:xfrm>
                            <a:off x="-3504" y="6953"/>
                            <a:ext cx="11815" cy="150"/>
                          </a:xfrm>
                          <a:custGeom>
                            <a:avLst/>
                            <a:gdLst/>
                            <a:ahLst/>
                            <a:cxnLst>
                              <a:cxn ang="0">
                                <a:pos x="0" y="0"/>
                              </a:cxn>
                              <a:cxn ang="0">
                                <a:pos x="7463453" y="6619"/>
                              </a:cxn>
                              <a:cxn ang="0">
                                <a:pos x="7506490" y="98604"/>
                              </a:cxn>
                              <a:cxn ang="0">
                                <a:pos x="0" y="98604"/>
                              </a:cxn>
                              <a:cxn ang="0">
                                <a:pos x="0" y="0"/>
                              </a:cxn>
                            </a:cxnLst>
                            <a:rect l="0" t="0" r="0" b="0"/>
                            <a:pathLst>
                              <a:path w="7501732" h="94593">
                                <a:moveTo>
                                  <a:pt x="0" y="0"/>
                                </a:moveTo>
                                <a:lnTo>
                                  <a:pt x="7458720" y="6350"/>
                                </a:lnTo>
                                <a:lnTo>
                                  <a:pt x="7501732" y="94593"/>
                                </a:lnTo>
                                <a:lnTo>
                                  <a:pt x="0" y="94593"/>
                                </a:lnTo>
                                <a:lnTo>
                                  <a:pt x="0" y="0"/>
                                </a:lnTo>
                                <a:close/>
                              </a:path>
                            </a:pathLst>
                          </a:custGeom>
                          <a:solidFill>
                            <a:srgbClr val="E5AA57">
                              <a:alpha val="100000"/>
                            </a:srgbClr>
                          </a:solidFill>
                          <a:ln w="9525">
                            <a:noFill/>
                          </a:ln>
                        </wps:spPr>
                        <wps:bodyPr/>
                      </wps:wsp>
                      <wps:wsp>
                        <wps:cNvPr id="3080" name="矩形 25"/>
                        <wps:cNvSpPr/>
                        <wps:spPr>
                          <a:xfrm>
                            <a:off x="8331" y="6953"/>
                            <a:ext cx="7365" cy="150"/>
                          </a:xfrm>
                          <a:custGeom>
                            <a:avLst/>
                            <a:gdLst/>
                            <a:ahLst/>
                            <a:cxnLst>
                              <a:cxn ang="0">
                                <a:pos x="0" y="0"/>
                              </a:cxn>
                              <a:cxn ang="0">
                                <a:pos x="4679715" y="0"/>
                              </a:cxn>
                              <a:cxn ang="0">
                                <a:pos x="4679715" y="98599"/>
                              </a:cxn>
                              <a:cxn ang="0">
                                <a:pos x="57552" y="98599"/>
                              </a:cxn>
                              <a:cxn ang="0">
                                <a:pos x="0" y="0"/>
                              </a:cxn>
                            </a:cxnLst>
                            <a:rect l="0" t="0" r="0" b="0"/>
                            <a:pathLst>
                              <a:path w="4676187" h="94594">
                                <a:moveTo>
                                  <a:pt x="0" y="0"/>
                                </a:moveTo>
                                <a:lnTo>
                                  <a:pt x="4676187" y="0"/>
                                </a:lnTo>
                                <a:lnTo>
                                  <a:pt x="4676187" y="94594"/>
                                </a:lnTo>
                                <a:lnTo>
                                  <a:pt x="57510" y="94594"/>
                                </a:lnTo>
                                <a:lnTo>
                                  <a:pt x="0" y="0"/>
                                </a:lnTo>
                                <a:close/>
                              </a:path>
                            </a:pathLst>
                          </a:custGeom>
                          <a:solidFill>
                            <a:srgbClr val="0176AB">
                              <a:alpha val="100000"/>
                            </a:srgbClr>
                          </a:solidFill>
                          <a:ln w="9525">
                            <a:noFill/>
                          </a:ln>
                        </wps:spPr>
                        <wps:bodyPr/>
                      </wps:wsp>
                    </wpg:wgp>
                  </a:graphicData>
                </a:graphic>
              </wp:anchor>
            </w:drawing>
          </mc:Choice>
          <mc:Fallback>
            <w:pict>
              <v:group id="_x0000_s1026" o:spid="_x0000_s1026" o:spt="203" style="position:absolute;left:0pt;margin-left:-219.15pt;margin-top:168.4pt;height:113.95pt;width:712.85pt;z-index:251662336;mso-width-relative:page;mso-height-relative:page;" coordorigin="-3504,4387" coordsize="19200,2716" o:gfxdata="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">
                <o:lock v:ext="edit" aspectratio="f"/>
                <v:rect id="矩形 19" o:spid="_x0000_s1026" o:spt="1" style="position:absolute;left:-381;top:4387;height:2457;width:1834;v-text-anchor:middle;" fillcolor="#0176AB" filled="t" stroked="f" coordsize="21600,21600" o:gfxdata="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f+P3v&#10;wAAAAN0AAAAPAAAAAAAAAAEAIAAAACIAAABkcnMvZG93bnJldi54bWxQSwECFAAUAAAACACHTuJA&#10;My8FnjsAAAA5AAAAEAAAAAAAAAABACAAAAAPAQAAZHJzL3NoYXBleG1sLnhtbFBLBQYAAAAABgAG&#10;AFsBAAC5AwAAAAA=&#10;">
                  <v:fill on="t" focussize="0,0"/>
                  <v:stroke on="f"/>
                  <v:imagedata o:title=""/>
                  <o:lock v:ext="edit" aspectratio="f"/>
                </v:rect>
                <v:shape id="矩形 24" o:spid="_x0000_s1026" o:spt="100" style="position:absolute;left:-3504;top:6953;height:150;width:11815;" fillcolor="#E5AA57" filled="t" stroked="f" coordsize="7501732,94593" o:gfxdata="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8dX6O&#10;wAAAAN0AAAAPAAAAAAAAAAEAIAAAACIAAABkcnMvZG93bnJldi54bWxQSwECFAAUAAAACACHTuJA&#10;My8FnjsAAAA5AAAAEAAAAAAAAAABACAAAAAPAQAAZHJzL3NoYXBleG1sLnhtbFBLBQYAAAAABgAG&#10;AFsBAAC5AwAAAAA=&#10;" path="m0,0l7458720,6350,7501732,94593,0,94593,0,0xe">
                  <v:path o:connectlocs="0,0;7463453,6619;7506490,98604;0,98604;0,0" o:connectangles="0,0,0,0,0"/>
                  <v:fill on="t" focussize="0,0"/>
                  <v:stroke on="f"/>
                  <v:imagedata o:title=""/>
                  <o:lock v:ext="edit" aspectratio="f"/>
                </v:shape>
                <v:shape id="矩形 25" o:spid="_x0000_s1026" o:spt="100" style="position:absolute;left:8331;top:6953;height:150;width:7365;" fillcolor="#0176AB" filled="t" stroked="f" coordsize="4676187,94594" o:gfxdata="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9GhB25AAAA3QAA&#10;AA8AAAAAAAAAAQAgAAAAIgAAAGRycy9kb3ducmV2LnhtbFBLAQIUABQAAAAIAIdO4kAzLwWeOwAA&#10;ADkAAAAQAAAAAAAAAAEAIAAAAAgBAABkcnMvc2hhcGV4bWwueG1sUEsFBgAAAAAGAAYAWwEAALID&#10;AAAAAA==&#10;" path="m0,0l4676187,0,4676187,94594,57510,94594,0,0xe">
                  <v:path o:connectlocs="0,0;4679715,0;4679715,98599;57552,98599;0,0" o:connectangles="0,0,0,0,0"/>
                  <v:fill on="t" focussize="0,0"/>
                  <v:stroke on="f"/>
                  <v:imagedata o:title=""/>
                  <o:lock v:ext="edit" aspectratio="f"/>
                </v:shape>
              </v:group>
            </w:pict>
          </mc:Fallback>
        </mc:AlternateContent>
      </w:r>
      <w:r>
        <w:drawing>
          <wp:anchor distT="0" distB="0" distL="114300" distR="114300" simplePos="0" relativeHeight="251659264" behindDoc="1" locked="0" layoutInCell="1" allowOverlap="1">
            <wp:simplePos x="0" y="0"/>
            <wp:positionH relativeFrom="margin">
              <wp:posOffset>-2950210</wp:posOffset>
            </wp:positionH>
            <wp:positionV relativeFrom="margin">
              <wp:posOffset>653415</wp:posOffset>
            </wp:positionV>
            <wp:extent cx="11083290" cy="7844790"/>
            <wp:effectExtent l="0" t="0" r="3810" b="3810"/>
            <wp:wrapNone/>
            <wp:docPr id="73" name="背景 耗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背景 耗崽"/>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rot="16200000">
                      <a:off x="0" y="0"/>
                      <a:ext cx="11083290" cy="7844790"/>
                    </a:xfrm>
                    <a:prstGeom prst="rect">
                      <a:avLst/>
                    </a:prstGeom>
                  </pic:spPr>
                </pic:pic>
              </a:graphicData>
            </a:graphic>
          </wp:anchor>
        </w:drawing>
      </w:r>
      <w:r>
        <mc:AlternateContent>
          <mc:Choice Requires="wpg">
            <w:drawing>
              <wp:anchor distT="0" distB="0" distL="114300" distR="114300" simplePos="0" relativeHeight="251661312" behindDoc="0" locked="0" layoutInCell="1" allowOverlap="1">
                <wp:simplePos x="0" y="0"/>
                <wp:positionH relativeFrom="column">
                  <wp:posOffset>-280670</wp:posOffset>
                </wp:positionH>
                <wp:positionV relativeFrom="paragraph">
                  <wp:posOffset>-313055</wp:posOffset>
                </wp:positionV>
                <wp:extent cx="5954395" cy="1885315"/>
                <wp:effectExtent l="0" t="0" r="0" b="14605"/>
                <wp:wrapNone/>
                <wp:docPr id="1" name="组合 1"/>
                <wp:cNvGraphicFramePr/>
                <a:graphic xmlns:a="http://schemas.openxmlformats.org/drawingml/2006/main">
                  <a:graphicData uri="http://schemas.microsoft.com/office/word/2010/wordprocessingGroup">
                    <wpg:wgp>
                      <wpg:cNvGrpSpPr/>
                      <wpg:grpSpPr>
                        <a:xfrm>
                          <a:off x="0" y="0"/>
                          <a:ext cx="5954395" cy="1885315"/>
                          <a:chOff x="12098" y="1831"/>
                          <a:chExt cx="9377" cy="2969"/>
                        </a:xfrm>
                      </wpg:grpSpPr>
                      <wps:wsp>
                        <wps:cNvPr id="89" name="文本框 32"/>
                        <wps:cNvSpPr txBox="1"/>
                        <wps:spPr>
                          <a:xfrm>
                            <a:off x="13325" y="1831"/>
                            <a:ext cx="4462" cy="1348"/>
                          </a:xfrm>
                          <a:prstGeom prst="rect">
                            <a:avLst/>
                          </a:prstGeom>
                          <a:noFill/>
                        </wps:spPr>
                        <wps:txbx>
                          <w:txbxContent>
                            <w:p>
                              <w:pPr>
                                <w:jc w:val="distribute"/>
                                <w:rPr>
                                  <w:rFonts w:ascii="方正魏碑简体" w:hAnsi="Arial" w:eastAsia="方正魏碑简体" w:cs="Arial"/>
                                  <w:color w:val="000000" w:themeColor="text1"/>
                                  <w:kern w:val="0"/>
                                  <w:sz w:val="22"/>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方正魏碑简体" w:hAnsi="Arial" w:eastAsia="方正魏碑简体" w:cs="Arial"/>
                                  <w:color w:val="000000" w:themeColor="text1"/>
                                  <w:spacing w:val="60"/>
                                  <w:kern w:val="24"/>
                                  <w:sz w:val="72"/>
                                  <w:szCs w:val="72"/>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2023年度</w:t>
                              </w:r>
                            </w:p>
                          </w:txbxContent>
                        </wps:txbx>
                        <wps:bodyPr wrap="square" rtlCol="0">
                          <a:noAutofit/>
                        </wps:bodyPr>
                      </wps:wsp>
                      <wpg:grpSp>
                        <wpg:cNvPr id="6" name="组合 6"/>
                        <wpg:cNvGrpSpPr/>
                        <wpg:grpSpPr>
                          <a:xfrm>
                            <a:off x="12098" y="3193"/>
                            <a:ext cx="9377" cy="1607"/>
                            <a:chOff x="6119" y="2843"/>
                            <a:chExt cx="9377" cy="1607"/>
                          </a:xfrm>
                        </wpg:grpSpPr>
                        <wps:wsp>
                          <wps:cNvPr id="91" name="文本框 32"/>
                          <wps:cNvSpPr txBox="1"/>
                          <wps:spPr>
                            <a:xfrm>
                              <a:off x="6119" y="2843"/>
                              <a:ext cx="9377" cy="1421"/>
                            </a:xfrm>
                            <a:prstGeom prst="rect">
                              <a:avLst/>
                            </a:prstGeom>
                            <a:noFill/>
                          </wps:spPr>
                          <wps:txbx>
                            <w:txbxContent>
                              <w:p>
                                <w:pPr>
                                  <w:jc w:val="left"/>
                                  <w:rPr>
                                    <w:rFonts w:ascii="黑体" w:hAnsi="黑体" w:eastAsia="黑体" w:cs="黑体"/>
                                    <w:color w:val="000000" w:themeColor="text1"/>
                                    <w:kern w:val="0"/>
                                    <w:sz w:val="24"/>
                                    <w:szCs w:val="2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黑体" w:hAnsi="黑体" w:eastAsia="黑体" w:cs="黑体"/>
                                    <w:color w:val="000000" w:themeColor="text1"/>
                                    <w:spacing w:val="60"/>
                                    <w:kern w:val="24"/>
                                    <w:sz w:val="96"/>
                                    <w:szCs w:val="96"/>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部门决算公开文本</w:t>
                                </w:r>
                              </w:p>
                            </w:txbxContent>
                          </wps:txbx>
                          <wps:bodyPr wrap="square" rtlCol="0">
                            <a:noAutofit/>
                          </wps:bodyPr>
                        </wps:wsp>
                        <wps:wsp>
                          <wps:cNvPr id="4" name="直接连接符 4"/>
                          <wps:cNvCnPr/>
                          <wps:spPr>
                            <a:xfrm>
                              <a:off x="6226" y="4450"/>
                              <a:ext cx="8700" cy="0"/>
                            </a:xfrm>
                            <a:prstGeom prst="line">
                              <a:avLst/>
                            </a:prstGeom>
                            <a:ln w="28575" cmpd="sng">
                              <a:solidFill>
                                <a:schemeClr val="accent1">
                                  <a:shade val="50000"/>
                                </a:schemeClr>
                              </a:solidFill>
                              <a:prstDash val="sysDot"/>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_x0000_s1026" o:spid="_x0000_s1026" o:spt="203" style="position:absolute;left:0pt;margin-left:-22.1pt;margin-top:-24.65pt;height:148.45pt;width:468.85pt;z-index:251661312;mso-width-relative:page;mso-height-relative:page;" coordorigin="12098,1831" coordsize="9377,2969" o:gfxdata="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JUHC8XbAAAACwEAAA8AAAAAAAAAAQAgAAAAIgAAAGRycy9kb3ducmV2LnhtbFBLAQIUABQAAAAI&#10;AIdO4kDzQCTKQAMAAEQJAAAOAAAAAAAAAAEAIAAAACoBAABkcnMvZTJvRG9jLnhtbFBLBQYAAAAA&#10;BgAGAFkBAADcBgAAAAA=&#10;">
                <o:lock v:ext="edit" aspectratio="f"/>
                <v:shape id="文本框 32" o:spid="_x0000_s1026" o:spt="202" type="#_x0000_t202" style="position:absolute;left:13325;top:1831;height:1348;width:4462;" filled="f" stroked="f" coordsize="21600,21600" o:gfxdata="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oO67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jc w:val="distribute"/>
                          <w:rPr>
                            <w:rFonts w:ascii="方正魏碑简体" w:hAnsi="Arial" w:eastAsia="方正魏碑简体" w:cs="Arial"/>
                            <w:color w:val="000000" w:themeColor="text1"/>
                            <w:kern w:val="0"/>
                            <w:sz w:val="22"/>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方正魏碑简体" w:hAnsi="Arial" w:eastAsia="方正魏碑简体" w:cs="Arial"/>
                            <w:color w:val="000000" w:themeColor="text1"/>
                            <w:spacing w:val="60"/>
                            <w:kern w:val="24"/>
                            <w:sz w:val="72"/>
                            <w:szCs w:val="72"/>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2023年度</w:t>
                        </w:r>
                      </w:p>
                    </w:txbxContent>
                  </v:textbox>
                </v:shape>
                <v:group id="_x0000_s1026" o:spid="_x0000_s1026" o:spt="203" style="position:absolute;left:12098;top:3193;height:1607;width:9377;" coordorigin="6119,2843" coordsize="9377,1607"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文本框 32" o:spid="_x0000_s1026" o:spt="202" type="#_x0000_t202" style="position:absolute;left:6119;top:2843;height:1421;width:9377;" filled="f" stroked="f" coordsize="21600,21600" o:gfxdata="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wgN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pPr>
                            <w:jc w:val="left"/>
                            <w:rPr>
                              <w:rFonts w:ascii="黑体" w:hAnsi="黑体" w:eastAsia="黑体" w:cs="黑体"/>
                              <w:color w:val="000000" w:themeColor="text1"/>
                              <w:kern w:val="0"/>
                              <w:sz w:val="24"/>
                              <w:szCs w:val="2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黑体" w:hAnsi="黑体" w:eastAsia="黑体" w:cs="黑体"/>
                              <w:color w:val="000000" w:themeColor="text1"/>
                              <w:spacing w:val="60"/>
                              <w:kern w:val="24"/>
                              <w:sz w:val="96"/>
                              <w:szCs w:val="96"/>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部门决算公开文本</w:t>
                          </w:r>
                        </w:p>
                      </w:txbxContent>
                    </v:textbox>
                  </v:shape>
                  <v:line id="_x0000_s1026" o:spid="_x0000_s1026" o:spt="20" style="position:absolute;left:6226;top:4450;height:0;width:8700;" filled="f" stroked="t" coordsize="21600,21600" o:gfxdata="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M574A&#10;AADaAAAADwAAAAAAAAABACAAAAAiAAAAZHJzL2Rvd25yZXYueG1sUEsBAhQAFAAAAAgAh07iQDMv&#10;BZ47AAAAOQAAABAAAAAAAAAAAQAgAAAADQEAAGRycy9zaGFwZXhtbC54bWxQSwUGAAAAAAYABgBb&#10;AQAAtwMAAAAA&#10;">
                    <v:fill on="f" focussize="0,0"/>
                    <v:stroke weight="2.25pt" color="#325395 [3204]" miterlimit="8" joinstyle="miter" dashstyle="1 1"/>
                    <v:imagedata o:title=""/>
                    <o:lock v:ext="edit" aspectratio="f"/>
                  </v:line>
                </v:group>
              </v:group>
            </w:pict>
          </mc:Fallback>
        </mc:AlternateContent>
      </w:r>
      <w:r>
        <w:drawing>
          <wp:anchor distT="0" distB="0" distL="114300" distR="114300" simplePos="0" relativeHeight="251663360" behindDoc="0" locked="0" layoutInCell="1" allowOverlap="1">
            <wp:simplePos x="0" y="0"/>
            <wp:positionH relativeFrom="column">
              <wp:posOffset>-95250</wp:posOffset>
            </wp:positionH>
            <wp:positionV relativeFrom="margin">
              <wp:posOffset>-27305</wp:posOffset>
            </wp:positionV>
            <wp:extent cx="506095" cy="506095"/>
            <wp:effectExtent l="0" t="0" r="8255" b="8255"/>
            <wp:wrapNone/>
            <wp:docPr id="3" name="图片 3" descr="32313539313538323b32313539313537353bb5e7c4d4b0ecb9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2313539313538323b32313539313537353bb5e7c4d4b0ecb9ab"/>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506095" cy="506095"/>
                    </a:xfrm>
                    <a:prstGeom prst="rect">
                      <a:avLst/>
                    </a:prstGeom>
                  </pic:spPr>
                </pic:pic>
              </a:graphicData>
            </a:graphic>
          </wp:anchor>
        </w:drawing>
      </w:r>
      <w:r>
        <mc:AlternateContent>
          <mc:Choice Requires="wps">
            <w:drawing>
              <wp:anchor distT="0" distB="0" distL="114300" distR="114300" simplePos="0" relativeHeight="251660288" behindDoc="0" locked="0" layoutInCell="1" allowOverlap="1">
                <wp:simplePos x="0" y="0"/>
                <wp:positionH relativeFrom="column">
                  <wp:posOffset>-253365</wp:posOffset>
                </wp:positionH>
                <wp:positionV relativeFrom="paragraph">
                  <wp:posOffset>1611630</wp:posOffset>
                </wp:positionV>
                <wp:extent cx="5494020" cy="570230"/>
                <wp:effectExtent l="0" t="0" r="0" b="0"/>
                <wp:wrapNone/>
                <wp:docPr id="98" name="文本框 33"/>
                <wp:cNvGraphicFramePr/>
                <a:graphic xmlns:a="http://schemas.openxmlformats.org/drawingml/2006/main">
                  <a:graphicData uri="http://schemas.microsoft.com/office/word/2010/wordprocessingShape">
                    <wps:wsp>
                      <wps:cNvSpPr txBox="1"/>
                      <wps:spPr>
                        <a:xfrm>
                          <a:off x="0" y="0"/>
                          <a:ext cx="5494020" cy="570230"/>
                        </a:xfrm>
                        <a:prstGeom prst="rect">
                          <a:avLst/>
                        </a:prstGeom>
                        <a:noFill/>
                      </wps:spPr>
                      <wps:txbx>
                        <w:txbxContent>
                          <w:p>
                            <w:pPr>
                              <w:jc w:val="distribute"/>
                              <w:rPr>
                                <w:rFonts w:ascii="思源黑体 CN Heavy" w:hAnsi="思源黑体 CN Heavy" w:eastAsia="思源黑体 CN Heavy"/>
                                <w:color w:val="A6A6A6" w:themeColor="background1" w:themeShade="A6"/>
                                <w:kern w:val="0"/>
                                <w:sz w:val="40"/>
                                <w:szCs w:val="40"/>
                              </w:rPr>
                            </w:pPr>
                          </w:p>
                        </w:txbxContent>
                      </wps:txbx>
                      <wps:bodyPr wrap="square" rtlCol="0">
                        <a:noAutofit/>
                      </wps:bodyPr>
                    </wps:wsp>
                  </a:graphicData>
                </a:graphic>
              </wp:anchor>
            </w:drawing>
          </mc:Choice>
          <mc:Fallback>
            <w:pict>
              <v:shape id="文本框 33" o:spid="_x0000_s1026" o:spt="202" type="#_x0000_t202" style="position:absolute;left:0pt;margin-left:-19.95pt;margin-top:126.9pt;height:44.9pt;width:432.6pt;z-index:251660288;mso-width-relative:page;mso-height-relative:page;" filled="f" stroked="f" coordsize="21600,21600" o:gfxdata="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Wallr9gAAAALAQAADwAAAAAAAAABACAAAAAiAAAAZHJzL2Rvd25yZXYueG1sUEsB&#10;AhQAFAAAAAgAh07iQFu9ble8AQAAXwMAAA4AAAAAAAAAAQAgAAAAJwEAAGRycy9lMm9Eb2MueG1s&#10;UEsFBgAAAAAGAAYAWQEAAFUFAAAAAA==&#10;">
                <v:fill on="f" focussize="0,0"/>
                <v:stroke on="f"/>
                <v:imagedata o:title=""/>
                <o:lock v:ext="edit" aspectratio="f"/>
                <v:textbox>
                  <w:txbxContent>
                    <w:p>
                      <w:pPr>
                        <w:jc w:val="distribute"/>
                        <w:rPr>
                          <w:rFonts w:ascii="思源黑体 CN Heavy" w:hAnsi="思源黑体 CN Heavy" w:eastAsia="思源黑体 CN Heavy"/>
                          <w:color w:val="A6A6A6" w:themeColor="background1" w:themeShade="A6"/>
                          <w:kern w:val="0"/>
                          <w:sz w:val="40"/>
                          <w:szCs w:val="40"/>
                        </w:rPr>
                      </w:pPr>
                    </w:p>
                  </w:txbxContent>
                </v:textbox>
              </v:shape>
            </w:pict>
          </mc:Fallback>
        </mc:AlternateContent>
      </w: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rPr>
          <w:rFonts w:hint="eastAsia"/>
        </w:rPr>
      </w:pPr>
    </w:p>
    <w:p>
      <w:pPr>
        <w:spacing w:line="600" w:lineRule="auto"/>
        <w:jc w:val="left"/>
        <w:rPr>
          <w:rFonts w:hint="eastAsia" w:ascii="楷体_GB2312" w:hAnsi="楷体_GB2312" w:eastAsia="楷体_GB2312" w:cs="楷体_GB2312"/>
          <w:color w:val="000000"/>
          <w:sz w:val="40"/>
          <w:szCs w:val="40"/>
          <w:lang w:val="en-US" w:eastAsia="zh-CN"/>
        </w:rPr>
      </w:pPr>
      <w:r>
        <w:rPr>
          <w:rFonts w:hint="eastAsia" w:ascii="黑体" w:hAnsi="黑体" w:eastAsia="黑体" w:cs="黑体"/>
          <w:color w:val="000000"/>
          <w:sz w:val="40"/>
          <w:szCs w:val="40"/>
        </w:rPr>
        <w:t>预算代码</w:t>
      </w:r>
      <w:r>
        <w:rPr>
          <w:rFonts w:hint="eastAsia" w:ascii="楷体_GB2312" w:hAnsi="楷体_GB2312" w:eastAsia="楷体_GB2312" w:cs="楷体_GB2312"/>
          <w:color w:val="000000"/>
          <w:sz w:val="40"/>
          <w:szCs w:val="40"/>
        </w:rPr>
        <w:t>：</w:t>
      </w:r>
      <w:r>
        <w:rPr>
          <w:rFonts w:hint="eastAsia" w:ascii="楷体_GB2312" w:hAnsi="楷体_GB2312" w:eastAsia="楷体_GB2312" w:cs="楷体_GB2312"/>
          <w:color w:val="000000"/>
          <w:sz w:val="40"/>
          <w:szCs w:val="40"/>
          <w:lang w:val="en-US" w:eastAsia="zh-CN"/>
        </w:rPr>
        <w:t>359001</w:t>
      </w:r>
    </w:p>
    <w:p>
      <w:pPr>
        <w:spacing w:line="600" w:lineRule="auto"/>
        <w:jc w:val="left"/>
        <w:rPr>
          <w:rFonts w:ascii="楷体_GB2312" w:hAnsi="楷体_GB2312" w:eastAsia="楷体_GB2312" w:cs="楷体_GB2312"/>
          <w:color w:val="000000"/>
          <w:sz w:val="40"/>
          <w:szCs w:val="40"/>
        </w:rPr>
      </w:pPr>
      <w:r>
        <w:rPr>
          <w:rFonts w:hint="eastAsia" w:ascii="黑体" w:hAnsi="黑体" w:eastAsia="黑体" w:cs="黑体"/>
          <w:color w:val="000000"/>
          <w:sz w:val="40"/>
          <w:szCs w:val="40"/>
        </w:rPr>
        <w:t>单位名称</w:t>
      </w:r>
      <w:r>
        <w:rPr>
          <w:rFonts w:hint="eastAsia" w:ascii="楷体_GB2312" w:hAnsi="楷体_GB2312" w:eastAsia="楷体_GB2312" w:cs="楷体_GB2312"/>
          <w:color w:val="000000"/>
          <w:sz w:val="40"/>
          <w:szCs w:val="40"/>
        </w:rPr>
        <w:t>：石家庄广播电视台(本级)</w:t>
      </w:r>
    </w:p>
    <w:p>
      <w:pPr>
        <w:spacing w:line="600" w:lineRule="auto"/>
        <w:jc w:val="left"/>
        <w:rPr>
          <w:rFonts w:hint="default" w:ascii="楷体_GB2312" w:hAnsi="楷体_GB2312" w:eastAsia="楷体_GB2312" w:cs="楷体_GB2312"/>
          <w:color w:val="000000"/>
          <w:sz w:val="40"/>
          <w:szCs w:val="40"/>
          <w:lang w:val="en-US" w:eastAsia="zh-CN"/>
        </w:rPr>
      </w:pPr>
    </w:p>
    <w:p>
      <w:pPr>
        <w:spacing w:line="600" w:lineRule="auto"/>
        <w:jc w:val="center"/>
        <w:rPr>
          <w:rFonts w:hint="eastAsia" w:ascii="楷体_GB2312" w:hAnsi="楷体_GB2312" w:eastAsia="楷体_GB2312" w:cs="楷体_GB2312"/>
          <w:color w:val="000000"/>
          <w:sz w:val="40"/>
          <w:szCs w:val="40"/>
        </w:rPr>
      </w:pPr>
    </w:p>
    <w:p>
      <w:pPr>
        <w:spacing w:line="600" w:lineRule="auto"/>
        <w:jc w:val="center"/>
        <w:rPr>
          <w:rFonts w:hint="eastAsia" w:ascii="楷体_GB2312" w:hAnsi="楷体_GB2312" w:eastAsia="楷体_GB2312" w:cs="楷体_GB2312"/>
          <w:color w:val="000000"/>
          <w:sz w:val="40"/>
          <w:szCs w:val="40"/>
        </w:rPr>
      </w:pPr>
    </w:p>
    <w:p>
      <w:pPr>
        <w:spacing w:line="600" w:lineRule="auto"/>
        <w:jc w:val="both"/>
        <w:rPr>
          <w:rFonts w:hint="eastAsia" w:ascii="楷体_GB2312" w:hAnsi="楷体_GB2312" w:eastAsia="楷体_GB2312" w:cs="楷体_GB2312"/>
          <w:color w:val="000000"/>
          <w:sz w:val="40"/>
          <w:szCs w:val="40"/>
        </w:rPr>
      </w:pPr>
    </w:p>
    <w:p>
      <w:pPr>
        <w:spacing w:line="600" w:lineRule="auto"/>
        <w:jc w:val="center"/>
        <w:rPr>
          <w:rFonts w:hint="eastAsia" w:ascii="楷体_GB2312" w:hAnsi="楷体_GB2312" w:eastAsia="楷体_GB2312" w:cs="楷体_GB2312"/>
          <w:color w:val="000000"/>
          <w:sz w:val="40"/>
          <w:szCs w:val="40"/>
        </w:rPr>
      </w:pPr>
      <w:r>
        <w:rPr>
          <w:rFonts w:hint="eastAsia" w:ascii="楷体_GB2312" w:hAnsi="楷体_GB2312" w:eastAsia="楷体_GB2312" w:cs="楷体_GB2312"/>
          <w:color w:val="000000"/>
          <w:sz w:val="40"/>
          <w:szCs w:val="40"/>
        </w:rPr>
        <w:t>二〇二四年</w:t>
      </w:r>
      <w:r>
        <w:rPr>
          <w:rFonts w:hint="eastAsia" w:ascii="楷体_GB2312" w:hAnsi="楷体_GB2312" w:eastAsia="楷体_GB2312" w:cs="楷体_GB2312"/>
          <w:color w:val="000000"/>
          <w:sz w:val="40"/>
          <w:szCs w:val="40"/>
          <w:lang w:eastAsia="zh-CN"/>
        </w:rPr>
        <w:t>九</w:t>
      </w:r>
      <w:r>
        <w:rPr>
          <w:rFonts w:hint="eastAsia" w:ascii="楷体_GB2312" w:hAnsi="楷体_GB2312" w:eastAsia="楷体_GB2312" w:cs="楷体_GB2312"/>
          <w:color w:val="000000"/>
          <w:sz w:val="40"/>
          <w:szCs w:val="40"/>
        </w:rPr>
        <w:t>月</w:t>
      </w:r>
    </w:p>
    <w:p>
      <w:pPr>
        <w:rPr>
          <w:rFonts w:hint="eastAsia" w:ascii="楷体_GB2312" w:hAnsi="楷体_GB2312" w:eastAsia="楷体_GB2312" w:cs="楷体_GB2312"/>
          <w:color w:val="000000"/>
          <w:sz w:val="40"/>
          <w:szCs w:val="40"/>
        </w:rPr>
      </w:pPr>
      <w:r>
        <w:rPr>
          <w:rFonts w:hint="eastAsia" w:ascii="楷体_GB2312" w:hAnsi="楷体_GB2312" w:eastAsia="楷体_GB2312" w:cs="楷体_GB2312"/>
          <w:color w:val="000000"/>
          <w:sz w:val="40"/>
          <w:szCs w:val="40"/>
        </w:rPr>
        <w:br w:type="page"/>
      </w:r>
    </w:p>
    <w:p>
      <w:pPr>
        <w:spacing w:line="600" w:lineRule="auto"/>
        <w:jc w:val="center"/>
        <w:rPr>
          <w:rFonts w:hint="eastAsia" w:ascii="楷体_GB2312" w:hAnsi="楷体_GB2312" w:eastAsia="楷体_GB2312" w:cs="楷体_GB2312"/>
          <w:color w:val="000000"/>
          <w:sz w:val="40"/>
          <w:szCs w:val="40"/>
        </w:rPr>
      </w:pPr>
    </w:p>
    <w:p>
      <w:pPr>
        <w:rPr>
          <w:rFonts w:hint="eastAsia" w:ascii="黑体" w:hAnsi="黑体" w:eastAsia="黑体" w:cs="黑体"/>
          <w:b/>
          <w:bCs/>
          <w:sz w:val="32"/>
          <w:szCs w:val="36"/>
          <w:highlight w:val="yellow"/>
        </w:rPr>
      </w:pPr>
    </w:p>
    <w:p>
      <w:pPr>
        <w:rPr>
          <w:rFonts w:ascii="黑体" w:hAnsi="黑体" w:eastAsia="黑体" w:cs="黑体"/>
          <w:b/>
          <w:bCs/>
          <w:sz w:val="72"/>
          <w:szCs w:val="96"/>
        </w:rPr>
      </w:pPr>
    </w:p>
    <w:p>
      <w:pPr>
        <w:rPr>
          <w:rFonts w:ascii="黑体" w:hAnsi="黑体" w:eastAsia="黑体" w:cs="黑体"/>
          <w:b/>
          <w:bCs/>
          <w:sz w:val="72"/>
          <w:szCs w:val="96"/>
        </w:rPr>
      </w:pPr>
    </w:p>
    <w:p>
      <w:pPr>
        <w:rPr>
          <w:rFonts w:ascii="黑体" w:hAnsi="黑体" w:eastAsia="黑体" w:cs="黑体"/>
          <w:b/>
          <w:bCs/>
          <w:sz w:val="72"/>
          <w:szCs w:val="96"/>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bCs/>
          <w:spacing w:val="-20"/>
          <w:sz w:val="72"/>
          <w:szCs w:val="96"/>
        </w:rPr>
      </w:pPr>
      <w:r>
        <w:rPr>
          <w:rFonts w:hint="eastAsia" w:ascii="黑体" w:hAnsi="黑体" w:eastAsia="黑体" w:cs="黑体"/>
          <w:b/>
          <w:bCs/>
          <w:spacing w:val="-20"/>
          <w:sz w:val="72"/>
          <w:szCs w:val="96"/>
        </w:rPr>
        <w:t>2023年度</w:t>
      </w:r>
      <w:r>
        <w:rPr>
          <w:rFonts w:hint="eastAsia" w:ascii="黑体" w:hAnsi="宋体" w:eastAsia="黑体" w:cs="黑体"/>
          <w:i w:val="0"/>
          <w:iCs w:val="0"/>
          <w:caps w:val="0"/>
          <w:color w:val="000000"/>
          <w:spacing w:val="-20"/>
          <w:sz w:val="72"/>
          <w:szCs w:val="72"/>
          <w:highlight w:val="none"/>
          <w:shd w:val="clear" w:fill="FFFFFF"/>
          <w:lang w:eastAsia="zh-CN"/>
        </w:rPr>
        <w:t>单位</w:t>
      </w:r>
      <w:r>
        <w:rPr>
          <w:rFonts w:hint="eastAsia" w:ascii="黑体" w:hAnsi="黑体" w:eastAsia="黑体" w:cs="黑体"/>
          <w:b/>
          <w:bCs/>
          <w:spacing w:val="-20"/>
          <w:sz w:val="72"/>
          <w:szCs w:val="96"/>
        </w:rPr>
        <w:t>决算</w:t>
      </w:r>
    </w:p>
    <w:p>
      <w:pPr>
        <w:keepNext w:val="0"/>
        <w:keepLines w:val="0"/>
        <w:pageBreakBefore w:val="0"/>
        <w:widowControl w:val="0"/>
        <w:kinsoku/>
        <w:wordWrap/>
        <w:overflowPunct/>
        <w:topLinePunct w:val="0"/>
        <w:autoSpaceDE/>
        <w:autoSpaceDN/>
        <w:bidi w:val="0"/>
        <w:adjustRightInd/>
        <w:snapToGrid/>
        <w:jc w:val="center"/>
        <w:textAlignment w:val="auto"/>
        <w:rPr>
          <w:rFonts w:ascii="黑体" w:hAnsi="黑体" w:eastAsia="黑体" w:cs="黑体"/>
          <w:b/>
          <w:bCs/>
          <w:spacing w:val="-20"/>
          <w:sz w:val="72"/>
          <w:szCs w:val="96"/>
        </w:rPr>
      </w:pPr>
      <w:r>
        <w:rPr>
          <w:rFonts w:hint="eastAsia" w:ascii="黑体" w:hAnsi="黑体" w:eastAsia="黑体" w:cs="黑体"/>
          <w:b/>
          <w:bCs/>
          <w:spacing w:val="-20"/>
          <w:sz w:val="72"/>
          <w:szCs w:val="96"/>
        </w:rPr>
        <w:t>公开文本</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hAnsi="黑体" w:eastAsia="黑体" w:cs="黑体"/>
          <w:spacing w:val="-20"/>
          <w:sz w:val="56"/>
          <w:szCs w:val="72"/>
        </w:rPr>
      </w:pPr>
    </w:p>
    <w:p>
      <w:pPr>
        <w:spacing w:line="600" w:lineRule="auto"/>
        <w:jc w:val="center"/>
        <w:rPr>
          <w:rFonts w:ascii="黑体" w:hAnsi="黑体" w:eastAsia="黑体" w:cs="黑体"/>
          <w:sz w:val="56"/>
          <w:szCs w:val="72"/>
        </w:rPr>
      </w:pPr>
    </w:p>
    <w:p>
      <w:pPr>
        <w:spacing w:line="600" w:lineRule="auto"/>
        <w:jc w:val="center"/>
        <w:rPr>
          <w:rFonts w:ascii="黑体" w:hAnsi="黑体" w:eastAsia="黑体" w:cs="黑体"/>
          <w:sz w:val="56"/>
          <w:szCs w:val="72"/>
        </w:rPr>
      </w:pPr>
    </w:p>
    <w:p>
      <w:pPr>
        <w:spacing w:line="480" w:lineRule="auto"/>
        <w:jc w:val="both"/>
        <w:rPr>
          <w:rFonts w:ascii="黑体" w:hAnsi="黑体" w:eastAsia="黑体" w:cs="黑体"/>
          <w:sz w:val="56"/>
          <w:szCs w:val="72"/>
        </w:rPr>
      </w:pPr>
    </w:p>
    <w:p>
      <w:pPr>
        <w:snapToGrid w:val="0"/>
        <w:jc w:val="center"/>
        <w:rPr>
          <w:rFonts w:hint="eastAsia" w:ascii="楷体_GB2312" w:hAnsi="楷体_GB2312" w:eastAsia="楷体_GB2312" w:cs="楷体_GB2312"/>
          <w:color w:val="000000" w:themeColor="text1"/>
          <w:kern w:val="0"/>
          <w:sz w:val="44"/>
          <w:szCs w:val="44"/>
          <w:lang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pPr>
      <w:r>
        <w:rPr>
          <w:rFonts w:hint="eastAsia" w:ascii="楷体_GB2312" w:hAnsi="楷体_GB2312" w:eastAsia="楷体_GB2312" w:cs="楷体_GB2312"/>
          <w:color w:val="000000" w:themeColor="text1"/>
          <w:kern w:val="0"/>
          <w:sz w:val="44"/>
          <w:szCs w:val="44"/>
          <w:lang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石家庄广播电视台</w:t>
      </w:r>
    </w:p>
    <w:p>
      <w:pPr>
        <w:snapToGrid w:val="0"/>
        <w:jc w:val="center"/>
        <w:rPr>
          <w:rFonts w:ascii="楷体_GB2312" w:hAnsi="楷体_GB2312" w:eastAsia="楷体_GB2312" w:cs="楷体_GB2312"/>
          <w:color w:val="000000" w:themeColor="text1"/>
          <w:kern w:val="0"/>
          <w:sz w:val="44"/>
          <w:szCs w:val="4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sectPr>
          <w:footerReference r:id="rId3" w:type="default"/>
          <w:pgSz w:w="11906" w:h="16838"/>
          <w:pgMar w:top="1531" w:right="1984" w:bottom="1531" w:left="2098" w:header="851" w:footer="992" w:gutter="0"/>
          <w:cols w:space="720" w:num="1"/>
          <w:docGrid w:type="lines" w:linePitch="312" w:charSpace="0"/>
        </w:sectPr>
      </w:pPr>
      <w:r>
        <w:rPr>
          <w:rFonts w:hint="eastAsia" w:ascii="楷体_GB2312" w:hAnsi="楷体_GB2312" w:eastAsia="楷体_GB2312" w:cs="楷体_GB2312"/>
          <w:color w:val="000000" w:themeColor="text1"/>
          <w:kern w:val="0"/>
          <w:sz w:val="44"/>
          <w:szCs w:val="4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二〇二四年</w:t>
      </w:r>
      <w:r>
        <w:rPr>
          <w:rFonts w:hint="eastAsia" w:ascii="楷体_GB2312" w:hAnsi="楷体_GB2312" w:eastAsia="楷体_GB2312" w:cs="楷体_GB2312"/>
          <w:color w:val="000000" w:themeColor="text1"/>
          <w:kern w:val="0"/>
          <w:sz w:val="44"/>
          <w:szCs w:val="44"/>
          <w:lang w:eastAsia="zh-CN"/>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九</w:t>
      </w:r>
      <w:r>
        <w:rPr>
          <w:rFonts w:hint="eastAsia" w:ascii="楷体_GB2312" w:hAnsi="楷体_GB2312" w:eastAsia="楷体_GB2312" w:cs="楷体_GB2312"/>
          <w:color w:val="000000" w:themeColor="text1"/>
          <w:kern w:val="0"/>
          <w:sz w:val="44"/>
          <w:szCs w:val="44"/>
          <w14:shadow w14:blurRad="38100" w14:dist="19050" w14:dir="2700000" w14:sx="100000" w14:sy="100000" w14:kx="0" w14:ky="0" w14:algn="tl">
            <w14:schemeClr w14:val="dk1">
              <w14:alpha w14:val="60000"/>
            </w14:schemeClr>
          </w14:shadow>
          <w14:textFill>
            <w14:solidFill>
              <w14:schemeClr w14:val="tx1"/>
            </w14:solidFill>
          </w14:textFill>
          <w14:props3d w14:extrusionH="0" w14:contourW="0" w14:prstMaterial="clear"/>
        </w:rPr>
        <w:t>月</w:t>
      </w:r>
    </w:p>
    <w:p>
      <w:pPr>
        <w:tabs>
          <w:tab w:val="left" w:pos="2728"/>
        </w:tabs>
        <w:jc w:val="center"/>
        <w:rPr>
          <w:rFonts w:ascii="黑体" w:hAnsi="Times New Roman" w:eastAsia="黑体" w:cs="Times New Roman"/>
          <w:sz w:val="48"/>
          <w:szCs w:val="48"/>
        </w:rPr>
      </w:pPr>
    </w:p>
    <w:p>
      <w:pPr>
        <w:tabs>
          <w:tab w:val="left" w:pos="2728"/>
        </w:tabs>
        <w:jc w:val="center"/>
        <w:rPr>
          <w:rFonts w:ascii="黑体" w:hAnsi="Times New Roman" w:eastAsia="黑体" w:cs="Times New Roman"/>
          <w:sz w:val="44"/>
          <w:szCs w:val="44"/>
        </w:rPr>
      </w:pPr>
      <w:r>
        <w:rPr>
          <w:rFonts w:hint="eastAsia" w:ascii="黑体" w:hAnsi="Times New Roman" w:eastAsia="黑体" w:cs="Times New Roman"/>
          <w:sz w:val="44"/>
          <w:szCs w:val="44"/>
        </w:rPr>
        <w:t>目    录</w:t>
      </w:r>
    </w:p>
    <w:p>
      <w:pPr>
        <w:widowControl/>
        <w:spacing w:after="160" w:line="580" w:lineRule="exact"/>
        <w:ind w:firstLine="640" w:firstLineChars="200"/>
        <w:rPr>
          <w:rFonts w:ascii="Times New Roman" w:hAnsi="Times New Roman" w:eastAsia="黑体" w:cs="Times New Roman"/>
          <w:sz w:val="32"/>
          <w:szCs w:val="32"/>
        </w:rPr>
      </w:pPr>
    </w:p>
    <w:p>
      <w:pPr>
        <w:widowControl/>
        <w:spacing w:after="160" w:line="580" w:lineRule="exact"/>
        <w:ind w:firstLine="1273" w:firstLineChars="398"/>
        <w:rPr>
          <w:rFonts w:hint="eastAsia" w:ascii="Times New Roman" w:hAnsi="Times New Roman" w:eastAsia="仿宋_GB2312" w:cs="Times New Roman"/>
          <w:sz w:val="32"/>
          <w:szCs w:val="32"/>
        </w:rPr>
      </w:pPr>
      <w:r>
        <w:rPr>
          <w:rFonts w:ascii="Times New Roman" w:hAnsi="Times New Roman" w:eastAsia="黑体" w:cs="Times New Roman"/>
          <w:sz w:val="32"/>
          <w:szCs w:val="32"/>
        </w:rPr>
        <w:t xml:space="preserve">第一部分   </w:t>
      </w:r>
      <w:r>
        <w:rPr>
          <w:rFonts w:hint="eastAsia" w:ascii="Times New Roman" w:hAnsi="Times New Roman" w:eastAsia="黑体" w:cs="Times New Roman"/>
          <w:sz w:val="32"/>
          <w:szCs w:val="32"/>
          <w:lang w:eastAsia="zh-CN"/>
        </w:rPr>
        <w:t>单位</w:t>
      </w:r>
      <w:r>
        <w:rPr>
          <w:rFonts w:hint="eastAsia" w:ascii="Times New Roman" w:hAnsi="Times New Roman" w:eastAsia="黑体" w:cs="Times New Roman"/>
          <w:sz w:val="32"/>
          <w:szCs w:val="32"/>
        </w:rPr>
        <w:t>概况</w:t>
      </w:r>
    </w:p>
    <w:p>
      <w:pPr>
        <w:widowControl/>
        <w:spacing w:after="160" w:line="580" w:lineRule="exact"/>
        <w:ind w:firstLine="1273" w:firstLineChars="398"/>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w:t>
      </w:r>
      <w:r>
        <w:rPr>
          <w:rFonts w:hint="eastAsia" w:ascii="Times New Roman" w:hAnsi="Times New Roman" w:eastAsia="仿宋_GB2312" w:cs="Times New Roman"/>
          <w:sz w:val="32"/>
          <w:szCs w:val="32"/>
          <w:lang w:eastAsia="zh-CN"/>
        </w:rPr>
        <w:t>单位</w:t>
      </w:r>
      <w:r>
        <w:rPr>
          <w:rFonts w:hint="eastAsia" w:ascii="Times New Roman" w:hAnsi="Times New Roman" w:eastAsia="仿宋_GB2312" w:cs="Times New Roman"/>
          <w:sz w:val="32"/>
          <w:szCs w:val="32"/>
        </w:rPr>
        <w:t>职责</w:t>
      </w:r>
    </w:p>
    <w:p>
      <w:pPr>
        <w:widowControl/>
        <w:spacing w:after="160" w:line="580" w:lineRule="exact"/>
        <w:ind w:firstLine="1273" w:firstLineChars="398"/>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机构设置</w:t>
      </w:r>
    </w:p>
    <w:p>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第二部分</w:t>
      </w:r>
      <w:r>
        <w:rPr>
          <w:rFonts w:hint="eastAsia" w:ascii="Times New Roman" w:hAnsi="Times New Roman" w:eastAsia="黑体" w:cs="Times New Roman"/>
          <w:sz w:val="32"/>
          <w:szCs w:val="32"/>
        </w:rPr>
        <w:t xml:space="preserve">   2023年</w:t>
      </w:r>
      <w:r>
        <w:rPr>
          <w:rFonts w:ascii="Times New Roman" w:hAnsi="Times New Roman" w:eastAsia="黑体" w:cs="Times New Roman"/>
          <w:sz w:val="32"/>
          <w:szCs w:val="32"/>
        </w:rPr>
        <w:t>度部门决算报表</w:t>
      </w:r>
    </w:p>
    <w:p>
      <w:pPr>
        <w:widowControl/>
        <w:spacing w:after="160" w:line="580" w:lineRule="exact"/>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rPr>
        <w:t>收入支出决算总表</w:t>
      </w:r>
    </w:p>
    <w:p>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w:t>
      </w:r>
      <w:r>
        <w:rPr>
          <w:rFonts w:hint="eastAsia" w:ascii="Times New Roman" w:hAnsi="Times New Roman" w:eastAsia="仿宋_GB2312" w:cs="Times New Roman"/>
          <w:sz w:val="32"/>
          <w:szCs w:val="32"/>
        </w:rPr>
        <w:t>表</w:t>
      </w:r>
    </w:p>
    <w:p>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w:t>
      </w:r>
      <w:r>
        <w:rPr>
          <w:rFonts w:hint="eastAsia" w:ascii="Times New Roman" w:hAnsi="Times New Roman" w:eastAsia="仿宋_GB2312" w:cs="Times New Roman"/>
          <w:sz w:val="32"/>
          <w:szCs w:val="32"/>
        </w:rPr>
        <w:t>表</w:t>
      </w:r>
    </w:p>
    <w:p>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w:t>
      </w:r>
      <w:r>
        <w:rPr>
          <w:rFonts w:hint="eastAsia" w:ascii="Times New Roman" w:hAnsi="Times New Roman" w:eastAsia="仿宋_GB2312" w:cs="Times New Roman"/>
          <w:sz w:val="32"/>
          <w:szCs w:val="32"/>
        </w:rPr>
        <w:t>财政拨款收入支出决算总表</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五、一般公共预算财政拨款支出决算表</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六、一般公共预算财政拨款基本支出决算明细表</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七、政府性基金预算财政拨款收入支出决算表</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八</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国有资本经营预算财政拨款支出决算表</w:t>
      </w:r>
    </w:p>
    <w:p>
      <w:pPr>
        <w:widowControl/>
        <w:spacing w:after="160" w:line="580" w:lineRule="exact"/>
        <w:ind w:left="640" w:firstLine="640" w:firstLineChars="200"/>
        <w:rPr>
          <w:rFonts w:ascii="Times New Roman" w:hAnsi="Times New Roman" w:eastAsia="仿宋_GB2312" w:cs="Times New Roman"/>
          <w:sz w:val="20"/>
          <w:szCs w:val="32"/>
        </w:rPr>
      </w:pPr>
      <w:r>
        <w:rPr>
          <w:rFonts w:hint="eastAsia" w:ascii="Times New Roman" w:hAnsi="Times New Roman" w:eastAsia="仿宋_GB2312" w:cs="Times New Roman"/>
          <w:sz w:val="32"/>
          <w:szCs w:val="32"/>
        </w:rPr>
        <w:t>九、财政拨款“三公”经费支出决算表</w:t>
      </w:r>
    </w:p>
    <w:p>
      <w:pPr>
        <w:widowControl/>
        <w:spacing w:after="160"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 xml:space="preserve">第三部分   </w:t>
      </w:r>
      <w:r>
        <w:rPr>
          <w:rFonts w:hint="eastAsia" w:ascii="Times New Roman" w:hAnsi="Times New Roman" w:eastAsia="黑体" w:cs="Times New Roman"/>
          <w:sz w:val="32"/>
          <w:szCs w:val="32"/>
        </w:rPr>
        <w:t>2023年度</w:t>
      </w:r>
      <w:r>
        <w:rPr>
          <w:rFonts w:ascii="Times New Roman" w:hAnsi="Times New Roman" w:eastAsia="黑体" w:cs="Times New Roman"/>
          <w:sz w:val="32"/>
          <w:szCs w:val="32"/>
        </w:rPr>
        <w:t>部门决算情况说明</w:t>
      </w:r>
    </w:p>
    <w:p>
      <w:pPr>
        <w:widowControl/>
        <w:spacing w:after="160" w:line="580" w:lineRule="exact"/>
        <w:ind w:firstLine="1280" w:firstLineChars="4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int="eastAsia" w:ascii="Times New Roman" w:hAnsi="Times New Roman" w:eastAsia="仿宋_GB2312" w:cs="Times New Roman"/>
          <w:sz w:val="32"/>
          <w:szCs w:val="32"/>
        </w:rPr>
        <w:t>收入支出决算总体情况说明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四、财政拨款收入支出决算总体情况说明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五、财政拨款“三公” 经费支出决算情况说明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六、机关运行经费支出说明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七、政府采购支出说明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八、国有资产占用情况说明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九、预算绩效情况说明</w:t>
      </w:r>
    </w:p>
    <w:p>
      <w:pPr>
        <w:widowControl/>
        <w:spacing w:after="160" w:line="580" w:lineRule="exact"/>
        <w:ind w:left="640"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十、其他需要说明的情况</w:t>
      </w:r>
    </w:p>
    <w:p>
      <w:pPr>
        <w:widowControl/>
        <w:spacing w:after="160" w:line="580" w:lineRule="exact"/>
        <w:ind w:firstLine="640" w:firstLineChars="200"/>
        <w:rPr>
          <w:rFonts w:ascii="Times New Roman" w:hAnsi="Times New Roman" w:eastAsia="黑体" w:cs="Times New Roman"/>
          <w:sz w:val="32"/>
          <w:szCs w:val="32"/>
        </w:rPr>
        <w:sectPr>
          <w:headerReference r:id="rId5" w:type="first"/>
          <w:footerReference r:id="rId7" w:type="first"/>
          <w:headerReference r:id="rId4" w:type="default"/>
          <w:footerReference r:id="rId6" w:type="default"/>
          <w:pgSz w:w="11906" w:h="16838"/>
          <w:pgMar w:top="1474" w:right="1531" w:bottom="1474" w:left="1531" w:header="851" w:footer="992" w:gutter="0"/>
          <w:cols w:space="0" w:num="1"/>
          <w:titlePg/>
          <w:docGrid w:type="lines" w:linePitch="312" w:charSpace="0"/>
        </w:sect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四</w:t>
      </w:r>
      <w:r>
        <w:rPr>
          <w:rFonts w:ascii="Times New Roman" w:hAnsi="Times New Roman" w:eastAsia="黑体" w:cs="Times New Roman"/>
          <w:sz w:val="32"/>
          <w:szCs w:val="32"/>
        </w:rPr>
        <w:t>部分</w:t>
      </w:r>
      <w:r>
        <w:rPr>
          <w:rFonts w:hint="eastAsia" w:ascii="Times New Roman" w:hAnsi="Times New Roman" w:eastAsia="黑体" w:cs="Times New Roman"/>
          <w:sz w:val="32"/>
          <w:szCs w:val="32"/>
        </w:rPr>
        <w:t xml:space="preserve">  </w:t>
      </w:r>
      <w:r>
        <w:rPr>
          <w:rFonts w:ascii="Times New Roman" w:hAnsi="Times New Roman" w:eastAsia="黑体" w:cs="Times New Roman"/>
          <w:sz w:val="32"/>
          <w:szCs w:val="32"/>
        </w:rPr>
        <w:t>名词解释</w:t>
      </w:r>
    </w:p>
    <w:p>
      <w:pPr>
        <w:rPr>
          <w:rFonts w:hint="default" w:ascii="Arial" w:hAnsi="Arial" w:eastAsia="Arial" w:cs="Arial"/>
          <w:i w:val="0"/>
          <w:iCs w:val="0"/>
          <w:caps w:val="0"/>
          <w:color w:val="000000"/>
          <w:spacing w:val="0"/>
          <w:sz w:val="18"/>
          <w:szCs w:val="18"/>
          <w:highlight w:val="none"/>
          <w:shd w:val="clear" w:fill="FFFFFF"/>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sz w:val="18"/>
          <w:szCs w:val="18"/>
          <w:highlight w:val="none"/>
          <w:shd w:val="clear" w:fill="FFFFFF"/>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宋体" w:eastAsia="黑体" w:cs="黑体"/>
          <w:i w:val="0"/>
          <w:iCs w:val="0"/>
          <w:caps w:val="0"/>
          <w:color w:val="000000"/>
          <w:spacing w:val="0"/>
          <w:sz w:val="72"/>
          <w:szCs w:val="72"/>
          <w:highlight w:val="none"/>
          <w:shd w:val="clear" w:fill="FFFFFF"/>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宋体" w:eastAsia="黑体" w:cs="黑体"/>
          <w:i w:val="0"/>
          <w:iCs w:val="0"/>
          <w:caps w:val="0"/>
          <w:color w:val="000000"/>
          <w:spacing w:val="0"/>
          <w:sz w:val="72"/>
          <w:szCs w:val="72"/>
          <w:highlight w:val="none"/>
          <w:shd w:val="clear" w:fill="FFFFFF"/>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黑体" w:hAnsi="宋体" w:eastAsia="黑体" w:cs="黑体"/>
          <w:i w:val="0"/>
          <w:iCs w:val="0"/>
          <w:caps w:val="0"/>
          <w:color w:val="000000"/>
          <w:spacing w:val="0"/>
          <w:sz w:val="72"/>
          <w:szCs w:val="72"/>
          <w:highlight w:val="none"/>
          <w:shd w:val="clear" w:fill="FFFFFF"/>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eastAsia" w:ascii="黑体" w:hAnsi="宋体" w:eastAsia="黑体" w:cs="黑体"/>
          <w:i w:val="0"/>
          <w:iCs w:val="0"/>
          <w:caps w:val="0"/>
          <w:color w:val="000000"/>
          <w:spacing w:val="0"/>
          <w:sz w:val="72"/>
          <w:szCs w:val="72"/>
          <w:highlight w:val="none"/>
          <w:shd w:val="clear" w:fill="FFFFFF"/>
        </w:rPr>
        <w:t xml:space="preserve">第一部分  </w:t>
      </w:r>
      <w:r>
        <w:rPr>
          <w:rFonts w:hint="eastAsia" w:ascii="黑体" w:hAnsi="宋体" w:eastAsia="黑体" w:cs="黑体"/>
          <w:i w:val="0"/>
          <w:iCs w:val="0"/>
          <w:caps w:val="0"/>
          <w:color w:val="000000"/>
          <w:spacing w:val="0"/>
          <w:sz w:val="72"/>
          <w:szCs w:val="72"/>
          <w:highlight w:val="none"/>
          <w:shd w:val="clear" w:fill="FFFFFF"/>
          <w:lang w:eastAsia="zh-CN"/>
        </w:rPr>
        <w:t>单位</w:t>
      </w:r>
      <w:r>
        <w:rPr>
          <w:rFonts w:hint="eastAsia" w:ascii="黑体" w:hAnsi="宋体" w:eastAsia="黑体" w:cs="黑体"/>
          <w:i w:val="0"/>
          <w:iCs w:val="0"/>
          <w:caps w:val="0"/>
          <w:color w:val="000000"/>
          <w:spacing w:val="0"/>
          <w:sz w:val="72"/>
          <w:szCs w:val="72"/>
          <w:highlight w:val="none"/>
          <w:shd w:val="clear" w:fill="FFFFFF"/>
        </w:rPr>
        <w:t>概况</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rPr>
          <w:rFonts w:hint="eastAsia" w:ascii="黑体" w:hAnsi="宋体" w:eastAsia="黑体" w:cs="黑体"/>
          <w:i w:val="0"/>
          <w:iCs w:val="0"/>
          <w:caps w:val="0"/>
          <w:color w:val="000000"/>
          <w:spacing w:val="0"/>
          <w:sz w:val="33"/>
          <w:szCs w:val="33"/>
          <w:highlight w:val="none"/>
          <w:shd w:val="clear" w:fill="FFFFFF"/>
        </w:rPr>
      </w:pPr>
      <w:r>
        <w:rPr>
          <w:rFonts w:hint="eastAsia" w:ascii="黑体" w:hAnsi="宋体" w:eastAsia="黑体" w:cs="黑体"/>
          <w:i w:val="0"/>
          <w:iCs w:val="0"/>
          <w:caps w:val="0"/>
          <w:color w:val="000000"/>
          <w:spacing w:val="0"/>
          <w:sz w:val="33"/>
          <w:szCs w:val="33"/>
          <w:highlight w:val="none"/>
          <w:shd w:val="clear" w:fill="FFFFFF"/>
        </w:rPr>
        <w:br w:type="page"/>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outlineLvl w:val="1"/>
        <w:rPr>
          <w:rFonts w:hint="default" w:ascii="Arial" w:hAnsi="Arial" w:eastAsia="Arial" w:cs="Arial"/>
          <w:i w:val="0"/>
          <w:iCs w:val="0"/>
          <w:caps w:val="0"/>
          <w:color w:val="000000"/>
          <w:spacing w:val="0"/>
          <w:sz w:val="32"/>
          <w:szCs w:val="32"/>
          <w:highlight w:val="none"/>
        </w:rPr>
      </w:pPr>
      <w:r>
        <w:rPr>
          <w:rFonts w:hint="eastAsia" w:ascii="黑体" w:hAnsi="宋体" w:eastAsia="黑体" w:cs="黑体"/>
          <w:i w:val="0"/>
          <w:iCs w:val="0"/>
          <w:caps w:val="0"/>
          <w:color w:val="000000"/>
          <w:spacing w:val="0"/>
          <w:sz w:val="32"/>
          <w:szCs w:val="32"/>
          <w:highlight w:val="none"/>
          <w:shd w:val="clear" w:fill="FFFFFF"/>
        </w:rPr>
        <w:t>一、</w:t>
      </w:r>
      <w:r>
        <w:rPr>
          <w:rFonts w:hint="eastAsia" w:ascii="黑体" w:hAnsi="宋体" w:eastAsia="黑体" w:cs="黑体"/>
          <w:i w:val="0"/>
          <w:iCs w:val="0"/>
          <w:caps w:val="0"/>
          <w:color w:val="000000"/>
          <w:spacing w:val="0"/>
          <w:sz w:val="32"/>
          <w:szCs w:val="32"/>
          <w:highlight w:val="none"/>
          <w:shd w:val="clear" w:fill="FFFFFF"/>
          <w:lang w:eastAsia="zh-CN"/>
        </w:rPr>
        <w:t>单位</w:t>
      </w:r>
      <w:r>
        <w:rPr>
          <w:rFonts w:hint="eastAsia" w:ascii="黑体" w:hAnsi="宋体" w:eastAsia="黑体" w:cs="黑体"/>
          <w:i w:val="0"/>
          <w:iCs w:val="0"/>
          <w:caps w:val="0"/>
          <w:color w:val="000000"/>
          <w:spacing w:val="0"/>
          <w:sz w:val="32"/>
          <w:szCs w:val="32"/>
          <w:highlight w:val="none"/>
          <w:shd w:val="clear" w:fill="FFFFFF"/>
        </w:rPr>
        <w:t>职责</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keepNext w:val="0"/>
        <w:keepLines w:val="0"/>
        <w:pageBreakBefore w:val="0"/>
        <w:widowControl w:val="0"/>
        <w:kinsoku/>
        <w:wordWrap/>
        <w:overflowPunct/>
        <w:topLinePunct w:val="0"/>
        <w:autoSpaceDE w:val="0"/>
        <w:autoSpaceDN w:val="0"/>
        <w:bidi w:val="0"/>
        <w:adjustRightInd w:val="0"/>
        <w:snapToGrid/>
        <w:spacing w:line="240" w:lineRule="auto"/>
        <w:ind w:firstLine="640" w:firstLineChars="200"/>
        <w:jc w:val="left"/>
        <w:textAlignment w:val="auto"/>
        <w:outlineLvl w:val="9"/>
        <w:rPr>
          <w:rFonts w:hint="eastAsia" w:ascii="仿宋_GB2312" w:hAnsi="仿宋_GB2312" w:eastAsia="仿宋_GB2312" w:cs="仿宋_GB2312"/>
          <w:kern w:val="0"/>
          <w:sz w:val="32"/>
          <w:szCs w:val="32"/>
        </w:rPr>
      </w:pPr>
      <w:r>
        <w:rPr>
          <w:rFonts w:hint="eastAsia" w:ascii="仿宋_GB2312" w:hAnsi="仿宋_GB2312" w:eastAsia="仿宋_GB2312" w:cs="仿宋_GB2312"/>
          <w:color w:val="000000"/>
          <w:kern w:val="0"/>
          <w:sz w:val="32"/>
          <w:szCs w:val="32"/>
        </w:rPr>
        <w:t>石家庄广播电视台为市委直属正县级事业单位，实行事业体制。主要职责是：</w:t>
      </w:r>
      <w:r>
        <w:rPr>
          <w:rFonts w:hint="eastAsia" w:ascii="仿宋_GB2312" w:hAnsi="仿宋_GB2312" w:eastAsia="仿宋_GB2312" w:cs="仿宋_GB2312"/>
          <w:color w:val="000000"/>
          <w:kern w:val="0"/>
          <w:sz w:val="32"/>
          <w:szCs w:val="32"/>
          <w:lang w:eastAsia="zh-CN"/>
        </w:rPr>
        <w:t>宣传党的路线方针政策</w:t>
      </w:r>
      <w:r>
        <w:rPr>
          <w:rFonts w:hint="eastAsia" w:ascii="仿宋_GB2312" w:hAnsi="仿宋_GB2312" w:eastAsia="仿宋_GB2312" w:cs="仿宋_GB2312"/>
          <w:color w:val="000000"/>
          <w:kern w:val="0"/>
          <w:sz w:val="32"/>
          <w:szCs w:val="32"/>
        </w:rPr>
        <w:t>，牢牢把握正确舆论导向，大力发展广播电视事业，</w:t>
      </w:r>
      <w:r>
        <w:rPr>
          <w:rFonts w:hint="eastAsia" w:ascii="仿宋_GB2312" w:hAnsi="仿宋_GB2312" w:eastAsia="仿宋_GB2312" w:cs="仿宋_GB2312"/>
          <w:color w:val="000000"/>
          <w:kern w:val="0"/>
          <w:sz w:val="32"/>
          <w:szCs w:val="32"/>
          <w:lang w:eastAsia="zh-CN"/>
        </w:rPr>
        <w:t>促进社会经济文化发展</w:t>
      </w:r>
      <w:r>
        <w:rPr>
          <w:rFonts w:hint="eastAsia" w:ascii="仿宋_GB2312" w:hAnsi="仿宋_GB2312" w:eastAsia="仿宋_GB2312" w:cs="仿宋_GB2312"/>
          <w:color w:val="000000"/>
          <w:kern w:val="0"/>
          <w:sz w:val="32"/>
          <w:szCs w:val="32"/>
        </w:rPr>
        <w:t>。</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snapToGrid/>
        <w:spacing w:before="0" w:beforeAutospacing="0" w:after="0" w:afterAutospacing="0" w:line="240" w:lineRule="auto"/>
        <w:ind w:left="0" w:right="0" w:firstLine="640" w:firstLineChars="200"/>
        <w:jc w:val="left"/>
        <w:textAlignment w:val="auto"/>
        <w:rPr>
          <w:rFonts w:hint="eastAsia" w:ascii="仿宋_GB2312" w:hAnsi="仿宋_GB2312" w:eastAsia="仿宋_GB2312" w:cs="仿宋_GB2312"/>
          <w:i w:val="0"/>
          <w:iCs w:val="0"/>
          <w:caps w:val="0"/>
          <w:color w:val="auto"/>
          <w:spacing w:val="0"/>
          <w:sz w:val="32"/>
          <w:szCs w:val="32"/>
          <w:highlight w:val="yellow"/>
        </w:rPr>
      </w:pPr>
      <w:r>
        <w:rPr>
          <w:rFonts w:hint="eastAsia" w:ascii="仿宋_GB2312" w:hAnsi="仿宋_GB2312" w:eastAsia="仿宋_GB2312" w:cs="仿宋_GB2312"/>
          <w:color w:val="000000"/>
          <w:kern w:val="0"/>
          <w:sz w:val="32"/>
          <w:szCs w:val="32"/>
        </w:rPr>
        <w:t>石家庄广播电视台作为石家庄广电传媒集团有限公司的出资人，牢牢把握对公司重大事项的决策权、对资产配置的控制权、对宣传内容的审定权、对主要领导干部的任免权，确保广电国有资产保值增值。</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outlineLvl w:val="1"/>
        <w:rPr>
          <w:rFonts w:hint="default" w:ascii="Arial" w:hAnsi="Arial" w:eastAsia="Arial" w:cs="Arial"/>
          <w:i w:val="0"/>
          <w:iCs w:val="0"/>
          <w:caps w:val="0"/>
          <w:color w:val="000000"/>
          <w:spacing w:val="0"/>
          <w:sz w:val="32"/>
          <w:szCs w:val="32"/>
          <w:highlight w:val="none"/>
        </w:rPr>
      </w:pPr>
      <w:r>
        <w:rPr>
          <w:rFonts w:hint="eastAsia" w:ascii="黑体" w:hAnsi="宋体" w:eastAsia="黑体" w:cs="黑体"/>
          <w:i w:val="0"/>
          <w:iCs w:val="0"/>
          <w:caps w:val="0"/>
          <w:color w:val="000000"/>
          <w:spacing w:val="0"/>
          <w:sz w:val="32"/>
          <w:szCs w:val="32"/>
          <w:highlight w:val="none"/>
          <w:shd w:val="clear" w:fill="FFFFFF"/>
        </w:rPr>
        <w:t>二、机构设置</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i w:val="0"/>
          <w:iCs w:val="0"/>
          <w:caps w:val="0"/>
          <w:color w:val="auto"/>
          <w:spacing w:val="0"/>
          <w:sz w:val="32"/>
          <w:szCs w:val="32"/>
          <w:highlight w:val="none"/>
          <w:shd w:val="clear" w:fill="FFFFFF"/>
        </w:rPr>
      </w:pPr>
      <w:r>
        <w:rPr>
          <w:rFonts w:hint="eastAsia" w:ascii="仿宋_GB2312" w:hAnsi="仿宋_GB2312" w:eastAsia="仿宋_GB2312" w:cs="仿宋_GB2312"/>
          <w:kern w:val="0"/>
          <w:sz w:val="32"/>
          <w:szCs w:val="32"/>
        </w:rPr>
        <w:t>从决算编报单位构成看，纳入202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年度本</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 xml:space="preserve">决算汇编范围的独立核算单位（以下简称“单位”）共 </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 xml:space="preserve"> 个，具体情况如下：</w:t>
      </w:r>
    </w:p>
    <w:tbl>
      <w:tblPr>
        <w:tblStyle w:val="13"/>
        <w:tblpPr w:leftFromText="180" w:rightFromText="180" w:vertAnchor="text" w:horzAnchor="page" w:tblpXSpec="center" w:tblpY="10"/>
        <w:tblOverlap w:val="never"/>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485"/>
        <w:gridCol w:w="2445"/>
        <w:gridCol w:w="2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9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序号</w:t>
            </w:r>
          </w:p>
        </w:tc>
        <w:tc>
          <w:tcPr>
            <w:tcW w:w="348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单位名称</w:t>
            </w:r>
          </w:p>
        </w:tc>
        <w:tc>
          <w:tcPr>
            <w:tcW w:w="244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单位基本性质</w:t>
            </w:r>
          </w:p>
        </w:tc>
        <w:tc>
          <w:tcPr>
            <w:tcW w:w="2665" w:type="dxa"/>
            <w:vAlign w:val="center"/>
          </w:tcPr>
          <w:p>
            <w:pPr>
              <w:spacing w:line="560" w:lineRule="exact"/>
              <w:jc w:val="center"/>
              <w:rPr>
                <w:rFonts w:ascii="仿宋_GB2312" w:hAnsi="Calibri" w:eastAsia="仿宋_GB2312" w:cs="ArialUnicodeMS"/>
                <w:b/>
                <w:bCs/>
                <w:kern w:val="0"/>
                <w:sz w:val="28"/>
                <w:szCs w:val="28"/>
              </w:rPr>
            </w:pPr>
            <w:r>
              <w:rPr>
                <w:rFonts w:hint="eastAsia" w:ascii="仿宋_GB2312" w:hAnsi="Calibri" w:eastAsia="仿宋_GB2312" w:cs="ArialUnicodeMS"/>
                <w:b/>
                <w:bCs/>
                <w:kern w:val="0"/>
                <w:sz w:val="28"/>
                <w:szCs w:val="28"/>
              </w:rPr>
              <w:t>经费形式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98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1</w:t>
            </w:r>
          </w:p>
        </w:tc>
        <w:tc>
          <w:tcPr>
            <w:tcW w:w="3485" w:type="dxa"/>
          </w:tcPr>
          <w:p>
            <w:pPr>
              <w:spacing w:line="560" w:lineRule="exact"/>
              <w:rPr>
                <w:rFonts w:hint="eastAsia" w:ascii="仿宋_GB2312" w:hAnsi="Calibri" w:eastAsia="仿宋_GB2312" w:cs="ArialUnicodeMS"/>
                <w:kern w:val="0"/>
                <w:sz w:val="28"/>
                <w:szCs w:val="28"/>
                <w:lang w:eastAsia="zh-CN"/>
              </w:rPr>
            </w:pPr>
            <w:r>
              <w:rPr>
                <w:rFonts w:hint="eastAsia" w:ascii="仿宋_GB2312" w:hAnsi="Calibri" w:eastAsia="仿宋_GB2312" w:cs="ArialUnicodeMS"/>
                <w:kern w:val="0"/>
                <w:sz w:val="28"/>
                <w:szCs w:val="28"/>
                <w:lang w:eastAsia="zh-CN"/>
              </w:rPr>
              <w:t>石家庄广播电视台</w:t>
            </w:r>
          </w:p>
        </w:tc>
        <w:tc>
          <w:tcPr>
            <w:tcW w:w="2445" w:type="dxa"/>
          </w:tcPr>
          <w:p>
            <w:pPr>
              <w:spacing w:line="560" w:lineRule="exact"/>
              <w:jc w:val="center"/>
              <w:rPr>
                <w:rFonts w:hint="eastAsia" w:ascii="仿宋_GB2312" w:hAnsi="Calibri" w:eastAsia="仿宋_GB2312" w:cs="ArialUnicodeMS"/>
                <w:kern w:val="0"/>
                <w:sz w:val="28"/>
                <w:szCs w:val="28"/>
                <w:lang w:eastAsia="zh-CN"/>
              </w:rPr>
            </w:pPr>
            <w:r>
              <w:rPr>
                <w:rFonts w:hint="eastAsia" w:ascii="仿宋_GB2312" w:hAnsi="Calibri" w:eastAsia="仿宋_GB2312" w:cs="ArialUnicodeMS"/>
                <w:kern w:val="0"/>
                <w:sz w:val="28"/>
                <w:szCs w:val="28"/>
                <w:lang w:eastAsia="zh-CN"/>
              </w:rPr>
              <w:t>财政补助事业单位</w:t>
            </w:r>
          </w:p>
        </w:tc>
        <w:tc>
          <w:tcPr>
            <w:tcW w:w="2665" w:type="dxa"/>
          </w:tcPr>
          <w:p>
            <w:pPr>
              <w:spacing w:line="560" w:lineRule="exact"/>
              <w:jc w:val="center"/>
              <w:rPr>
                <w:rFonts w:ascii="仿宋_GB2312" w:hAnsi="Calibri" w:eastAsia="仿宋_GB2312" w:cs="ArialUnicodeMS"/>
                <w:kern w:val="0"/>
                <w:sz w:val="28"/>
                <w:szCs w:val="28"/>
              </w:rPr>
            </w:pPr>
            <w:r>
              <w:rPr>
                <w:rFonts w:hint="eastAsia" w:ascii="仿宋_GB2312" w:hAnsi="Calibri" w:eastAsia="仿宋_GB2312" w:cs="ArialUnicodeMS"/>
                <w:kern w:val="0"/>
                <w:sz w:val="28"/>
                <w:szCs w:val="28"/>
                <w:lang w:val="en-US" w:eastAsia="zh-CN"/>
              </w:rPr>
              <w:t>财政性资金定额或定项补助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580" w:type="dxa"/>
            <w:gridSpan w:val="4"/>
            <w:tcBorders>
              <w:top w:val="single" w:color="auto" w:sz="4" w:space="0"/>
              <w:left w:val="nil"/>
              <w:bottom w:val="nil"/>
              <w:right w:val="nil"/>
            </w:tcBorders>
          </w:tcPr>
          <w:p>
            <w:pPr>
              <w:spacing w:line="560" w:lineRule="exact"/>
              <w:jc w:val="left"/>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注：1、单位基本性质分为行政单位、参公事业单位、财政补助事业单位、经费自理事业单位四类。</w:t>
            </w:r>
          </w:p>
          <w:p>
            <w:pPr>
              <w:spacing w:line="560" w:lineRule="exact"/>
              <w:ind w:firstLine="560" w:firstLineChars="200"/>
              <w:jc w:val="left"/>
              <w:rPr>
                <w:rFonts w:ascii="仿宋_GB2312" w:hAnsi="Calibri" w:eastAsia="仿宋_GB2312" w:cs="ArialUnicodeMS"/>
                <w:kern w:val="0"/>
                <w:sz w:val="28"/>
                <w:szCs w:val="28"/>
              </w:rPr>
            </w:pPr>
            <w:r>
              <w:rPr>
                <w:rFonts w:hint="eastAsia" w:ascii="仿宋_GB2312" w:hAnsi="Calibri" w:eastAsia="仿宋_GB2312" w:cs="ArialUnicodeMS"/>
                <w:kern w:val="0"/>
                <w:sz w:val="28"/>
                <w:szCs w:val="28"/>
              </w:rPr>
              <w:t>2、经费形式分为财政拨款、财政性资金基本保证、财政性资金定额或定项补助、财政性资金零补助四类。</w:t>
            </w:r>
          </w:p>
        </w:tc>
      </w:tr>
    </w:tbl>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sz w:val="18"/>
          <w:szCs w:val="18"/>
          <w:highlight w:val="none"/>
        </w:rPr>
      </w:pPr>
      <w:r>
        <w:rPr>
          <w:rFonts w:hint="default" w:ascii="Arial" w:hAnsi="Arial" w:eastAsia="Arial" w:cs="Arial"/>
          <w:i w:val="0"/>
          <w:iCs w:val="0"/>
          <w:caps w:val="0"/>
          <w:color w:val="000000"/>
          <w:spacing w:val="0"/>
          <w:sz w:val="18"/>
          <w:szCs w:val="18"/>
          <w:highlight w:val="none"/>
          <w:shd w:val="clear" w:fill="FFFFFF"/>
        </w:rPr>
        <w:t> </w:t>
      </w:r>
    </w:p>
    <w:p>
      <w:pPr>
        <w:widowControl/>
        <w:spacing w:after="160" w:line="580" w:lineRule="exact"/>
        <w:ind w:firstLine="640" w:firstLineChars="200"/>
        <w:rPr>
          <w:rFonts w:hint="eastAsia" w:ascii="Times New Roman" w:hAnsi="Times New Roman" w:eastAsia="黑体" w:cs="Times New Roman"/>
          <w:sz w:val="32"/>
          <w:szCs w:val="32"/>
          <w:highlight w:val="none"/>
        </w:rPr>
      </w:pPr>
    </w:p>
    <w:p>
      <w:pPr>
        <w:widowControl/>
        <w:spacing w:after="160" w:line="580" w:lineRule="exact"/>
        <w:ind w:firstLine="640" w:firstLineChars="200"/>
        <w:rPr>
          <w:rFonts w:hint="eastAsia" w:ascii="Times New Roman" w:hAnsi="Times New Roman" w:eastAsia="黑体" w:cs="Times New Roman"/>
          <w:sz w:val="32"/>
          <w:szCs w:val="32"/>
          <w:highlight w:val="none"/>
        </w:rPr>
      </w:pPr>
    </w:p>
    <w:p>
      <w:pPr>
        <w:widowControl/>
        <w:spacing w:after="160" w:line="580" w:lineRule="exact"/>
        <w:ind w:firstLine="640" w:firstLineChars="200"/>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none"/>
        </w:rPr>
        <w:t>我部门无二级预算单位，因此，</w:t>
      </w:r>
      <w:r>
        <w:rPr>
          <w:rFonts w:hint="eastAsia" w:ascii="Times New Roman" w:hAnsi="Times New Roman" w:eastAsia="黑体" w:cs="Times New Roman"/>
          <w:sz w:val="32"/>
          <w:szCs w:val="32"/>
          <w:highlight w:val="none"/>
          <w:lang w:eastAsia="zh-CN"/>
        </w:rPr>
        <w:t>“石家庄广播电视台</w:t>
      </w:r>
      <w:r>
        <w:rPr>
          <w:rFonts w:hint="eastAsia" w:ascii="Times New Roman" w:hAnsi="Times New Roman" w:eastAsia="黑体" w:cs="Times New Roman"/>
          <w:sz w:val="32"/>
          <w:szCs w:val="32"/>
          <w:highlight w:val="none"/>
        </w:rPr>
        <w:t>2023年度部门决算</w:t>
      </w:r>
      <w:r>
        <w:rPr>
          <w:rFonts w:hint="eastAsia" w:ascii="Times New Roman" w:hAnsi="Times New Roman" w:eastAsia="黑体" w:cs="Times New Roman"/>
          <w:sz w:val="32"/>
          <w:szCs w:val="32"/>
          <w:highlight w:val="none"/>
          <w:lang w:eastAsia="zh-CN"/>
        </w:rPr>
        <w:t>”</w:t>
      </w:r>
      <w:r>
        <w:rPr>
          <w:rFonts w:hint="eastAsia" w:ascii="Times New Roman" w:hAnsi="Times New Roman" w:eastAsia="黑体" w:cs="Times New Roman"/>
          <w:sz w:val="32"/>
          <w:szCs w:val="32"/>
          <w:highlight w:val="none"/>
        </w:rPr>
        <w:t>即</w:t>
      </w:r>
      <w:r>
        <w:rPr>
          <w:rFonts w:hint="eastAsia" w:ascii="Times New Roman" w:hAnsi="Times New Roman" w:eastAsia="黑体" w:cs="Times New Roman"/>
          <w:sz w:val="32"/>
          <w:szCs w:val="32"/>
          <w:highlight w:val="none"/>
          <w:lang w:eastAsia="zh-CN"/>
        </w:rPr>
        <w:t>“石家庄广播电视台</w:t>
      </w:r>
      <w:r>
        <w:rPr>
          <w:rFonts w:hint="eastAsia" w:ascii="Times New Roman" w:hAnsi="Times New Roman" w:eastAsia="黑体" w:cs="Times New Roman"/>
          <w:sz w:val="32"/>
          <w:szCs w:val="32"/>
          <w:highlight w:val="none"/>
        </w:rPr>
        <w:t>本级2023年度决算。”</w:t>
      </w:r>
    </w:p>
    <w:p>
      <w:pPr>
        <w:rPr>
          <w:rFonts w:hint="eastAsia" w:ascii="Times New Roman" w:hAnsi="Times New Roman" w:eastAsia="黑体" w:cs="Times New Roman"/>
          <w:sz w:val="32"/>
          <w:szCs w:val="32"/>
          <w:highlight w:val="yellow"/>
        </w:rPr>
      </w:pPr>
      <w:r>
        <w:rPr>
          <w:rFonts w:hint="eastAsia" w:ascii="Times New Roman" w:hAnsi="Times New Roman" w:eastAsia="黑体" w:cs="Times New Roman"/>
          <w:sz w:val="32"/>
          <w:szCs w:val="32"/>
          <w:highlight w:val="yellow"/>
        </w:rPr>
        <w:br w:type="page"/>
      </w:r>
    </w:p>
    <w:p>
      <w:pPr>
        <w:widowControl/>
        <w:spacing w:after="160" w:line="580" w:lineRule="exact"/>
        <w:ind w:firstLine="640" w:firstLineChars="200"/>
        <w:rPr>
          <w:rFonts w:hint="eastAsia" w:ascii="Times New Roman" w:hAnsi="Times New Roman" w:eastAsia="黑体" w:cs="Times New Roman"/>
          <w:sz w:val="32"/>
          <w:szCs w:val="32"/>
          <w:highlight w:val="yellow"/>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i w:val="0"/>
          <w:iCs w:val="0"/>
          <w:caps w:val="0"/>
          <w:color w:val="000000"/>
          <w:spacing w:val="0"/>
          <w:kern w:val="0"/>
          <w:sz w:val="18"/>
          <w:szCs w:val="18"/>
          <w:highlight w:val="none"/>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Arial" w:hAnsi="Arial" w:eastAsia="Arial" w:cs="Arial"/>
          <w:highlight w:val="none"/>
        </w:rPr>
      </w:pPr>
      <w:r>
        <w:rPr>
          <w:rFonts w:hint="default" w:ascii="Arial" w:hAnsi="Arial" w:eastAsia="Arial" w:cs="Arial"/>
          <w:i w:val="0"/>
          <w:iCs w:val="0"/>
          <w:caps w:val="0"/>
          <w:color w:val="000000"/>
          <w:spacing w:val="0"/>
          <w:kern w:val="0"/>
          <w:sz w:val="18"/>
          <w:szCs w:val="18"/>
          <w:highlight w:val="none"/>
          <w:shd w:val="clear" w:fill="FFFFFF"/>
          <w:lang w:val="en-US" w:eastAsia="zh-CN" w:bidi="ar"/>
        </w:rPr>
        <w:t> </w:t>
      </w: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outlineLvl w:val="0"/>
        <w:rPr>
          <w:rFonts w:hint="default" w:ascii="Arial" w:hAnsi="Arial" w:eastAsia="Arial" w:cs="Arial"/>
          <w:highlight w:val="none"/>
        </w:rPr>
      </w:pPr>
      <w:r>
        <w:rPr>
          <w:rFonts w:hint="eastAsia" w:ascii="黑体" w:hAnsi="宋体" w:eastAsia="黑体" w:cs="黑体"/>
          <w:i w:val="0"/>
          <w:iCs w:val="0"/>
          <w:caps w:val="0"/>
          <w:color w:val="000000"/>
          <w:spacing w:val="0"/>
          <w:sz w:val="72"/>
          <w:szCs w:val="72"/>
          <w:highlight w:val="none"/>
          <w:shd w:val="clear" w:fill="FFFFFF"/>
        </w:rPr>
        <w:t>第二部分</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eastAsia" w:ascii="黑体" w:hAnsi="宋体" w:eastAsia="黑体" w:cs="黑体"/>
          <w:i w:val="0"/>
          <w:iCs w:val="0"/>
          <w:caps w:val="0"/>
          <w:color w:val="000000"/>
          <w:spacing w:val="0"/>
          <w:sz w:val="72"/>
          <w:szCs w:val="72"/>
          <w:highlight w:val="none"/>
          <w:shd w:val="clear" w:fill="FFFFFF"/>
          <w:lang w:val="en-US" w:eastAsia="zh-CN"/>
        </w:rPr>
        <w:t>2023</w:t>
      </w:r>
      <w:r>
        <w:rPr>
          <w:rFonts w:hint="eastAsia" w:ascii="黑体" w:hAnsi="宋体" w:eastAsia="黑体" w:cs="黑体"/>
          <w:i w:val="0"/>
          <w:iCs w:val="0"/>
          <w:caps w:val="0"/>
          <w:color w:val="000000"/>
          <w:spacing w:val="0"/>
          <w:sz w:val="72"/>
          <w:szCs w:val="72"/>
          <w:highlight w:val="none"/>
          <w:shd w:val="clear" w:fill="FFFFFF"/>
        </w:rPr>
        <w:t>年</w:t>
      </w:r>
      <w:r>
        <w:rPr>
          <w:rFonts w:hint="eastAsia" w:ascii="黑体" w:hAnsi="宋体" w:eastAsia="黑体" w:cs="黑体"/>
          <w:i w:val="0"/>
          <w:iCs w:val="0"/>
          <w:caps w:val="0"/>
          <w:color w:val="000000"/>
          <w:spacing w:val="0"/>
          <w:sz w:val="72"/>
          <w:szCs w:val="72"/>
          <w:highlight w:val="none"/>
          <w:shd w:val="clear" w:fill="FFFFFF"/>
          <w:lang w:val="en-US" w:eastAsia="zh-CN"/>
        </w:rPr>
        <w:t>度</w:t>
      </w:r>
      <w:r>
        <w:rPr>
          <w:rFonts w:hint="eastAsia" w:ascii="黑体" w:hAnsi="宋体" w:eastAsia="黑体" w:cs="黑体"/>
          <w:i w:val="0"/>
          <w:iCs w:val="0"/>
          <w:caps w:val="0"/>
          <w:color w:val="000000"/>
          <w:spacing w:val="0"/>
          <w:sz w:val="72"/>
          <w:szCs w:val="72"/>
          <w:highlight w:val="none"/>
          <w:shd w:val="clear" w:fill="FFFFFF"/>
        </w:rPr>
        <w:t>部门决算报表</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仿宋_GB2312" w:hAnsi="仿宋_GB2312" w:eastAsia="仿宋_GB2312" w:cs="仿宋_GB2312"/>
          <w:i w:val="0"/>
          <w:iCs w:val="0"/>
          <w:caps w:val="0"/>
          <w:color w:val="FF0000"/>
          <w:spacing w:val="0"/>
          <w:sz w:val="33"/>
          <w:szCs w:val="33"/>
          <w:highlight w:val="none"/>
          <w:shd w:val="clear" w:fill="FFFFFF"/>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仿宋_GB2312" w:hAnsi="仿宋_GB2312" w:eastAsia="仿宋_GB2312" w:cs="仿宋_GB2312"/>
          <w:i w:val="0"/>
          <w:iCs w:val="0"/>
          <w:caps w:val="0"/>
          <w:color w:val="FF0000"/>
          <w:spacing w:val="0"/>
          <w:sz w:val="33"/>
          <w:szCs w:val="33"/>
          <w:highlight w:val="none"/>
          <w:shd w:val="clear" w:fill="FFFFFF"/>
        </w:rPr>
        <w:sectPr>
          <w:headerReference r:id="rId8" w:type="default"/>
          <w:pgSz w:w="11906" w:h="16838"/>
          <w:pgMar w:top="1531" w:right="1984" w:bottom="1531" w:left="2098" w:header="851" w:footer="992" w:gutter="0"/>
          <w:cols w:space="720" w:num="1"/>
          <w:docGrid w:type="lines" w:linePitch="312" w:charSpace="0"/>
        </w:sectPr>
      </w:pPr>
    </w:p>
    <w:tbl>
      <w:tblPr>
        <w:tblStyle w:val="13"/>
        <w:tblW w:w="7250" w:type="pct"/>
        <w:tblInd w:w="-18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46"/>
        <w:gridCol w:w="624"/>
        <w:gridCol w:w="611"/>
        <w:gridCol w:w="1317"/>
        <w:gridCol w:w="1628"/>
        <w:gridCol w:w="1547"/>
        <w:gridCol w:w="624"/>
        <w:gridCol w:w="1928"/>
        <w:gridCol w:w="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61" w:hRule="atLeast"/>
        </w:trPr>
        <w:tc>
          <w:tcPr>
            <w:tcW w:w="4985" w:type="pct"/>
            <w:gridSpan w:val="8"/>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7" w:hRule="atLeast"/>
        </w:trPr>
        <w:tc>
          <w:tcPr>
            <w:tcW w:w="4985" w:type="pct"/>
            <w:gridSpan w:val="8"/>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公开</w:t>
            </w:r>
            <w:r>
              <w:rPr>
                <w:rFonts w:hint="eastAsia" w:ascii="Times New Roman" w:hAnsi="Times New Roman" w:eastAsia="宋体" w:cs="Times New Roman"/>
                <w:i w:val="0"/>
                <w:iCs w:val="0"/>
                <w:color w:val="000000"/>
                <w:sz w:val="20"/>
                <w:szCs w:val="20"/>
                <w:highlight w:val="none"/>
                <w:u w:val="none"/>
                <w:lang w:val="en-US" w:eastAsia="zh-CN"/>
              </w:rPr>
              <w:t>01</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51" w:hRule="atLeast"/>
        </w:trPr>
        <w:tc>
          <w:tcPr>
            <w:tcW w:w="1964" w:type="pct"/>
            <w:gridSpan w:val="3"/>
            <w:tcBorders>
              <w:top w:val="nil"/>
              <w:left w:val="nil"/>
              <w:bottom w:val="single" w:color="auto" w:sz="4" w:space="0"/>
              <w:right w:val="nil"/>
            </w:tcBorders>
            <w:noWrap/>
            <w:vAlign w:val="bottom"/>
          </w:tcPr>
          <w:p>
            <w:pPr>
              <w:jc w:val="both"/>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编制部门（单位）：石家庄广播电视台(本级)</w:t>
            </w:r>
          </w:p>
        </w:tc>
        <w:tc>
          <w:tcPr>
            <w:tcW w:w="1262" w:type="pct"/>
            <w:gridSpan w:val="2"/>
            <w:tcBorders>
              <w:top w:val="nil"/>
              <w:left w:val="nil"/>
              <w:bottom w:val="single" w:color="auto" w:sz="4" w:space="0"/>
              <w:right w:val="nil"/>
            </w:tcBorders>
            <w:noWrap/>
            <w:vAlign w:val="bottom"/>
          </w:tcPr>
          <w:p>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Times New Roman" w:hAnsi="Times New Roman" w:eastAsia="宋体" w:cs="Times New Roman"/>
                <w:i w:val="0"/>
                <w:iCs w:val="0"/>
                <w:color w:val="000000"/>
                <w:sz w:val="20"/>
                <w:szCs w:val="20"/>
                <w:highlight w:val="none"/>
                <w:u w:val="none"/>
                <w:lang w:val="en-US" w:eastAsia="zh-CN"/>
              </w:rPr>
              <w:t>2023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57" w:type="pct"/>
            <w:gridSpan w:val="3"/>
            <w:tcBorders>
              <w:top w:val="nil"/>
              <w:left w:val="nil"/>
              <w:bottom w:val="single" w:color="auto" w:sz="4" w:space="0"/>
              <w:right w:val="nil"/>
            </w:tcBorders>
            <w:noWrap/>
            <w:vAlign w:val="bottom"/>
          </w:tcPr>
          <w:p>
            <w:pPr>
              <w:jc w:val="right"/>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544" w:hRule="atLeast"/>
        </w:trPr>
        <w:tc>
          <w:tcPr>
            <w:tcW w:w="2529" w:type="pct"/>
            <w:gridSpan w:val="4"/>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收入</w:t>
            </w:r>
          </w:p>
        </w:tc>
        <w:tc>
          <w:tcPr>
            <w:tcW w:w="2456" w:type="pct"/>
            <w:gridSpan w:val="4"/>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826"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82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7" w:type="pct"/>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826"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1</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267" w:type="pct"/>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82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Times New Roman" w:hAnsi="Times New Roman" w:eastAsia="宋体" w:cs="Times New Roman"/>
                <w:i w:val="0"/>
                <w:iCs w:val="0"/>
                <w:color w:val="000000"/>
                <w:sz w:val="20"/>
                <w:szCs w:val="20"/>
                <w:highlight w:val="none"/>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宋体" w:hAnsi="宋体" w:eastAsia="宋体" w:cs="宋体"/>
                <w:i w:val="0"/>
                <w:iCs w:val="0"/>
                <w:color w:val="000000"/>
                <w:sz w:val="20"/>
                <w:szCs w:val="20"/>
                <w:highlight w:val="none"/>
                <w:u w:val="none"/>
                <w:lang w:val="en-US" w:eastAsia="zh-CN"/>
              </w:rPr>
              <w:t>1</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8,782.59</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136.81</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四、上级补助收入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五、事业收入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六、经营收入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七、附属单位上缴收入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8,782.59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八、其他收入</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40</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auto"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nil"/>
              <w:left w:val="nil"/>
              <w:bottom w:val="single" w:color="auto"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826" w:type="pct"/>
            <w:gridSpan w:val="2"/>
            <w:tcBorders>
              <w:top w:val="nil"/>
              <w:left w:val="nil"/>
              <w:bottom w:val="single" w:color="auto"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auto"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67" w:type="pct"/>
            <w:tcBorders>
              <w:top w:val="nil"/>
              <w:left w:val="nil"/>
              <w:bottom w:val="single" w:color="auto"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826" w:type="pct"/>
            <w:tcBorders>
              <w:top w:val="nil"/>
              <w:left w:val="nil"/>
              <w:bottom w:val="single" w:color="auto"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50</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826"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6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826"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single" w:color="auto" w:sz="4" w:space="0"/>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826" w:type="pct"/>
            <w:gridSpan w:val="2"/>
            <w:tcBorders>
              <w:top w:val="single" w:color="auto" w:sz="4" w:space="0"/>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67" w:type="pct"/>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826" w:type="pct"/>
            <w:tcBorders>
              <w:top w:val="single" w:color="auto" w:sz="4" w:space="0"/>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136.81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8,919.40</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8,919.40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使用非财政拨款结余（含专用结余）</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结余分配</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60</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476"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pP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4" w:type="pct"/>
          <w:trHeight w:val="308" w:hRule="atLeast"/>
        </w:trPr>
        <w:tc>
          <w:tcPr>
            <w:tcW w:w="1434"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82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8,919.40</w:t>
            </w:r>
          </w:p>
        </w:tc>
        <w:tc>
          <w:tcPr>
            <w:tcW w:w="1361"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82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8,919.40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注：1.本表反映部门本年度的总收支和年末结转结余情况。2.本套报表金额转换时可能存在尾数误差。</w:t>
            </w:r>
          </w:p>
        </w:tc>
      </w:tr>
    </w:tbl>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pPr>
        <w:keepNext w:val="0"/>
        <w:keepLines w:val="0"/>
        <w:widowControl/>
        <w:suppressLineNumbers w:val="0"/>
        <w:jc w:val="center"/>
        <w:textAlignment w:val="bottom"/>
        <w:rPr>
          <w:rFonts w:hint="eastAsia" w:ascii="黑体" w:hAnsi="黑体" w:eastAsia="黑体" w:cs="宋体"/>
          <w:bCs/>
          <w:kern w:val="0"/>
          <w:sz w:val="32"/>
          <w:szCs w:val="32"/>
          <w:highlight w:val="none"/>
        </w:rPr>
      </w:pPr>
    </w:p>
    <w:tbl>
      <w:tblPr>
        <w:tblStyle w:val="13"/>
        <w:tblW w:w="92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60"/>
        <w:gridCol w:w="1037"/>
        <w:gridCol w:w="1037"/>
        <w:gridCol w:w="1037"/>
        <w:gridCol w:w="964"/>
        <w:gridCol w:w="367"/>
        <w:gridCol w:w="597"/>
        <w:gridCol w:w="1027"/>
        <w:gridCol w:w="96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230" w:type="dxa"/>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eastAsia" w:ascii="Times New Roman" w:hAnsi="Times New Roman" w:eastAsia="宋体" w:cs="Times New Roman"/>
                <w:i w:val="0"/>
                <w:iCs w:val="0"/>
                <w:color w:val="000000"/>
                <w:sz w:val="20"/>
                <w:szCs w:val="20"/>
                <w:highlight w:val="none"/>
                <w:u w:val="none"/>
                <w:lang w:val="en-US" w:eastAsia="zh-CN"/>
              </w:rPr>
              <w:t>02</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3237" w:type="dxa"/>
            <w:gridSpan w:val="3"/>
            <w:tcBorders>
              <w:top w:val="nil"/>
              <w:left w:val="nil"/>
              <w:bottom w:val="single" w:color="auto" w:sz="4" w:space="0"/>
              <w:right w:val="nil"/>
            </w:tcBorders>
            <w:noWrap/>
            <w:vAlign w:val="bottom"/>
          </w:tcPr>
          <w:p>
            <w:pP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编制部门（单位）：石家庄广播电视台(本级)                                                                                                         </w:t>
            </w:r>
          </w:p>
        </w:tc>
        <w:tc>
          <w:tcPr>
            <w:tcW w:w="3405" w:type="dxa"/>
            <w:gridSpan w:val="4"/>
            <w:tcBorders>
              <w:top w:val="nil"/>
              <w:left w:val="nil"/>
              <w:bottom w:val="single" w:color="auto" w:sz="4" w:space="0"/>
              <w:right w:val="nil"/>
            </w:tcBorders>
            <w:noWrap/>
            <w:vAlign w:val="bottom"/>
          </w:tcPr>
          <w:p>
            <w:pPr>
              <w:jc w:val="cente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default" w:ascii="Times New Roman" w:hAnsi="Times New Roman" w:eastAsia="方正仿宋_GB2312" w:cs="Times New Roman"/>
                <w:i w:val="0"/>
                <w:iCs w:val="0"/>
                <w:color w:val="000000"/>
                <w:sz w:val="20"/>
                <w:szCs w:val="20"/>
                <w:highlight w:val="none"/>
                <w:u w:val="none"/>
                <w:lang w:val="en-US" w:eastAsia="zh-CN"/>
              </w:rPr>
              <w:t>2023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2588" w:type="dxa"/>
            <w:gridSpan w:val="3"/>
            <w:tcBorders>
              <w:top w:val="nil"/>
              <w:left w:val="nil"/>
              <w:bottom w:val="single" w:color="auto" w:sz="4" w:space="0"/>
              <w:right w:val="nil"/>
            </w:tcBorders>
            <w:noWrap/>
            <w:vAlign w:val="bottom"/>
          </w:tcPr>
          <w:p>
            <w:pPr>
              <w:jc w:val="right"/>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2200" w:type="dxa"/>
            <w:gridSpan w:val="2"/>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1037"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本年收入合计</w:t>
            </w:r>
          </w:p>
        </w:tc>
        <w:tc>
          <w:tcPr>
            <w:tcW w:w="1037"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财政拨款收入</w:t>
            </w:r>
          </w:p>
        </w:tc>
        <w:tc>
          <w:tcPr>
            <w:tcW w:w="1037"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上级补助收入</w:t>
            </w:r>
          </w:p>
        </w:tc>
        <w:tc>
          <w:tcPr>
            <w:tcW w:w="964" w:type="dxa"/>
            <w:vMerge w:val="restart"/>
            <w:tcBorders>
              <w:top w:val="single" w:color="auto" w:sz="4" w:space="0"/>
              <w:left w:val="nil"/>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事业收入</w:t>
            </w:r>
          </w:p>
        </w:tc>
        <w:tc>
          <w:tcPr>
            <w:tcW w:w="964" w:type="dxa"/>
            <w:gridSpan w:val="2"/>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经营收入</w:t>
            </w:r>
          </w:p>
        </w:tc>
        <w:tc>
          <w:tcPr>
            <w:tcW w:w="1027"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附属单位上缴收入</w:t>
            </w:r>
          </w:p>
        </w:tc>
        <w:tc>
          <w:tcPr>
            <w:tcW w:w="964" w:type="dxa"/>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160" w:type="dxa"/>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left w:val="nil"/>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nil"/>
              <w:left w:val="nil"/>
              <w:bottom w:val="single" w:color="000000" w:sz="4" w:space="0"/>
              <w:right w:val="single" w:color="000000" w:sz="4" w:space="0"/>
            </w:tcBorders>
            <w:noWrap/>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left w:val="nil"/>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1040" w:type="dxa"/>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160" w:type="dxa"/>
            <w:vMerge w:val="continue"/>
            <w:tcBorders>
              <w:top w:val="nil"/>
              <w:left w:val="nil"/>
              <w:bottom w:val="single" w:color="000000" w:sz="4" w:space="0"/>
              <w:right w:val="single" w:color="000000" w:sz="4" w:space="0"/>
            </w:tcBorders>
            <w:noWrap/>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3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027"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964" w:type="dxa"/>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22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03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03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03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964"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4</w:t>
            </w:r>
          </w:p>
        </w:tc>
        <w:tc>
          <w:tcPr>
            <w:tcW w:w="964" w:type="dxa"/>
            <w:gridSpan w:val="2"/>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027"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964" w:type="dxa"/>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200" w:type="dxa"/>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8,919.40</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8,919.40</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02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207</w:t>
            </w:r>
          </w:p>
        </w:tc>
        <w:tc>
          <w:tcPr>
            <w:tcW w:w="1160" w:type="dxa"/>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文化旅游体育与传媒支出</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8,782.59</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8,782.59</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20708</w:t>
            </w:r>
          </w:p>
        </w:tc>
        <w:tc>
          <w:tcPr>
            <w:tcW w:w="1160" w:type="dxa"/>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广播电视</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8,514.76</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8,514.76</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2070899</w:t>
            </w:r>
          </w:p>
        </w:tc>
        <w:tc>
          <w:tcPr>
            <w:tcW w:w="1160" w:type="dxa"/>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其他广播电视支出</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8,514.76</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8,514.76</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20799</w:t>
            </w:r>
          </w:p>
        </w:tc>
        <w:tc>
          <w:tcPr>
            <w:tcW w:w="1160" w:type="dxa"/>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其他文化旅游体育与传媒支出</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267.83</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267.83</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2079999</w:t>
            </w:r>
          </w:p>
        </w:tc>
        <w:tc>
          <w:tcPr>
            <w:tcW w:w="1160" w:type="dxa"/>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其他文化旅游体育与传媒支出</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267.83</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267.83</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232</w:t>
            </w:r>
          </w:p>
        </w:tc>
        <w:tc>
          <w:tcPr>
            <w:tcW w:w="1160" w:type="dxa"/>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债务付息支出</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136.81</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136.81</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23204</w:t>
            </w:r>
          </w:p>
        </w:tc>
        <w:tc>
          <w:tcPr>
            <w:tcW w:w="1160" w:type="dxa"/>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地方政府专项债务付息支出</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136.81</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136.81</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040" w:type="dxa"/>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2320498</w:t>
            </w:r>
          </w:p>
        </w:tc>
        <w:tc>
          <w:tcPr>
            <w:tcW w:w="1160" w:type="dxa"/>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kern w:val="0"/>
                <w:sz w:val="20"/>
                <w:szCs w:val="20"/>
                <w:highlight w:val="none"/>
                <w:u w:val="none"/>
                <w:lang w:val="en-US" w:eastAsia="zh-CN" w:bidi="ar-SA"/>
              </w:rPr>
            </w:pPr>
            <w:r>
              <w:rPr>
                <w:rFonts w:hint="eastAsia" w:ascii="方正仿宋_GB2312" w:hAnsi="方正仿宋_GB2312" w:eastAsia="方正仿宋_GB2312" w:cs="方正仿宋_GB2312"/>
                <w:spacing w:val="-2"/>
                <w:sz w:val="20"/>
                <w:szCs w:val="20"/>
                <w:lang w:val="en-US" w:eastAsia="zh-CN"/>
              </w:rPr>
              <w:t>其他地方自行试点项目收益专项债券付息支出</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136.81</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r>
              <w:rPr>
                <w:rFonts w:hint="default" w:ascii="Times New Roman" w:hAnsi="Times New Roman" w:eastAsia="宋体" w:cs="Times New Roman"/>
                <w:spacing w:val="-2"/>
                <w:sz w:val="20"/>
                <w:szCs w:val="20"/>
                <w:lang w:val="en-US" w:eastAsia="zh-CN"/>
              </w:rPr>
              <w:t>136.81</w:t>
            </w:r>
          </w:p>
        </w:tc>
        <w:tc>
          <w:tcPr>
            <w:tcW w:w="103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1027"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c>
          <w:tcPr>
            <w:tcW w:w="964" w:type="dxa"/>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kern w:val="0"/>
                <w:sz w:val="20"/>
                <w:szCs w:val="20"/>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9230" w:type="dxa"/>
            <w:gridSpan w:val="10"/>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注：本表反映部门本年度取得的各项收入情况。</w:t>
            </w:r>
          </w:p>
        </w:tc>
      </w:tr>
    </w:tbl>
    <w:p>
      <w:pPr>
        <w:rPr>
          <w:rFonts w:hint="eastAsia" w:ascii="黑体" w:hAnsi="黑体" w:eastAsia="黑体" w:cs="宋体"/>
          <w:bCs/>
          <w:kern w:val="0"/>
          <w:sz w:val="32"/>
          <w:szCs w:val="32"/>
          <w:highlight w:val="none"/>
        </w:rPr>
      </w:pPr>
      <w:r>
        <w:rPr>
          <w:rFonts w:hint="eastAsia" w:ascii="仿宋_GB2312" w:hAnsi="宋体" w:eastAsia="仿宋_GB2312"/>
          <w:b/>
          <w:color w:val="auto"/>
          <w:kern w:val="0"/>
          <w:sz w:val="32"/>
          <w:szCs w:val="32"/>
          <w:highlight w:val="none"/>
        </w:rPr>
        <w:br w:type="page"/>
      </w:r>
    </w:p>
    <w:p>
      <w:pPr>
        <w:keepNext w:val="0"/>
        <w:keepLines w:val="0"/>
        <w:widowControl/>
        <w:suppressLineNumbers w:val="0"/>
        <w:jc w:val="center"/>
        <w:textAlignment w:val="bottom"/>
        <w:rPr>
          <w:rFonts w:hint="eastAsia" w:ascii="宋体" w:hAnsi="宋体" w:eastAsia="宋体" w:cs="宋体"/>
          <w:spacing w:val="-2"/>
          <w:sz w:val="20"/>
          <w:highlight w:val="none"/>
          <w:lang w:val="en-US" w:eastAsia="zh-CN"/>
        </w:rPr>
      </w:pPr>
    </w:p>
    <w:tbl>
      <w:tblPr>
        <w:tblStyle w:val="13"/>
        <w:tblW w:w="581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40"/>
        <w:gridCol w:w="1187"/>
        <w:gridCol w:w="1128"/>
        <w:gridCol w:w="126"/>
        <w:gridCol w:w="1000"/>
        <w:gridCol w:w="1126"/>
        <w:gridCol w:w="497"/>
        <w:gridCol w:w="629"/>
        <w:gridCol w:w="1126"/>
        <w:gridCol w:w="14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5000" w:type="pct"/>
            <w:gridSpan w:val="10"/>
            <w:tcBorders>
              <w:top w:val="nil"/>
              <w:left w:val="nil"/>
              <w:bottom w:val="nil"/>
              <w:right w:val="nil"/>
            </w:tcBorders>
            <w:noWrap/>
            <w:vAlign w:val="bottom"/>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br w:type="page"/>
            </w:r>
            <w:r>
              <w:rPr>
                <w:rFonts w:hint="eastAsia" w:ascii="方正仿宋_GB2312" w:hAnsi="方正仿宋_GB2312" w:eastAsia="方正仿宋_GB2312" w:cs="方正仿宋_GB2312"/>
                <w:b w:val="0"/>
                <w:bCs/>
                <w:color w:val="auto"/>
                <w:kern w:val="0"/>
                <w:sz w:val="32"/>
                <w:szCs w:val="32"/>
                <w:highlight w:val="none"/>
                <w:lang w:val="en-US" w:eastAsia="zh-CN"/>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5000" w:type="pct"/>
            <w:gridSpan w:val="10"/>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62" w:type="pct"/>
            <w:gridSpan w:val="4"/>
            <w:tcBorders>
              <w:top w:val="nil"/>
              <w:left w:val="nil"/>
              <w:bottom w:val="single" w:color="auto" w:sz="4"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编制部门（单位）：石家庄广播电视台(本级)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1403" w:type="pct"/>
            <w:gridSpan w:val="3"/>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eastAsiaTheme="minorEastAsia"/>
                <w:i w:val="0"/>
                <w:iCs w:val="0"/>
                <w:color w:val="000000"/>
                <w:kern w:val="0"/>
                <w:sz w:val="20"/>
                <w:szCs w:val="20"/>
                <w:highlight w:val="none"/>
                <w:u w:val="none"/>
                <w:lang w:val="en-US" w:eastAsia="zh-CN" w:bidi="ar"/>
              </w:rPr>
              <w:t>2023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734" w:type="pct"/>
            <w:gridSpan w:val="3"/>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1191" w:type="pct"/>
            <w:gridSpan w:val="2"/>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03"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本年支出合计</w:t>
            </w:r>
          </w:p>
        </w:tc>
        <w:tc>
          <w:tcPr>
            <w:tcW w:w="602" w:type="pct"/>
            <w:gridSpan w:val="2"/>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602"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602" w:type="pct"/>
            <w:gridSpan w:val="2"/>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上缴上级支出</w:t>
            </w:r>
          </w:p>
        </w:tc>
        <w:tc>
          <w:tcPr>
            <w:tcW w:w="602"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经营支出</w:t>
            </w:r>
          </w:p>
        </w:tc>
        <w:tc>
          <w:tcPr>
            <w:tcW w:w="795"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635"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0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35" w:type="pct"/>
            <w:vMerge w:val="continue"/>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gridSpan w:val="2"/>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602"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95"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191"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03"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2" w:type="pct"/>
            <w:gridSpan w:val="2"/>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2" w:type="pct"/>
            <w:gridSpan w:val="2"/>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2"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795" w:type="pc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1191"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0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8,919.40</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5,214.76</w:t>
            </w: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3,704.64</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207</w:t>
            </w:r>
          </w:p>
        </w:tc>
        <w:tc>
          <w:tcPr>
            <w:tcW w:w="635" w:type="pct"/>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文化旅游体育与传媒支出</w:t>
            </w:r>
          </w:p>
        </w:tc>
        <w:tc>
          <w:tcPr>
            <w:tcW w:w="60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8,782.59</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5,214.76</w:t>
            </w: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3,567.83</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20708</w:t>
            </w:r>
          </w:p>
        </w:tc>
        <w:tc>
          <w:tcPr>
            <w:tcW w:w="635" w:type="pct"/>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广播电视</w:t>
            </w:r>
          </w:p>
        </w:tc>
        <w:tc>
          <w:tcPr>
            <w:tcW w:w="60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8,514.76</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5,214.76</w:t>
            </w: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3,300.00</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2070899</w:t>
            </w:r>
          </w:p>
        </w:tc>
        <w:tc>
          <w:tcPr>
            <w:tcW w:w="635" w:type="pct"/>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其他广播电视支出</w:t>
            </w:r>
          </w:p>
        </w:tc>
        <w:tc>
          <w:tcPr>
            <w:tcW w:w="60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8,514.76</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5,214.76</w:t>
            </w: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3,300.00</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20799</w:t>
            </w:r>
          </w:p>
        </w:tc>
        <w:tc>
          <w:tcPr>
            <w:tcW w:w="635" w:type="pct"/>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其他文化旅游体育与传媒支出</w:t>
            </w:r>
          </w:p>
        </w:tc>
        <w:tc>
          <w:tcPr>
            <w:tcW w:w="60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2079999</w:t>
            </w:r>
          </w:p>
        </w:tc>
        <w:tc>
          <w:tcPr>
            <w:tcW w:w="635" w:type="pct"/>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其他文化旅游体育与传媒支出</w:t>
            </w:r>
          </w:p>
        </w:tc>
        <w:tc>
          <w:tcPr>
            <w:tcW w:w="60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232</w:t>
            </w:r>
          </w:p>
        </w:tc>
        <w:tc>
          <w:tcPr>
            <w:tcW w:w="635" w:type="pct"/>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债务付息支出</w:t>
            </w:r>
          </w:p>
        </w:tc>
        <w:tc>
          <w:tcPr>
            <w:tcW w:w="60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136.81</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136.81</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23204</w:t>
            </w:r>
          </w:p>
        </w:tc>
        <w:tc>
          <w:tcPr>
            <w:tcW w:w="635" w:type="pct"/>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地方政府专项债务付息支出</w:t>
            </w:r>
          </w:p>
        </w:tc>
        <w:tc>
          <w:tcPr>
            <w:tcW w:w="60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136.81</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136.81</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56" w:type="pct"/>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2320498</w:t>
            </w:r>
          </w:p>
        </w:tc>
        <w:tc>
          <w:tcPr>
            <w:tcW w:w="635" w:type="pct"/>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其他地方自行试点项目收益专项债券付息支出</w:t>
            </w:r>
          </w:p>
        </w:tc>
        <w:tc>
          <w:tcPr>
            <w:tcW w:w="60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136.81</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136.81</w:t>
            </w:r>
          </w:p>
        </w:tc>
        <w:tc>
          <w:tcPr>
            <w:tcW w:w="60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60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795"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5000" w:type="pct"/>
            <w:gridSpan w:val="10"/>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注：本表反映部门本年度各项支出情况。</w:t>
            </w:r>
          </w:p>
        </w:tc>
      </w:tr>
    </w:tbl>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3"/>
        <w:tblW w:w="7281" w:type="pct"/>
        <w:tblInd w:w="-18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84"/>
        <w:gridCol w:w="624"/>
        <w:gridCol w:w="1427"/>
        <w:gridCol w:w="1659"/>
        <w:gridCol w:w="439"/>
        <w:gridCol w:w="624"/>
        <w:gridCol w:w="458"/>
        <w:gridCol w:w="837"/>
        <w:gridCol w:w="1219"/>
        <w:gridCol w:w="1219"/>
        <w:gridCol w:w="12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431" w:type="pct"/>
            <w:gridSpan w:val="4"/>
            <w:tcBorders>
              <w:top w:val="nil"/>
              <w:left w:val="nil"/>
              <w:bottom w:val="single" w:color="auto" w:sz="4" w:space="0"/>
              <w:right w:val="nil"/>
            </w:tcBorders>
            <w:noWrap/>
            <w:vAlign w:val="bottom"/>
          </w:tcPr>
          <w:p>
            <w:pPr>
              <w:rPr>
                <w:rFonts w:hint="eastAsia" w:ascii="仿宋" w:hAnsi="仿宋" w:eastAsia="仿宋" w:cs="仿宋"/>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编制部门（单位）：石家庄广播电视台(本级) </w:t>
            </w:r>
            <w:r>
              <w:rPr>
                <w:rFonts w:hint="eastAsia" w:asciiTheme="minorEastAsia" w:hAnsiTheme="minorEastAsia" w:eastAsiaTheme="minorEastAsia" w:cstheme="minorEastAsia"/>
                <w:i w:val="0"/>
                <w:iCs w:val="0"/>
                <w:color w:val="000000"/>
                <w:kern w:val="0"/>
                <w:sz w:val="20"/>
                <w:szCs w:val="20"/>
                <w:highlight w:val="none"/>
                <w:u w:val="none"/>
                <w:lang w:val="en-US" w:eastAsia="zh-CN" w:bidi="ar"/>
              </w:rPr>
              <w:t xml:space="preserve">                                                                                                   </w:t>
            </w:r>
          </w:p>
        </w:tc>
        <w:tc>
          <w:tcPr>
            <w:tcW w:w="649" w:type="pct"/>
            <w:gridSpan w:val="3"/>
            <w:tcBorders>
              <w:top w:val="nil"/>
              <w:left w:val="nil"/>
              <w:bottom w:val="single" w:color="auto" w:sz="4" w:space="0"/>
              <w:right w:val="nil"/>
            </w:tcBorders>
            <w:noWrap/>
            <w:vAlign w:val="bottom"/>
          </w:tcPr>
          <w:p>
            <w:pPr>
              <w:jc w:val="center"/>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919" w:type="pct"/>
            <w:gridSpan w:val="4"/>
            <w:tcBorders>
              <w:top w:val="nil"/>
              <w:left w:val="nil"/>
              <w:bottom w:val="single" w:color="auto" w:sz="4" w:space="0"/>
              <w:right w:val="nil"/>
            </w:tcBorders>
            <w:noWrap/>
            <w:vAlign w:val="bottom"/>
          </w:tcPr>
          <w:p>
            <w:pPr>
              <w:jc w:val="right"/>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723" w:type="pct"/>
            <w:gridSpan w:val="3"/>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收入</w:t>
            </w:r>
          </w:p>
        </w:tc>
        <w:tc>
          <w:tcPr>
            <w:tcW w:w="3276" w:type="pct"/>
            <w:gridSpan w:val="8"/>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    目</w:t>
            </w:r>
          </w:p>
        </w:tc>
        <w:tc>
          <w:tcPr>
            <w:tcW w:w="26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609"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金额</w:t>
            </w:r>
          </w:p>
        </w:tc>
        <w:tc>
          <w:tcPr>
            <w:tcW w:w="895" w:type="pct"/>
            <w:gridSpan w:val="2"/>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26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行次</w:t>
            </w:r>
          </w:p>
        </w:tc>
        <w:tc>
          <w:tcPr>
            <w:tcW w:w="552" w:type="pct"/>
            <w:gridSpan w:val="2"/>
            <w:vMerge w:val="restart"/>
            <w:tcBorders>
              <w:top w:val="nil"/>
              <w:left w:val="nil"/>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合计</w:t>
            </w:r>
          </w:p>
        </w:tc>
        <w:tc>
          <w:tcPr>
            <w:tcW w:w="520" w:type="pct"/>
            <w:vMerge w:val="restart"/>
            <w:tcBorders>
              <w:top w:val="nil"/>
              <w:left w:val="nil"/>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一般公共预算财政拨款</w:t>
            </w:r>
          </w:p>
        </w:tc>
        <w:tc>
          <w:tcPr>
            <w:tcW w:w="520" w:type="pct"/>
            <w:vMerge w:val="restart"/>
            <w:tcBorders>
              <w:top w:val="nil"/>
              <w:left w:val="nil"/>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政府性基金预算财政拨款</w:t>
            </w:r>
          </w:p>
        </w:tc>
        <w:tc>
          <w:tcPr>
            <w:tcW w:w="520" w:type="pct"/>
            <w:vMerge w:val="restart"/>
            <w:tcBorders>
              <w:top w:val="nil"/>
              <w:left w:val="nil"/>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47"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nil"/>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09" w:type="pct"/>
            <w:vMerge w:val="continue"/>
            <w:tcBorders>
              <w:top w:val="nil"/>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95" w:type="pct"/>
            <w:gridSpan w:val="2"/>
            <w:vMerge w:val="continue"/>
            <w:tcBorders>
              <w:top w:val="nil"/>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266" w:type="pct"/>
            <w:vMerge w:val="continue"/>
            <w:tcBorders>
              <w:top w:val="nil"/>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52" w:type="pct"/>
            <w:gridSpan w:val="2"/>
            <w:vMerge w:val="continue"/>
            <w:tcBorders>
              <w:left w:val="nil"/>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left w:val="nil"/>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left w:val="nil"/>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520" w:type="pct"/>
            <w:vMerge w:val="continue"/>
            <w:tcBorders>
              <w:left w:val="nil"/>
              <w:bottom w:val="single" w:color="000000" w:sz="4" w:space="0"/>
              <w:right w:val="single" w:color="000000" w:sz="8"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60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    次</w:t>
            </w:r>
          </w:p>
        </w:tc>
        <w:tc>
          <w:tcPr>
            <w:tcW w:w="266" w:type="pct"/>
            <w:tcBorders>
              <w:top w:val="nil"/>
              <w:left w:val="nil"/>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552"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52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52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520" w:type="pct"/>
            <w:tcBorders>
              <w:top w:val="nil"/>
              <w:left w:val="nil"/>
              <w:bottom w:val="single" w:color="000000" w:sz="4" w:space="0"/>
              <w:right w:val="single" w:color="000000" w:sz="8"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8,782.59</w:t>
            </w: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一、一般公共服务支出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33</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136.81</w:t>
            </w: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二、外交支出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34</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三、国防支出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35</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四、公共安全支出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36</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五、教育支出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37</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六、科学技术支出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38</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7</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七、文化旅游体育与传媒支出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39</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8,782.59</w:t>
            </w: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8,782.59</w:t>
            </w: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8</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八、社会保障和就业支出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40</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9</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九、卫生健康支出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41</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10</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十、节能环保支出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42</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11</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十一、城乡社区支出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43</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auto"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nil"/>
              <w:left w:val="nil"/>
              <w:bottom w:val="single" w:color="auto"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12</w:t>
            </w:r>
          </w:p>
        </w:tc>
        <w:tc>
          <w:tcPr>
            <w:tcW w:w="609" w:type="pct"/>
            <w:tcBorders>
              <w:top w:val="nil"/>
              <w:left w:val="nil"/>
              <w:bottom w:val="single" w:color="auto"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auto"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十二、农林水支出</w:t>
            </w:r>
          </w:p>
        </w:tc>
        <w:tc>
          <w:tcPr>
            <w:tcW w:w="266" w:type="pct"/>
            <w:tcBorders>
              <w:top w:val="nil"/>
              <w:left w:val="nil"/>
              <w:bottom w:val="single" w:color="auto"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44</w:t>
            </w:r>
          </w:p>
        </w:tc>
        <w:tc>
          <w:tcPr>
            <w:tcW w:w="552" w:type="pct"/>
            <w:gridSpan w:val="2"/>
            <w:tcBorders>
              <w:top w:val="nil"/>
              <w:left w:val="nil"/>
              <w:bottom w:val="single" w:color="auto"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auto"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auto"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auto"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13</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十三、交通运输支出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45</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14</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十四、资源勘探工业信息等支出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46</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15</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十五、商业服务业等支出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47</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16</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十六、金融支出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48</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17</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十七、援助其他地区支出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49</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18</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十八、自然资源海洋气象等支出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50</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19</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十九、住房保障支出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51</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20</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二十、粮油物资储备支出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52</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21</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二十一、国有资本经营预算支出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53</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22</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二十二、灾害防治及应急管理支出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54</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23</w:t>
            </w:r>
          </w:p>
        </w:tc>
        <w:tc>
          <w:tcPr>
            <w:tcW w:w="60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二十三、其他支出</w:t>
            </w:r>
          </w:p>
        </w:tc>
        <w:tc>
          <w:tcPr>
            <w:tcW w:w="266"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55</w:t>
            </w:r>
          </w:p>
        </w:tc>
        <w:tc>
          <w:tcPr>
            <w:tcW w:w="552"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single" w:color="auto" w:sz="4" w:space="0"/>
              <w:left w:val="single" w:color="000000" w:sz="4" w:space="0"/>
              <w:bottom w:val="single" w:color="000000" w:sz="4" w:space="0"/>
              <w:right w:val="single" w:color="000000" w:sz="4" w:space="0"/>
            </w:tcBorders>
            <w:noWrap/>
            <w:vAlign w:val="center"/>
          </w:tcPr>
          <w:p>
            <w:pPr>
              <w:jc w:val="left"/>
              <w:rPr>
                <w:rFonts w:hint="eastAsia" w:ascii="宋体" w:hAnsi="宋体" w:eastAsia="宋体" w:cs="宋体"/>
                <w:i w:val="0"/>
                <w:iCs w:val="0"/>
                <w:color w:val="000000"/>
                <w:sz w:val="20"/>
                <w:szCs w:val="20"/>
                <w:highlight w:val="none"/>
                <w:u w:val="none"/>
              </w:rPr>
            </w:pPr>
          </w:p>
        </w:tc>
        <w:tc>
          <w:tcPr>
            <w:tcW w:w="266" w:type="pct"/>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24</w:t>
            </w:r>
          </w:p>
        </w:tc>
        <w:tc>
          <w:tcPr>
            <w:tcW w:w="609" w:type="pct"/>
            <w:tcBorders>
              <w:top w:val="single" w:color="auto" w:sz="4" w:space="0"/>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二十四、债务还本支出</w:t>
            </w:r>
          </w:p>
        </w:tc>
        <w:tc>
          <w:tcPr>
            <w:tcW w:w="266" w:type="pct"/>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56</w:t>
            </w:r>
          </w:p>
        </w:tc>
        <w:tc>
          <w:tcPr>
            <w:tcW w:w="552" w:type="pct"/>
            <w:gridSpan w:val="2"/>
            <w:tcBorders>
              <w:top w:val="single" w:color="auto" w:sz="4" w:space="0"/>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single" w:color="auto" w:sz="4" w:space="0"/>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b/>
                <w:bCs/>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25</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二十五、债务付息支出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57</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136.81</w:t>
            </w: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136.81</w:t>
            </w: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jc w:val="center"/>
              <w:rPr>
                <w:rFonts w:hint="eastAsia" w:ascii="宋体" w:hAnsi="宋体" w:eastAsia="宋体" w:cs="宋体"/>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26</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二十六、抗疫特别国债安排的支出</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58</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本年收入合计</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27</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8,919.40</w:t>
            </w: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本年支出合计</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59</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8,919.40</w:t>
            </w: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8,782.59</w:t>
            </w: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136.81</w:t>
            </w: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年初财政拨款结转和结余</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28</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年末财政拨款结转和结余</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60</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一、一般公共预算财政拨款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29</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61</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二、政府性基金预算财政拨款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30</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62</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三、国有资本经营预算财政拨款</w:t>
            </w: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31</w:t>
            </w:r>
          </w:p>
        </w:tc>
        <w:tc>
          <w:tcPr>
            <w:tcW w:w="60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95" w:type="pct"/>
            <w:gridSpan w:val="2"/>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p>
        </w:tc>
        <w:tc>
          <w:tcPr>
            <w:tcW w:w="26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63</w:t>
            </w:r>
          </w:p>
        </w:tc>
        <w:tc>
          <w:tcPr>
            <w:tcW w:w="552"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4" w:space="0"/>
              <w:right w:val="single" w:color="000000" w:sz="8" w:space="0"/>
            </w:tcBorders>
            <w:noWrap/>
            <w:vAlign w:val="center"/>
          </w:tcPr>
          <w:p>
            <w:pPr>
              <w:jc w:val="lef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847" w:type="pct"/>
            <w:tcBorders>
              <w:top w:val="nil"/>
              <w:left w:val="single" w:color="000000" w:sz="4" w:space="0"/>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32</w:t>
            </w:r>
          </w:p>
        </w:tc>
        <w:tc>
          <w:tcPr>
            <w:tcW w:w="609" w:type="pct"/>
            <w:tcBorders>
              <w:top w:val="nil"/>
              <w:left w:val="nil"/>
              <w:bottom w:val="single" w:color="000000" w:sz="8"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8,919.40</w:t>
            </w:r>
          </w:p>
        </w:tc>
        <w:tc>
          <w:tcPr>
            <w:tcW w:w="895" w:type="pct"/>
            <w:gridSpan w:val="2"/>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b/>
                <w:bCs/>
                <w:i w:val="0"/>
                <w:iCs w:val="0"/>
                <w:color w:val="000000"/>
                <w:sz w:val="20"/>
                <w:szCs w:val="20"/>
                <w:highlight w:val="none"/>
                <w:u w:val="none"/>
              </w:rPr>
            </w:pPr>
            <w:r>
              <w:rPr>
                <w:rFonts w:hint="eastAsia" w:ascii="方正仿宋_GB2312" w:hAnsi="方正仿宋_GB2312" w:eastAsia="方正仿宋_GB2312" w:cs="方正仿宋_GB2312"/>
                <w:b/>
                <w:bCs/>
                <w:i w:val="0"/>
                <w:iCs w:val="0"/>
                <w:color w:val="000000"/>
                <w:kern w:val="0"/>
                <w:sz w:val="20"/>
                <w:szCs w:val="20"/>
                <w:highlight w:val="none"/>
                <w:u w:val="none"/>
                <w:lang w:val="en-US" w:eastAsia="zh-CN" w:bidi="ar"/>
              </w:rPr>
              <w:t>总计</w:t>
            </w:r>
          </w:p>
        </w:tc>
        <w:tc>
          <w:tcPr>
            <w:tcW w:w="266" w:type="pct"/>
            <w:tcBorders>
              <w:top w:val="nil"/>
              <w:left w:val="nil"/>
              <w:bottom w:val="single" w:color="000000" w:sz="8"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64</w:t>
            </w:r>
          </w:p>
        </w:tc>
        <w:tc>
          <w:tcPr>
            <w:tcW w:w="552" w:type="pct"/>
            <w:gridSpan w:val="2"/>
            <w:tcBorders>
              <w:top w:val="nil"/>
              <w:left w:val="nil"/>
              <w:bottom w:val="single" w:color="000000" w:sz="8"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8,919.40</w:t>
            </w:r>
          </w:p>
        </w:tc>
        <w:tc>
          <w:tcPr>
            <w:tcW w:w="520" w:type="pct"/>
            <w:tcBorders>
              <w:top w:val="nil"/>
              <w:left w:val="nil"/>
              <w:bottom w:val="single" w:color="000000" w:sz="8" w:space="0"/>
              <w:right w:val="single" w:color="000000" w:sz="4" w:space="0"/>
            </w:tcBorders>
            <w:noWrap/>
            <w:vAlign w:val="center"/>
          </w:tcPr>
          <w:p>
            <w:pPr>
              <w:jc w:val="right"/>
              <w:rPr>
                <w:rFonts w:hint="default" w:ascii="Times New Roman" w:hAnsi="Times New Roman" w:cs="Times New Roman"/>
                <w:sz w:val="20"/>
                <w:szCs w:val="20"/>
                <w:highlight w:val="none"/>
              </w:rPr>
            </w:pPr>
          </w:p>
          <w:p>
            <w:pPr>
              <w:jc w:val="right"/>
              <w:rPr>
                <w:rFonts w:hint="default" w:ascii="Times New Roman" w:hAnsi="Times New Roman" w:cs="Times New Roman"/>
                <w:sz w:val="20"/>
                <w:szCs w:val="20"/>
                <w:highlight w:val="none"/>
              </w:rPr>
            </w:pPr>
            <w:r>
              <w:rPr>
                <w:rFonts w:hint="default" w:ascii="Times New Roman" w:hAnsi="Times New Roman" w:cs="Times New Roman"/>
                <w:sz w:val="20"/>
                <w:szCs w:val="20"/>
                <w:highlight w:val="none"/>
              </w:rPr>
              <w:t>8,782.59</w:t>
            </w:r>
          </w:p>
          <w:p>
            <w:pPr>
              <w:jc w:val="right"/>
              <w:rPr>
                <w:rFonts w:hint="default" w:ascii="Times New Roman" w:hAnsi="Times New Roman" w:eastAsia="宋体" w:cs="Times New Roman"/>
                <w:i w:val="0"/>
                <w:iCs w:val="0"/>
                <w:color w:val="000000"/>
                <w:sz w:val="20"/>
                <w:szCs w:val="20"/>
                <w:highlight w:val="none"/>
                <w:u w:val="none"/>
              </w:rPr>
            </w:pPr>
          </w:p>
        </w:tc>
        <w:tc>
          <w:tcPr>
            <w:tcW w:w="520" w:type="pct"/>
            <w:tcBorders>
              <w:top w:val="nil"/>
              <w:left w:val="nil"/>
              <w:bottom w:val="single" w:color="000000" w:sz="8"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136.81</w:t>
            </w:r>
          </w:p>
        </w:tc>
        <w:tc>
          <w:tcPr>
            <w:tcW w:w="520" w:type="pct"/>
            <w:tcBorders>
              <w:top w:val="nil"/>
              <w:left w:val="nil"/>
              <w:bottom w:val="single" w:color="000000" w:sz="8" w:space="0"/>
              <w:right w:val="single" w:color="000000" w:sz="8"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11"/>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注：本表反映部门本年度一般公共预算财政拨款、政府性基金预算财政拨款和国有资本经营预算财政拨款的总收支和年末结转结余情况。</w:t>
            </w:r>
          </w:p>
        </w:tc>
      </w:tr>
    </w:tbl>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宋体" w:hAnsi="宋体" w:eastAsia="宋体" w:cs="宋体"/>
          <w:spacing w:val="-2"/>
          <w:sz w:val="20"/>
          <w:highlight w:val="none"/>
          <w:lang w:val="en-US" w:eastAsia="zh-CN"/>
        </w:rPr>
      </w:pPr>
    </w:p>
    <w:tbl>
      <w:tblPr>
        <w:tblStyle w:val="13"/>
        <w:tblW w:w="5455" w:type="pct"/>
        <w:tblInd w:w="-6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86"/>
        <w:gridCol w:w="2816"/>
        <w:gridCol w:w="929"/>
        <w:gridCol w:w="814"/>
        <w:gridCol w:w="869"/>
        <w:gridCol w:w="383"/>
        <w:gridCol w:w="13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7"/>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7"/>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05</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56" w:type="pct"/>
            <w:gridSpan w:val="3"/>
            <w:tcBorders>
              <w:top w:val="nil"/>
              <w:left w:val="nil"/>
              <w:bottom w:val="single" w:color="auto" w:sz="4"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编制部门（单位）：石家庄广播电视台(本级)</w:t>
            </w:r>
          </w:p>
        </w:tc>
        <w:tc>
          <w:tcPr>
            <w:tcW w:w="1551" w:type="pct"/>
            <w:gridSpan w:val="2"/>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default" w:asciiTheme="minorEastAsia" w:hAnsiTheme="minorEastAsia" w:eastAsiaTheme="minorEastAsia" w:cstheme="minorEastAsia"/>
                <w:i w:val="0"/>
                <w:iCs w:val="0"/>
                <w:color w:val="000000"/>
                <w:kern w:val="0"/>
                <w:sz w:val="20"/>
                <w:szCs w:val="20"/>
                <w:highlight w:val="none"/>
                <w:u w:val="none"/>
                <w:lang w:val="en-US" w:eastAsia="zh-CN" w:bidi="ar"/>
              </w:rPr>
            </w:pPr>
            <w:r>
              <w:rPr>
                <w:rFonts w:hint="default" w:ascii="Times New Roman" w:hAnsi="Times New Roman" w:cs="Times New Roman"/>
                <w:i w:val="0"/>
                <w:iCs w:val="0"/>
                <w:color w:val="000000"/>
                <w:kern w:val="0"/>
                <w:sz w:val="20"/>
                <w:szCs w:val="20"/>
                <w:highlight w:val="none"/>
                <w:u w:val="none"/>
                <w:lang w:val="en-US" w:eastAsia="zh-CN" w:bidi="ar"/>
              </w:rPr>
              <w:t>2023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591" w:type="pct"/>
            <w:gridSpan w:val="2"/>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144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3552" w:type="pct"/>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科目代码</w:t>
            </w:r>
          </w:p>
        </w:tc>
        <w:tc>
          <w:tcPr>
            <w:tcW w:w="748"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1169"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1169"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121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698"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48"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9"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9"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213"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98"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748"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9"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169"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0"/>
                <w:szCs w:val="20"/>
                <w:highlight w:val="none"/>
                <w:u w:val="none"/>
              </w:rPr>
            </w:pPr>
          </w:p>
        </w:tc>
        <w:tc>
          <w:tcPr>
            <w:tcW w:w="1213" w:type="pct"/>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4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1</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2</w:t>
            </w:r>
          </w:p>
        </w:tc>
        <w:tc>
          <w:tcPr>
            <w:tcW w:w="1213"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47"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8,782.59</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5,214.76</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sz w:val="20"/>
                <w:szCs w:val="20"/>
                <w:highlight w:val="none"/>
              </w:rPr>
              <w:t>3,567.83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207</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文化旅游体育与传媒支出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8,782.59</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5,214.76</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3,567.83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20708</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广播电视</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8,514.76</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5,214.76</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2070899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其他广播电视支出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8,514.76</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5,214.76</w:t>
            </w: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3,300.00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20799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其他文化旅游体育与传媒支出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2079999</w:t>
            </w:r>
          </w:p>
        </w:tc>
        <w:tc>
          <w:tcPr>
            <w:tcW w:w="748"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其他文化旅游体育与传媒支出</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c>
          <w:tcPr>
            <w:tcW w:w="1169"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1213"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lang w:val="en-US" w:eastAsia="zh-CN"/>
              </w:rPr>
              <w:t>267.83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7"/>
            <w:tcBorders>
              <w:top w:val="single" w:color="auto" w:sz="4" w:space="0"/>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注：本表反映部门本年度一般公共预算财政拨款支出情况。</w:t>
            </w:r>
          </w:p>
        </w:tc>
      </w:tr>
    </w:tbl>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3"/>
        <w:tblW w:w="7050" w:type="pct"/>
        <w:tblInd w:w="-161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4"/>
        <w:gridCol w:w="1814"/>
        <w:gridCol w:w="1020"/>
        <w:gridCol w:w="964"/>
        <w:gridCol w:w="438"/>
        <w:gridCol w:w="1376"/>
        <w:gridCol w:w="587"/>
        <w:gridCol w:w="377"/>
        <w:gridCol w:w="964"/>
        <w:gridCol w:w="1814"/>
        <w:gridCol w:w="10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5000" w:type="pct"/>
            <w:gridSpan w:val="11"/>
            <w:tcBorders>
              <w:top w:val="nil"/>
              <w:left w:val="nil"/>
              <w:bottom w:val="nil"/>
              <w:right w:val="nil"/>
            </w:tcBorders>
            <w:noWrap/>
            <w:vAlign w:val="bottom"/>
          </w:tcPr>
          <w:p>
            <w:pPr>
              <w:keepNext w:val="0"/>
              <w:keepLines w:val="0"/>
              <w:widowControl/>
              <w:suppressLineNumbers w:val="0"/>
              <w:jc w:val="center"/>
              <w:textAlignment w:val="bottom"/>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11"/>
            <w:tcBorders>
              <w:top w:val="nil"/>
              <w:left w:val="nil"/>
              <w:bottom w:val="nil"/>
              <w:right w:val="nil"/>
            </w:tcBorders>
            <w:noWrap/>
            <w:vAlign w:val="bottom"/>
          </w:tcPr>
          <w:p>
            <w:pPr>
              <w:keepNext w:val="0"/>
              <w:keepLines w:val="0"/>
              <w:widowControl/>
              <w:suppressLineNumbers w:val="0"/>
              <w:jc w:val="right"/>
              <w:textAlignment w:val="bottom"/>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06</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293" w:type="pct"/>
            <w:gridSpan w:val="5"/>
            <w:tcBorders>
              <w:top w:val="nil"/>
              <w:left w:val="nil"/>
              <w:bottom w:val="single" w:color="auto" w:sz="4" w:space="0"/>
              <w:right w:val="nil"/>
            </w:tcBorders>
            <w:noWrap/>
            <w:vAlign w:val="bottom"/>
          </w:tcPr>
          <w:p>
            <w:pPr>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编制部门（单位）：石家庄广播电视台(本级) </w:t>
            </w:r>
            <w:r>
              <w:rPr>
                <w:rFonts w:hint="eastAsia" w:asciiTheme="minorEastAsia" w:hAnsiTheme="minorEastAsia" w:cstheme="minorEastAsia"/>
                <w:i w:val="0"/>
                <w:iCs w:val="0"/>
                <w:color w:val="000000"/>
                <w:kern w:val="0"/>
                <w:sz w:val="18"/>
                <w:szCs w:val="18"/>
                <w:highlight w:val="none"/>
                <w:u w:val="none"/>
                <w:lang w:val="en-US" w:eastAsia="zh-CN" w:bidi="ar"/>
              </w:rPr>
              <w:t xml:space="preserve">                                                                   </w:t>
            </w:r>
          </w:p>
        </w:tc>
        <w:tc>
          <w:tcPr>
            <w:tcW w:w="865" w:type="pct"/>
            <w:gridSpan w:val="2"/>
            <w:tcBorders>
              <w:top w:val="nil"/>
              <w:left w:val="nil"/>
              <w:bottom w:val="single" w:color="auto" w:sz="4" w:space="0"/>
              <w:right w:val="nil"/>
            </w:tcBorders>
            <w:noWrap/>
            <w:vAlign w:val="bottom"/>
          </w:tcPr>
          <w:p>
            <w:pPr>
              <w:jc w:val="center"/>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Theme="minorEastAsia" w:hAnsiTheme="minorEastAsia" w:cstheme="minorEastAsia"/>
                <w:i w:val="0"/>
                <w:iCs w:val="0"/>
                <w:color w:val="000000"/>
                <w:kern w:val="0"/>
                <w:sz w:val="18"/>
                <w:szCs w:val="18"/>
                <w:highlight w:val="none"/>
                <w:u w:val="none"/>
                <w:lang w:val="en-US" w:eastAsia="zh-CN" w:bidi="ar"/>
              </w:rPr>
              <w:t>2023</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1841" w:type="pct"/>
            <w:gridSpan w:val="4"/>
            <w:tcBorders>
              <w:top w:val="nil"/>
              <w:left w:val="nil"/>
              <w:bottom w:val="single" w:color="auto" w:sz="4" w:space="0"/>
              <w:right w:val="nil"/>
            </w:tcBorders>
            <w:noWrap/>
            <w:vAlign w:val="bottom"/>
          </w:tcPr>
          <w:p>
            <w:pPr>
              <w:jc w:val="right"/>
              <w:rPr>
                <w:rFonts w:hint="default" w:asciiTheme="minorEastAsia" w:hAnsiTheme="minorEastAsia" w:eastAsiaTheme="minorEastAsia" w:cstheme="minorEastAsia"/>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74" w:type="pct"/>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人员经费</w:t>
            </w:r>
          </w:p>
        </w:tc>
        <w:tc>
          <w:tcPr>
            <w:tcW w:w="3325" w:type="pct"/>
            <w:gridSpan w:val="8"/>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lang w:val="en-US"/>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科目代码</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科目名称</w:t>
            </w:r>
          </w:p>
        </w:tc>
        <w:tc>
          <w:tcPr>
            <w:tcW w:w="44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w:t>
            </w:r>
          </w:p>
        </w:tc>
        <w:tc>
          <w:tcPr>
            <w:tcW w:w="4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lang w:val="en-US" w:eastAsia="zh-CN"/>
              </w:rPr>
            </w:pPr>
            <w:r>
              <w:rPr>
                <w:rFonts w:hint="eastAsia" w:ascii="方正仿宋_GB2312" w:hAnsi="方正仿宋_GB2312" w:eastAsia="方正仿宋_GB2312" w:cs="方正仿宋_GB2312"/>
                <w:i w:val="0"/>
                <w:iCs w:val="0"/>
                <w:color w:val="000000"/>
                <w:sz w:val="18"/>
                <w:szCs w:val="18"/>
                <w:highlight w:val="none"/>
                <w:u w:val="none"/>
                <w:lang w:val="en-US" w:eastAsia="zh-CN"/>
              </w:rPr>
              <w:t>科目代码</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科目名称</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w:t>
            </w:r>
          </w:p>
        </w:tc>
        <w:tc>
          <w:tcPr>
            <w:tcW w:w="42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lang w:val="en-US" w:eastAsia="zh-CN"/>
              </w:rPr>
            </w:pPr>
            <w:r>
              <w:rPr>
                <w:rFonts w:hint="eastAsia" w:ascii="方正仿宋_GB2312" w:hAnsi="方正仿宋_GB2312" w:eastAsia="方正仿宋_GB2312" w:cs="方正仿宋_GB2312"/>
                <w:i w:val="0"/>
                <w:iCs w:val="0"/>
                <w:color w:val="000000"/>
                <w:sz w:val="18"/>
                <w:szCs w:val="18"/>
                <w:highlight w:val="none"/>
                <w:u w:val="none"/>
                <w:lang w:val="en-US" w:eastAsia="zh-CN"/>
              </w:rPr>
              <w:t>科目代码</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科目名称</w:t>
            </w:r>
          </w:p>
        </w:tc>
        <w:tc>
          <w:tcPr>
            <w:tcW w:w="44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工资福利支出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3,670.61</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商品和服务支出</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Theme="minorEastAsia" w:hAnsiTheme="minorEastAsia" w:eastAsiaTheme="minorEastAsia" w:cs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债务利息及费用支出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基本工资</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1,058.56</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30201</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办公费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30701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国内债务付息</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津贴补贴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594.70</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30202</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印刷费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30702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国外债务付息</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奖金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heme="minorEastAsia" w:hAnsiTheme="minorEastAsia" w:eastAsiaTheme="minorEastAsia" w:cs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30203</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咨询费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资本性支出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30106</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伙食补助费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heme="minorEastAsia" w:hAnsiTheme="minorEastAsia" w:eastAsiaTheme="minorEastAsia" w:cs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30204</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手续费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房屋建筑物购建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绩效工资</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heme="minorEastAsia" w:hAnsiTheme="minorEastAsia" w:eastAsiaTheme="minorEastAsia" w:cstheme="minorEastAsia"/>
                <w:i w:val="0"/>
                <w:iCs w:val="0"/>
                <w:color w:val="000000"/>
                <w:sz w:val="18"/>
                <w:szCs w:val="18"/>
                <w:highlight w:val="none"/>
                <w:u w:val="none"/>
              </w:rPr>
            </w:pPr>
            <w:r>
              <w:rPr>
                <w:rFonts w:hint="eastAsia" w:ascii="Times New Roman" w:hAnsi="Times New Roman" w:cs="Times New Roman"/>
                <w:sz w:val="18"/>
                <w:szCs w:val="18"/>
                <w:highlight w:val="none"/>
                <w:lang w:eastAsia="zh-CN"/>
              </w:rPr>
              <w:t>970.19</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30205</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水费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办公设备购置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30108</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机关事业单位基本养老保险缴费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r>
              <w:rPr>
                <w:rFonts w:hint="eastAsia" w:ascii="Times New Roman" w:hAnsi="Times New Roman" w:cs="Times New Roman"/>
                <w:sz w:val="18"/>
                <w:szCs w:val="18"/>
                <w:highlight w:val="none"/>
                <w:lang w:eastAsia="zh-CN"/>
              </w:rPr>
              <w:t>588.13</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30206</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电费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专用设备购置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heme="minorEastAsia" w:hAnsiTheme="minorEastAsia" w:eastAsiaTheme="minorEastAsia" w:cs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30109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职业年金缴费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r>
              <w:rPr>
                <w:rFonts w:hint="eastAsia" w:ascii="Times New Roman" w:hAnsi="Times New Roman" w:cs="Times New Roman"/>
                <w:sz w:val="18"/>
                <w:szCs w:val="18"/>
                <w:highlight w:val="none"/>
                <w:lang w:eastAsia="zh-CN"/>
              </w:rPr>
              <w:t>5.53</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30207</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邮电费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eastAsia" w:ascii="Times New Roman" w:hAnsi="Times New Roman" w:cs="Times New Roman"/>
                <w:sz w:val="18"/>
                <w:szCs w:val="18"/>
                <w:highlight w:val="none"/>
                <w:lang w:eastAsia="zh-CN"/>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31005</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基础设施建设</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heme="minorEastAsia" w:hAnsiTheme="minorEastAsia" w:eastAsiaTheme="minorEastAsia" w:cs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职工基本医疗保险缴费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252.98</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30208</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取暖费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31006</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大型修缮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公务员医疗补助缴费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30209</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物业管理费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信息网络及软件购置更新</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其他社会保障缴费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6.47</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30211</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差旅费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31008</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物资储备</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住房公积金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194.05</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30212</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因公出国（境）费用</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31009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土地补偿</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30114</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医疗费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30213</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维修（护）费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安置补助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30199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其他工资福利支出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30214</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 xml:space="preserve">  租赁费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地上附着物和青苗补偿</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对个人和家庭的补助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1,544.15</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30215</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会议费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拆迁补偿</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离休费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30216</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培训费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退休费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sz w:val="18"/>
                <w:szCs w:val="18"/>
                <w:highlight w:val="none"/>
              </w:rPr>
              <w:t>1,544.15</w:t>
            </w: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30217</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31019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其他交通工具购置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退职（役）费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30218</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专用材料费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31021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文物和陈列品购置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30304</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抚恤金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30224</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被装购置费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31022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无形资产购置</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30305</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生活补助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30225</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专用燃料费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31099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其他资本性支出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30306</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救济费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30226</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劳务费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对企业补助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医疗费补助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30227</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委托业务费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31201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资本金注入</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30308</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助学金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30228</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工会经费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31203</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政府投资基金股权投资</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30309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奖励金</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30229</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福利费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31204</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费用补贴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个人农业生产补贴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30231</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31205</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利息补贴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30311</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代缴社会保险费</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30239</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其他交通费用</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31299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其他对企业补助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30399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其他对个人和家庭的补助</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30240</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税金及附加费用</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Theme="minorEastAsia" w:hAnsiTheme="minorEastAsia" w:eastAsiaTheme="minorEastAsia" w:cstheme="minorEastAsia"/>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30299</w:t>
            </w: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其他商品和服务支出</w:t>
            </w: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39907</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国家赔偿费用支出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Theme="minorEastAsia" w:hAnsiTheme="minorEastAsia" w:eastAsiaTheme="minorEastAsia" w:cstheme="minorEastAsia"/>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39908</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对民间非营利组织和群众性自治组织补贴</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Theme="minorEastAsia" w:hAnsiTheme="minorEastAsia" w:eastAsiaTheme="minorEastAsia" w:cstheme="minorEastAsia"/>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39909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经常性赠与</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Theme="minorEastAsia" w:hAnsiTheme="minorEastAsia" w:eastAsiaTheme="minorEastAsia" w:cstheme="minorEastAsia"/>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39910</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资本性赠与</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25" w:type="pct"/>
            <w:tcBorders>
              <w:top w:val="single" w:color="auto" w:sz="4" w:space="0"/>
              <w:left w:val="single" w:color="auto" w:sz="4" w:space="0"/>
              <w:bottom w:val="single" w:color="auto" w:sz="4" w:space="0"/>
              <w:right w:val="single" w:color="auto" w:sz="4" w:space="0"/>
            </w:tcBorders>
            <w:noWrap/>
            <w:vAlign w:val="center"/>
          </w:tcPr>
          <w:p>
            <w:pPr>
              <w:jc w:val="center"/>
              <w:rPr>
                <w:rFonts w:hint="eastAsia" w:asciiTheme="minorEastAsia" w:hAnsiTheme="minorEastAsia" w:eastAsiaTheme="minorEastAsia" w:cstheme="minorEastAsia"/>
                <w:i w:val="0"/>
                <w:iCs w:val="0"/>
                <w:color w:val="000000"/>
                <w:sz w:val="18"/>
                <w:szCs w:val="18"/>
                <w:highlight w:val="none"/>
                <w:u w:val="none"/>
              </w:rPr>
            </w:pPr>
          </w:p>
        </w:tc>
        <w:tc>
          <w:tcPr>
            <w:tcW w:w="79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49"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799"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eastAsia" w:asciiTheme="minorEastAsia" w:hAnsiTheme="minorEastAsia" w:eastAsiaTheme="minorEastAsia" w:cstheme="minorEastAsia"/>
                <w:i w:val="0"/>
                <w:iCs w:val="0"/>
                <w:color w:val="000000"/>
                <w:sz w:val="18"/>
                <w:szCs w:val="18"/>
                <w:highlight w:val="none"/>
                <w:u w:val="none"/>
              </w:rPr>
            </w:pPr>
          </w:p>
        </w:tc>
        <w:tc>
          <w:tcPr>
            <w:tcW w:w="425" w:type="pct"/>
            <w:gridSpan w:val="2"/>
            <w:tcBorders>
              <w:top w:val="single" w:color="auto" w:sz="4" w:space="0"/>
              <w:left w:val="single" w:color="auto" w:sz="4" w:space="0"/>
              <w:bottom w:val="single" w:color="auto" w:sz="4" w:space="0"/>
              <w:right w:val="single" w:color="auto" w:sz="4" w:space="0"/>
            </w:tcBorders>
            <w:noWrap/>
            <w:vAlign w:val="center"/>
          </w:tcPr>
          <w:p>
            <w:pPr>
              <w:jc w:val="left"/>
              <w:rPr>
                <w:rFonts w:hint="default" w:ascii="Times New Roman" w:hAnsi="Times New Roman" w:cs="Times New Roman" w:eastAsiaTheme="minorEastAsia"/>
                <w:i w:val="0"/>
                <w:iCs w:val="0"/>
                <w:color w:val="000000"/>
                <w:sz w:val="18"/>
                <w:szCs w:val="18"/>
                <w:highlight w:val="none"/>
                <w:u w:val="none"/>
              </w:rPr>
            </w:pPr>
          </w:p>
        </w:tc>
        <w:tc>
          <w:tcPr>
            <w:tcW w:w="425"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default" w:ascii="Times New Roman" w:hAnsi="Times New Roman" w:cs="Times New Roman" w:eastAsiaTheme="minorEastAsia"/>
                <w:i w:val="0"/>
                <w:iCs w:val="0"/>
                <w:color w:val="000000"/>
                <w:sz w:val="18"/>
                <w:szCs w:val="18"/>
                <w:highlight w:val="none"/>
                <w:u w:val="none"/>
              </w:rPr>
            </w:pPr>
            <w:r>
              <w:rPr>
                <w:rFonts w:hint="default" w:ascii="Times New Roman" w:hAnsi="Times New Roman" w:cs="Times New Roman" w:eastAsiaTheme="minorEastAsia"/>
                <w:i w:val="0"/>
                <w:iCs w:val="0"/>
                <w:color w:val="000000"/>
                <w:kern w:val="0"/>
                <w:sz w:val="18"/>
                <w:szCs w:val="18"/>
                <w:highlight w:val="none"/>
                <w:u w:val="none"/>
                <w:lang w:val="en-US" w:eastAsia="zh-CN" w:bidi="ar"/>
              </w:rPr>
              <w:t>39999</w:t>
            </w:r>
          </w:p>
        </w:tc>
        <w:tc>
          <w:tcPr>
            <w:tcW w:w="799"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其他支出</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225" w:type="pct"/>
            <w:gridSpan w:val="2"/>
            <w:tcBorders>
              <w:top w:val="single" w:color="auto" w:sz="4" w:space="0"/>
              <w:left w:val="single" w:color="auto" w:sz="4" w:space="0"/>
              <w:bottom w:val="single" w:color="auto" w:sz="4" w:space="0"/>
              <w:right w:val="single" w:color="auto" w:sz="4" w:space="0"/>
            </w:tcBorders>
            <w:noWrap/>
            <w:vAlign w:val="center"/>
          </w:tcPr>
          <w:p>
            <w:pPr>
              <w:jc w:val="center"/>
              <w:rPr>
                <w:rFonts w:hint="default" w:ascii="Times New Roman" w:hAnsi="Times New Roman" w:cs="Times New Roman" w:eastAsiaTheme="minorEastAsia"/>
                <w:sz w:val="18"/>
                <w:szCs w:val="18"/>
                <w:highlight w:val="none"/>
                <w:lang w:val="en-US" w:eastAsia="zh-CN"/>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人员经费合计</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default" w:ascii="Times New Roman" w:hAnsi="Times New Roman" w:cs="Times New Roman" w:eastAsiaTheme="minorEastAsia"/>
                <w:sz w:val="18"/>
                <w:szCs w:val="18"/>
                <w:highlight w:val="none"/>
              </w:rPr>
            </w:pPr>
            <w:r>
              <w:rPr>
                <w:rFonts w:hint="default" w:ascii="Times New Roman" w:hAnsi="Times New Roman" w:cs="Times New Roman" w:eastAsiaTheme="minorEastAsia"/>
                <w:sz w:val="18"/>
                <w:szCs w:val="18"/>
                <w:highlight w:val="none"/>
              </w:rPr>
              <w:t>5,214.76</w:t>
            </w:r>
          </w:p>
        </w:tc>
        <w:tc>
          <w:tcPr>
            <w:tcW w:w="2875" w:type="pct"/>
            <w:gridSpan w:val="7"/>
            <w:tcBorders>
              <w:top w:val="single" w:color="auto" w:sz="4" w:space="0"/>
              <w:left w:val="single" w:color="auto" w:sz="4" w:space="0"/>
              <w:bottom w:val="single" w:color="auto" w:sz="4" w:space="0"/>
              <w:right w:val="single" w:color="auto" w:sz="4" w:space="0"/>
            </w:tcBorders>
            <w:noWrap/>
            <w:vAlign w:val="center"/>
          </w:tcPr>
          <w:p>
            <w:pPr>
              <w:jc w:val="center"/>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公用经费合计</w:t>
            </w:r>
          </w:p>
        </w:tc>
        <w:tc>
          <w:tcPr>
            <w:tcW w:w="449" w:type="pct"/>
            <w:tcBorders>
              <w:top w:val="single" w:color="auto" w:sz="4" w:space="0"/>
              <w:left w:val="single" w:color="auto" w:sz="4" w:space="0"/>
              <w:bottom w:val="single" w:color="auto" w:sz="4" w:space="0"/>
              <w:right w:val="single" w:color="auto" w:sz="4" w:space="0"/>
            </w:tcBorders>
            <w:noWrap/>
            <w:vAlign w:val="center"/>
          </w:tcPr>
          <w:p>
            <w:pPr>
              <w:jc w:val="right"/>
              <w:rPr>
                <w:rFonts w:hint="eastAsia" w:asciiTheme="minorEastAsia" w:hAnsiTheme="minorEastAsia" w:eastAsiaTheme="minorEastAsia" w:cstheme="minorEastAsia"/>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000" w:type="pct"/>
            <w:gridSpan w:val="11"/>
            <w:tcBorders>
              <w:top w:val="single" w:color="auto" w:sz="4" w:space="0"/>
              <w:left w:val="nil"/>
              <w:bottom w:val="nil"/>
              <w:right w:val="nil"/>
            </w:tcBorders>
            <w:noWrap/>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注：本表反映部门本年度一般公共预算财政拨款基本支出明细情况。</w:t>
            </w:r>
          </w:p>
        </w:tc>
      </w:tr>
    </w:tbl>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宋体" w:eastAsia="仿宋_GB2312"/>
          <w:b/>
          <w:color w:val="auto"/>
          <w:kern w:val="0"/>
          <w:sz w:val="32"/>
          <w:szCs w:val="32"/>
          <w:highlight w:val="none"/>
        </w:rPr>
      </w:pPr>
    </w:p>
    <w:tbl>
      <w:tblPr>
        <w:tblStyle w:val="13"/>
        <w:tblW w:w="6517" w:type="pct"/>
        <w:tblInd w:w="-14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60"/>
        <w:gridCol w:w="1474"/>
        <w:gridCol w:w="1306"/>
        <w:gridCol w:w="1027"/>
        <w:gridCol w:w="1107"/>
        <w:gridCol w:w="418"/>
        <w:gridCol w:w="702"/>
        <w:gridCol w:w="1146"/>
        <w:gridCol w:w="20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宋体" w:cs="Times New Roman"/>
                <w:i w:val="0"/>
                <w:iCs w:val="0"/>
                <w:color w:val="000000"/>
                <w:kern w:val="0"/>
                <w:sz w:val="20"/>
                <w:szCs w:val="20"/>
                <w:highlight w:val="none"/>
                <w:u w:val="none"/>
                <w:lang w:val="en-US" w:eastAsia="zh-CN" w:bidi="ar"/>
              </w:rPr>
              <w:t>07</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927" w:type="pct"/>
            <w:gridSpan w:val="3"/>
            <w:tcBorders>
              <w:top w:val="nil"/>
              <w:left w:val="nil"/>
              <w:bottom w:val="single" w:color="auto" w:sz="4"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编制部门（单位）：石家庄广播电视台(本级) </w:t>
            </w:r>
            <w:r>
              <w:rPr>
                <w:rFonts w:hint="eastAsia" w:ascii="宋体" w:hAnsi="宋体" w:eastAsia="宋体" w:cs="宋体"/>
                <w:i w:val="0"/>
                <w:iCs w:val="0"/>
                <w:color w:val="000000"/>
                <w:kern w:val="0"/>
                <w:sz w:val="20"/>
                <w:szCs w:val="20"/>
                <w:highlight w:val="none"/>
                <w:u w:val="none"/>
                <w:lang w:val="en-US" w:eastAsia="zh-CN" w:bidi="ar"/>
              </w:rPr>
              <w:t xml:space="preserve">                                                                                     </w:t>
            </w:r>
          </w:p>
        </w:tc>
        <w:tc>
          <w:tcPr>
            <w:tcW w:w="1217" w:type="pct"/>
            <w:gridSpan w:val="3"/>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854" w:type="pct"/>
            <w:gridSpan w:val="3"/>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w:t>
            </w:r>
          </w:p>
        </w:tc>
        <w:tc>
          <w:tcPr>
            <w:tcW w:w="623"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年初结转和结余</w:t>
            </w:r>
          </w:p>
        </w:tc>
        <w:tc>
          <w:tcPr>
            <w:tcW w:w="489" w:type="pct"/>
            <w:vMerge w:val="restart"/>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本年收入</w:t>
            </w:r>
          </w:p>
        </w:tc>
        <w:tc>
          <w:tcPr>
            <w:tcW w:w="1609" w:type="pct"/>
            <w:gridSpan w:val="4"/>
            <w:tcBorders>
              <w:top w:val="single" w:color="auto" w:sz="4" w:space="0"/>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本年支出</w:t>
            </w:r>
          </w:p>
        </w:tc>
        <w:tc>
          <w:tcPr>
            <w:tcW w:w="973" w:type="pct"/>
            <w:vMerge w:val="restart"/>
            <w:tcBorders>
              <w:top w:val="single" w:color="auto" w:sz="4" w:space="0"/>
              <w:left w:val="nil"/>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703"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科目名称</w:t>
            </w:r>
          </w:p>
        </w:tc>
        <w:tc>
          <w:tcPr>
            <w:tcW w:w="62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小计</w:t>
            </w:r>
          </w:p>
        </w:tc>
        <w:tc>
          <w:tcPr>
            <w:tcW w:w="534" w:type="pct"/>
            <w:gridSpan w:val="2"/>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基本支出</w:t>
            </w:r>
          </w:p>
        </w:tc>
        <w:tc>
          <w:tcPr>
            <w:tcW w:w="546" w:type="pct"/>
            <w:vMerge w:val="restart"/>
            <w:tcBorders>
              <w:top w:val="nil"/>
              <w:left w:val="nil"/>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项目支出</w:t>
            </w:r>
          </w:p>
        </w:tc>
        <w:tc>
          <w:tcPr>
            <w:tcW w:w="973" w:type="pct"/>
            <w:vMerge w:val="continue"/>
            <w:tcBorders>
              <w:left w:val="nil"/>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结转</w:t>
            </w:r>
          </w:p>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nil"/>
              <w:left w:val="single" w:color="000000" w:sz="4" w:space="0"/>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nil"/>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nil"/>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nil"/>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nil"/>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left w:val="nil"/>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601" w:type="pct"/>
            <w:vMerge w:val="continue"/>
            <w:tcBorders>
              <w:top w:val="nil"/>
              <w:left w:val="single" w:color="000000" w:sz="4" w:space="0"/>
              <w:bottom w:val="single" w:color="auto"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703" w:type="pct"/>
            <w:vMerge w:val="continue"/>
            <w:tcBorders>
              <w:top w:val="nil"/>
              <w:left w:val="nil"/>
              <w:bottom w:val="single" w:color="auto"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623"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489" w:type="pct"/>
            <w:vMerge w:val="continue"/>
            <w:tcBorders>
              <w:top w:val="single" w:color="000000" w:sz="4" w:space="0"/>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28" w:type="pct"/>
            <w:vMerge w:val="continue"/>
            <w:tcBorders>
              <w:top w:val="nil"/>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34" w:type="pct"/>
            <w:gridSpan w:val="2"/>
            <w:vMerge w:val="continue"/>
            <w:tcBorders>
              <w:top w:val="nil"/>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546" w:type="pct"/>
            <w:vMerge w:val="continue"/>
            <w:tcBorders>
              <w:top w:val="nil"/>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973" w:type="pct"/>
            <w:vMerge w:val="continue"/>
            <w:tcBorders>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04"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栏次</w:t>
            </w:r>
          </w:p>
        </w:tc>
        <w:tc>
          <w:tcPr>
            <w:tcW w:w="623" w:type="pct"/>
            <w:tcBorders>
              <w:top w:val="nil"/>
              <w:left w:val="single" w:color="auto"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1</w:t>
            </w:r>
          </w:p>
        </w:tc>
        <w:tc>
          <w:tcPr>
            <w:tcW w:w="489"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2</w:t>
            </w:r>
          </w:p>
        </w:tc>
        <w:tc>
          <w:tcPr>
            <w:tcW w:w="528"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3</w:t>
            </w:r>
          </w:p>
        </w:tc>
        <w:tc>
          <w:tcPr>
            <w:tcW w:w="534"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4</w:t>
            </w:r>
          </w:p>
        </w:tc>
        <w:tc>
          <w:tcPr>
            <w:tcW w:w="546"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rPr>
            </w:pPr>
            <w:r>
              <w:rPr>
                <w:rFonts w:hint="default" w:ascii="Times New Roman" w:hAnsi="Times New Roman" w:eastAsia="方正仿宋_GB2312" w:cs="Times New Roman"/>
                <w:i w:val="0"/>
                <w:iCs w:val="0"/>
                <w:color w:val="000000"/>
                <w:kern w:val="0"/>
                <w:sz w:val="20"/>
                <w:szCs w:val="20"/>
                <w:highlight w:val="none"/>
                <w:u w:val="none"/>
                <w:lang w:val="en-US" w:eastAsia="zh-CN" w:bidi="ar"/>
              </w:rPr>
              <w:t>5</w:t>
            </w:r>
          </w:p>
        </w:tc>
        <w:tc>
          <w:tcPr>
            <w:tcW w:w="973"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20"/>
                <w:szCs w:val="20"/>
                <w:highlight w:val="none"/>
                <w:u w:val="none"/>
                <w:lang w:val="en-US" w:eastAsia="zh-CN"/>
              </w:rPr>
            </w:pPr>
            <w:r>
              <w:rPr>
                <w:rFonts w:hint="default" w:ascii="Times New Roman" w:hAnsi="Times New Roman" w:eastAsia="方正仿宋_GB2312" w:cs="Times New Roman"/>
                <w:i w:val="0"/>
                <w:iCs w:val="0"/>
                <w:color w:val="000000"/>
                <w:sz w:val="20"/>
                <w:szCs w:val="20"/>
                <w:highlight w:val="none"/>
                <w:u w:val="none"/>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9" w:hRule="atLeast"/>
        </w:trPr>
        <w:tc>
          <w:tcPr>
            <w:tcW w:w="1304"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合计</w:t>
            </w:r>
          </w:p>
        </w:tc>
        <w:tc>
          <w:tcPr>
            <w:tcW w:w="623" w:type="pct"/>
            <w:tcBorders>
              <w:top w:val="nil"/>
              <w:left w:val="single" w:color="auto"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136.81</w:t>
            </w:r>
          </w:p>
        </w:tc>
        <w:tc>
          <w:tcPr>
            <w:tcW w:w="528"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136.81</w:t>
            </w:r>
          </w:p>
        </w:tc>
        <w:tc>
          <w:tcPr>
            <w:tcW w:w="534"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136.81</w:t>
            </w:r>
          </w:p>
        </w:tc>
        <w:tc>
          <w:tcPr>
            <w:tcW w:w="97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01" w:type="pct"/>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232</w:t>
            </w:r>
          </w:p>
        </w:tc>
        <w:tc>
          <w:tcPr>
            <w:tcW w:w="703" w:type="pct"/>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债务付息支出</w:t>
            </w:r>
          </w:p>
        </w:tc>
        <w:tc>
          <w:tcPr>
            <w:tcW w:w="62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136.81</w:t>
            </w:r>
          </w:p>
        </w:tc>
        <w:tc>
          <w:tcPr>
            <w:tcW w:w="528"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136.81</w:t>
            </w:r>
          </w:p>
        </w:tc>
        <w:tc>
          <w:tcPr>
            <w:tcW w:w="534"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136.81</w:t>
            </w:r>
          </w:p>
        </w:tc>
        <w:tc>
          <w:tcPr>
            <w:tcW w:w="97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01" w:type="pct"/>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23204</w:t>
            </w:r>
          </w:p>
        </w:tc>
        <w:tc>
          <w:tcPr>
            <w:tcW w:w="703" w:type="pct"/>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地方政府专项债务付息支出</w:t>
            </w:r>
          </w:p>
        </w:tc>
        <w:tc>
          <w:tcPr>
            <w:tcW w:w="62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136.81</w:t>
            </w:r>
          </w:p>
        </w:tc>
        <w:tc>
          <w:tcPr>
            <w:tcW w:w="528"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136.81</w:t>
            </w:r>
          </w:p>
        </w:tc>
        <w:tc>
          <w:tcPr>
            <w:tcW w:w="534"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136.81</w:t>
            </w:r>
          </w:p>
        </w:tc>
        <w:tc>
          <w:tcPr>
            <w:tcW w:w="97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01" w:type="pct"/>
            <w:tcBorders>
              <w:top w:val="nil"/>
              <w:left w:val="single" w:color="000000" w:sz="4" w:space="0"/>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2320498</w:t>
            </w:r>
          </w:p>
        </w:tc>
        <w:tc>
          <w:tcPr>
            <w:tcW w:w="703" w:type="pct"/>
            <w:tcBorders>
              <w:top w:val="nil"/>
              <w:left w:val="nil"/>
              <w:bottom w:val="single" w:color="000000" w:sz="4" w:space="0"/>
              <w:right w:val="single" w:color="000000" w:sz="4" w:space="0"/>
            </w:tcBorders>
            <w:noWrap/>
            <w:vAlign w:val="center"/>
          </w:tcPr>
          <w:p>
            <w:pPr>
              <w:jc w:val="left"/>
              <w:rPr>
                <w:rFonts w:hint="eastAsia" w:ascii="方正仿宋_GB2312" w:hAnsi="方正仿宋_GB2312" w:eastAsia="方正仿宋_GB2312" w:cs="方正仿宋_GB2312"/>
                <w:i w:val="0"/>
                <w:iCs w:val="0"/>
                <w:color w:val="000000"/>
                <w:sz w:val="20"/>
                <w:szCs w:val="20"/>
                <w:highlight w:val="none"/>
                <w:u w:val="none"/>
              </w:rPr>
            </w:pPr>
            <w:r>
              <w:rPr>
                <w:rFonts w:hint="eastAsia" w:ascii="方正仿宋_GB2312" w:hAnsi="方正仿宋_GB2312" w:eastAsia="方正仿宋_GB2312" w:cs="方正仿宋_GB2312"/>
                <w:i w:val="0"/>
                <w:iCs w:val="0"/>
                <w:color w:val="000000"/>
                <w:sz w:val="20"/>
                <w:szCs w:val="20"/>
                <w:highlight w:val="none"/>
                <w:u w:val="none"/>
                <w:lang w:val="en-US" w:eastAsia="zh-CN"/>
              </w:rPr>
              <w:t>其他地方自行试点项目收益专项债券付息支出</w:t>
            </w:r>
          </w:p>
        </w:tc>
        <w:tc>
          <w:tcPr>
            <w:tcW w:w="62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489"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136.81</w:t>
            </w:r>
          </w:p>
        </w:tc>
        <w:tc>
          <w:tcPr>
            <w:tcW w:w="528"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136.81</w:t>
            </w:r>
          </w:p>
        </w:tc>
        <w:tc>
          <w:tcPr>
            <w:tcW w:w="534"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546"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spacing w:val="-2"/>
                <w:sz w:val="20"/>
                <w:szCs w:val="20"/>
                <w:highlight w:val="none"/>
                <w:lang w:val="en-US" w:eastAsia="zh-CN"/>
              </w:rPr>
              <w:t>136.81</w:t>
            </w:r>
          </w:p>
        </w:tc>
        <w:tc>
          <w:tcPr>
            <w:tcW w:w="973"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9"/>
            <w:tcBorders>
              <w:top w:val="nil"/>
              <w:left w:val="nil"/>
              <w:bottom w:val="nil"/>
              <w:right w:val="nil"/>
            </w:tcBorders>
            <w:noWrap/>
            <w:vAlign w:val="center"/>
          </w:tcPr>
          <w:p>
            <w:pP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注：本表反映部门本年度政府性基金预算财政拨款收入、支出及结转和结余情况。</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br w:type="page"/>
            </w:r>
          </w:p>
        </w:tc>
      </w:tr>
    </w:tbl>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pPr>
        <w:keepNext w:val="0"/>
        <w:keepLines w:val="0"/>
        <w:widowControl/>
        <w:suppressLineNumbers w:val="0"/>
        <w:jc w:val="center"/>
        <w:textAlignment w:val="bottom"/>
        <w:rPr>
          <w:rFonts w:hint="eastAsia" w:ascii="宋体" w:hAnsi="宋体" w:eastAsia="宋体" w:cs="宋体"/>
          <w:spacing w:val="-2"/>
          <w:sz w:val="20"/>
          <w:highlight w:val="none"/>
          <w:lang w:val="en-US" w:eastAsia="zh-CN"/>
        </w:rPr>
      </w:pP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17"/>
        <w:gridCol w:w="731"/>
        <w:gridCol w:w="1296"/>
        <w:gridCol w:w="1332"/>
        <w:gridCol w:w="5"/>
        <w:gridCol w:w="47"/>
        <w:gridCol w:w="1281"/>
        <w:gridCol w:w="10"/>
        <w:gridCol w:w="13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9"/>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00" w:type="pct"/>
            <w:gridSpan w:val="9"/>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公开</w:t>
            </w:r>
            <w:r>
              <w:rPr>
                <w:rFonts w:hint="default" w:ascii="Times New Roman" w:hAnsi="Times New Roman" w:eastAsia="方正仿宋_GB2312" w:cs="Times New Roman"/>
                <w:i w:val="0"/>
                <w:iCs w:val="0"/>
                <w:color w:val="000000"/>
                <w:kern w:val="0"/>
                <w:sz w:val="20"/>
                <w:szCs w:val="20"/>
                <w:highlight w:val="none"/>
                <w:u w:val="none"/>
                <w:lang w:val="en-US" w:eastAsia="zh-CN" w:bidi="ar"/>
              </w:rPr>
              <w:t>08</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708" w:type="pct"/>
            <w:gridSpan w:val="2"/>
            <w:tcBorders>
              <w:top w:val="nil"/>
              <w:left w:val="nil"/>
              <w:bottom w:val="single" w:color="auto" w:sz="4" w:space="0"/>
              <w:right w:val="nil"/>
            </w:tcBorders>
            <w:noWrap/>
            <w:vAlign w:val="bottom"/>
          </w:tcPr>
          <w:p>
            <w:pPr>
              <w:keepNext w:val="0"/>
              <w:keepLines w:val="0"/>
              <w:widowControl/>
              <w:suppressLineNumbers w:val="0"/>
              <w:jc w:val="both"/>
              <w:textAlignment w:val="bottom"/>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编制部门（单位）：石家庄广播电视台(本级)</w:t>
            </w:r>
          </w:p>
        </w:tc>
        <w:tc>
          <w:tcPr>
            <w:tcW w:w="1666" w:type="pct"/>
            <w:gridSpan w:val="4"/>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20"/>
                <w:szCs w:val="20"/>
                <w:highlight w:val="none"/>
                <w:u w:val="none"/>
                <w:lang w:val="en-US" w:eastAsia="zh-CN" w:bidi="ar"/>
              </w:rPr>
            </w:pPr>
            <w:r>
              <w:rPr>
                <w:rFonts w:hint="default" w:ascii="Times New Roman" w:hAnsi="Times New Roman" w:eastAsia="宋体" w:cs="Times New Roman"/>
                <w:i w:val="0"/>
                <w:iCs w:val="0"/>
                <w:color w:val="000000"/>
                <w:kern w:val="0"/>
                <w:sz w:val="20"/>
                <w:szCs w:val="20"/>
                <w:highlight w:val="none"/>
                <w:u w:val="none"/>
                <w:lang w:val="en-US" w:eastAsia="zh-CN" w:bidi="ar"/>
              </w:rPr>
              <w:t>2023</w:t>
            </w: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年度</w:t>
            </w:r>
          </w:p>
        </w:tc>
        <w:tc>
          <w:tcPr>
            <w:tcW w:w="1624" w:type="pct"/>
            <w:gridSpan w:val="3"/>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0"/>
                <w:szCs w:val="20"/>
                <w:highlight w:val="none"/>
                <w:u w:val="none"/>
                <w:lang w:val="en-US" w:eastAsia="zh-CN" w:bidi="ar"/>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515" w:type="pct"/>
            <w:gridSpan w:val="3"/>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 xml:space="preserve"> 项目</w:t>
            </w:r>
          </w:p>
        </w:tc>
        <w:tc>
          <w:tcPr>
            <w:tcW w:w="2484" w:type="pct"/>
            <w:gridSpan w:val="6"/>
            <w:vMerge w:val="restart"/>
            <w:tcBorders>
              <w:top w:val="single" w:color="auto"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2515" w:type="pct"/>
            <w:gridSpan w:val="3"/>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c>
          <w:tcPr>
            <w:tcW w:w="2484" w:type="pct"/>
            <w:gridSpan w:val="6"/>
            <w:vMerge w:val="continue"/>
            <w:tcBorders>
              <w:left w:val="single" w:color="auto"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54" w:type="pct"/>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科目代码</w:t>
            </w:r>
          </w:p>
        </w:tc>
        <w:tc>
          <w:tcPr>
            <w:tcW w:w="1260"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科目名称</w:t>
            </w:r>
          </w:p>
        </w:tc>
        <w:tc>
          <w:tcPr>
            <w:tcW w:w="831" w:type="pct"/>
            <w:gridSpan w:val="2"/>
            <w:vMerge w:val="restart"/>
            <w:tcBorders>
              <w:top w:val="nil"/>
              <w:left w:val="single" w:color="auto"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合计</w:t>
            </w:r>
          </w:p>
        </w:tc>
        <w:tc>
          <w:tcPr>
            <w:tcW w:w="831" w:type="pct"/>
            <w:gridSpan w:val="3"/>
            <w:vMerge w:val="restart"/>
            <w:tcBorders>
              <w:top w:val="nil"/>
              <w:left w:val="nil"/>
              <w:right w:val="single" w:color="000000" w:sz="4"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基本支出</w:t>
            </w:r>
          </w:p>
        </w:tc>
        <w:tc>
          <w:tcPr>
            <w:tcW w:w="821" w:type="pct"/>
            <w:vMerge w:val="restart"/>
            <w:tcBorders>
              <w:top w:val="nil"/>
              <w:left w:val="nil"/>
              <w:right w:val="single" w:color="000000" w:sz="4" w:space="0"/>
            </w:tcBorders>
            <w:noWrap w:val="0"/>
            <w:vAlign w:val="center"/>
          </w:tcPr>
          <w:p>
            <w:pPr>
              <w:jc w:val="center"/>
              <w:rPr>
                <w:rFonts w:hint="default" w:ascii="方正仿宋_GB2312" w:hAnsi="方正仿宋_GB2312" w:eastAsia="方正仿宋_GB2312" w:cs="方正仿宋_GB2312"/>
                <w:i w:val="0"/>
                <w:iCs w:val="0"/>
                <w:color w:val="000000"/>
                <w:sz w:val="20"/>
                <w:szCs w:val="20"/>
                <w:highlight w:val="none"/>
                <w:u w:val="none"/>
                <w:lang w:val="en-US" w:eastAsia="zh-CN"/>
              </w:rPr>
            </w:pPr>
            <w:r>
              <w:rPr>
                <w:rFonts w:hint="eastAsia" w:ascii="方正仿宋_GB2312" w:hAnsi="方正仿宋_GB2312" w:eastAsia="方正仿宋_GB2312" w:cs="方正仿宋_GB2312"/>
                <w:i w:val="0"/>
                <w:iCs w:val="0"/>
                <w:color w:val="000000"/>
                <w:sz w:val="20"/>
                <w:szCs w:val="20"/>
                <w:highlight w:val="none"/>
                <w:u w:val="none"/>
                <w:lang w:val="en-US" w:eastAsia="zh-CN"/>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254" w:type="pct"/>
            <w:vMerge w:val="continue"/>
            <w:tcBorders>
              <w:top w:val="single" w:color="auto" w:sz="4" w:space="0"/>
              <w:left w:val="single" w:color="auto" w:sz="4" w:space="0"/>
              <w:bottom w:val="single" w:color="auto"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1260" w:type="pct"/>
            <w:gridSpan w:val="2"/>
            <w:vMerge w:val="continue"/>
            <w:tcBorders>
              <w:top w:val="single" w:color="auto" w:sz="4" w:space="0"/>
              <w:left w:val="nil"/>
              <w:bottom w:val="single" w:color="auto" w:sz="4" w:space="0"/>
              <w:right w:val="single" w:color="auto"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31" w:type="pct"/>
            <w:gridSpan w:val="2"/>
            <w:vMerge w:val="continue"/>
            <w:tcBorders>
              <w:left w:val="single" w:color="auto" w:sz="4" w:space="0"/>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31" w:type="pct"/>
            <w:gridSpan w:val="3"/>
            <w:vMerge w:val="continue"/>
            <w:tcBorders>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c>
          <w:tcPr>
            <w:tcW w:w="821" w:type="pct"/>
            <w:vMerge w:val="continue"/>
            <w:tcBorders>
              <w:left w:val="nil"/>
              <w:bottom w:val="single" w:color="000000" w:sz="4" w:space="0"/>
              <w:right w:val="single" w:color="000000" w:sz="4" w:space="0"/>
            </w:tcBorders>
            <w:noWrap w:val="0"/>
            <w:vAlign w:val="center"/>
          </w:tcPr>
          <w:p>
            <w:pPr>
              <w:jc w:val="center"/>
              <w:rPr>
                <w:rFonts w:hint="eastAsia" w:ascii="方正仿宋_GB2312" w:hAnsi="方正仿宋_GB2312" w:eastAsia="方正仿宋_GB2312" w:cs="方正仿宋_GB2312"/>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15" w:type="pct"/>
            <w:gridSpan w:val="3"/>
            <w:tcBorders>
              <w:top w:val="single" w:color="auto" w:sz="4" w:space="0"/>
              <w:left w:val="single" w:color="auto" w:sz="4" w:space="0"/>
              <w:bottom w:val="single" w:color="000000" w:sz="4" w:space="0"/>
              <w:right w:val="single" w:color="auto" w:sz="4"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栏次</w:t>
            </w:r>
          </w:p>
        </w:tc>
        <w:tc>
          <w:tcPr>
            <w:tcW w:w="828" w:type="pct"/>
            <w:tcBorders>
              <w:top w:val="nil"/>
              <w:left w:val="single" w:color="auto"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1</w:t>
            </w:r>
          </w:p>
        </w:tc>
        <w:tc>
          <w:tcPr>
            <w:tcW w:w="828" w:type="pct"/>
            <w:gridSpan w:val="3"/>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2</w:t>
            </w:r>
          </w:p>
        </w:tc>
        <w:tc>
          <w:tcPr>
            <w:tcW w:w="828"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Times New Roman" w:hAnsi="Times New Roman" w:eastAsia="方正仿宋_GB2312"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2515" w:type="pct"/>
            <w:gridSpan w:val="3"/>
            <w:tcBorders>
              <w:top w:val="single" w:color="000000" w:sz="4" w:space="0"/>
              <w:left w:val="single" w:color="000000" w:sz="4" w:space="0"/>
              <w:bottom w:val="single" w:color="000000" w:sz="4" w:space="0"/>
              <w:right w:val="single" w:color="000000" w:sz="4" w:space="0"/>
            </w:tcBorders>
            <w:noWrap/>
            <w:vAlign w:val="center"/>
          </w:tcPr>
          <w:p>
            <w:pPr>
              <w:jc w:val="center"/>
              <w:rPr>
                <w:rFonts w:hint="default" w:ascii="Times New Roman" w:hAnsi="Times New Roman" w:eastAsia="宋体" w:cs="Times New Roman"/>
                <w:i w:val="0"/>
                <w:iCs w:val="0"/>
                <w:color w:val="000000"/>
                <w:sz w:val="20"/>
                <w:szCs w:val="20"/>
                <w:highlight w:val="none"/>
                <w:u w:val="none"/>
                <w:lang w:val="en-US" w:eastAsia="zh-CN"/>
              </w:rPr>
            </w:pPr>
            <w:r>
              <w:rPr>
                <w:rFonts w:hint="eastAsia" w:ascii="Times New Roman" w:hAnsi="Times New Roman" w:eastAsia="方正仿宋_GB2312" w:cs="Times New Roman"/>
                <w:i w:val="0"/>
                <w:iCs w:val="0"/>
                <w:color w:val="000000"/>
                <w:sz w:val="20"/>
                <w:szCs w:val="20"/>
                <w:highlight w:val="none"/>
                <w:u w:val="none"/>
                <w:lang w:val="en-US" w:eastAsia="zh-CN"/>
              </w:rPr>
              <w:t>合计</w:t>
            </w:r>
          </w:p>
        </w:tc>
        <w:tc>
          <w:tcPr>
            <w:tcW w:w="828" w:type="pct"/>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28" w:type="pct"/>
            <w:gridSpan w:val="3"/>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c>
          <w:tcPr>
            <w:tcW w:w="828" w:type="pct"/>
            <w:gridSpan w:val="2"/>
            <w:tcBorders>
              <w:top w:val="single" w:color="000000" w:sz="4" w:space="0"/>
              <w:left w:val="single" w:color="000000" w:sz="4" w:space="0"/>
              <w:bottom w:val="single" w:color="000000" w:sz="4" w:space="0"/>
              <w:right w:val="single" w:color="000000" w:sz="4" w:space="0"/>
            </w:tcBorders>
            <w:noWrap/>
            <w:vAlign w:val="center"/>
          </w:tcPr>
          <w:p>
            <w:pPr>
              <w:jc w:val="right"/>
              <w:rPr>
                <w:rFonts w:hint="default" w:ascii="Times New Roman" w:hAnsi="Times New Roman" w:eastAsia="宋体" w:cs="Times New Roman"/>
                <w:i w:val="0"/>
                <w:iCs w:val="0"/>
                <w:color w:val="000000"/>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9"/>
            <w:tcBorders>
              <w:top w:val="nil"/>
              <w:left w:val="nil"/>
              <w:bottom w:val="nil"/>
              <w:right w:val="nil"/>
            </w:tcBorders>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highlight w:val="none"/>
                <w:u w:val="none"/>
              </w:rPr>
            </w:pPr>
            <w:r>
              <w:rPr>
                <w:rFonts w:hint="eastAsia" w:ascii="方正仿宋_GB2312" w:hAnsi="方正仿宋_GB2312" w:eastAsia="方正仿宋_GB2312" w:cs="方正仿宋_GB2312"/>
                <w:i w:val="0"/>
                <w:iCs w:val="0"/>
                <w:color w:val="000000"/>
                <w:kern w:val="0"/>
                <w:sz w:val="20"/>
                <w:szCs w:val="20"/>
                <w:highlight w:val="none"/>
                <w:u w:val="none"/>
                <w:lang w:val="en-US" w:eastAsia="zh-CN" w:bidi="ar"/>
              </w:rPr>
              <w:t>注：本表反映部门本年度国有资本经营预算财政拨款支出情况。我单位公开08表无相关数据，按要求以空表列示。</w:t>
            </w:r>
          </w:p>
        </w:tc>
      </w:tr>
    </w:tbl>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tbl>
      <w:tblPr>
        <w:tblStyle w:val="13"/>
        <w:tblpPr w:leftFromText="180" w:rightFromText="180" w:vertAnchor="text" w:horzAnchor="page" w:tblpX="282" w:tblpY="39"/>
        <w:tblOverlap w:val="never"/>
        <w:tblW w:w="7211"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87"/>
        <w:gridCol w:w="1226"/>
        <w:gridCol w:w="814"/>
        <w:gridCol w:w="946"/>
        <w:gridCol w:w="519"/>
        <w:gridCol w:w="544"/>
        <w:gridCol w:w="777"/>
        <w:gridCol w:w="845"/>
        <w:gridCol w:w="5"/>
        <w:gridCol w:w="1133"/>
        <w:gridCol w:w="640"/>
        <w:gridCol w:w="1027"/>
        <w:gridCol w:w="946"/>
        <w:gridCol w:w="118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5000" w:type="pct"/>
            <w:gridSpan w:val="14"/>
            <w:tcBorders>
              <w:top w:val="nil"/>
              <w:left w:val="nil"/>
              <w:bottom w:val="nil"/>
              <w:right w:val="nil"/>
            </w:tcBorders>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b w:val="0"/>
                <w:bCs/>
                <w:color w:val="auto"/>
                <w:kern w:val="0"/>
                <w:sz w:val="32"/>
                <w:szCs w:val="32"/>
                <w:highlight w:val="none"/>
                <w:lang w:val="en-US" w:eastAsia="zh-CN"/>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5000" w:type="pct"/>
            <w:gridSpan w:val="14"/>
            <w:tcBorders>
              <w:top w:val="nil"/>
              <w:left w:val="nil"/>
              <w:bottom w:val="nil"/>
              <w:right w:val="nil"/>
            </w:tcBorders>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公开</w:t>
            </w:r>
            <w:r>
              <w:rPr>
                <w:rFonts w:hint="default" w:ascii="Times New Roman" w:hAnsi="Times New Roman" w:eastAsia="方正仿宋_GB2312" w:cs="Times New Roman"/>
                <w:i w:val="0"/>
                <w:iCs w:val="0"/>
                <w:color w:val="000000"/>
                <w:kern w:val="0"/>
                <w:sz w:val="18"/>
                <w:szCs w:val="18"/>
                <w:highlight w:val="none"/>
                <w:u w:val="none"/>
                <w:lang w:val="en-US" w:eastAsia="zh-CN" w:bidi="ar"/>
              </w:rPr>
              <w:t>09</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1936" w:type="pct"/>
            <w:gridSpan w:val="5"/>
            <w:tcBorders>
              <w:top w:val="nil"/>
              <w:left w:val="nil"/>
              <w:bottom w:val="single" w:color="auto" w:sz="4" w:space="0"/>
              <w:right w:val="nil"/>
            </w:tcBorders>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编制部门（单位）：石家庄广播电视台(本级)</w:t>
            </w:r>
          </w:p>
        </w:tc>
        <w:tc>
          <w:tcPr>
            <w:tcW w:w="933" w:type="pct"/>
            <w:gridSpan w:val="3"/>
            <w:tcBorders>
              <w:top w:val="nil"/>
              <w:left w:val="nil"/>
              <w:bottom w:val="single" w:color="auto" w:sz="4" w:space="0"/>
              <w:right w:val="nil"/>
            </w:tcBorders>
            <w:noWrap/>
            <w:vAlign w:val="bottom"/>
          </w:tcPr>
          <w:p>
            <w:pPr>
              <w:keepNext w:val="0"/>
              <w:keepLines w:val="0"/>
              <w:widowControl/>
              <w:suppressLineNumbers w:val="0"/>
              <w:jc w:val="center"/>
              <w:textAlignment w:val="bottom"/>
              <w:rPr>
                <w:rFonts w:hint="default" w:ascii="宋体" w:hAnsi="宋体" w:eastAsia="宋体" w:cs="宋体"/>
                <w:i w:val="0"/>
                <w:iCs w:val="0"/>
                <w:color w:val="000000"/>
                <w:kern w:val="0"/>
                <w:sz w:val="18"/>
                <w:szCs w:val="18"/>
                <w:highlight w:val="none"/>
                <w:u w:val="none"/>
                <w:lang w:val="en-US" w:eastAsia="zh-CN" w:bidi="ar"/>
              </w:rPr>
            </w:pPr>
            <w:r>
              <w:rPr>
                <w:rFonts w:hint="default" w:ascii="Times New Roman" w:hAnsi="Times New Roman" w:eastAsia="宋体" w:cs="Times New Roman"/>
                <w:i w:val="0"/>
                <w:iCs w:val="0"/>
                <w:color w:val="000000"/>
                <w:kern w:val="0"/>
                <w:sz w:val="18"/>
                <w:szCs w:val="18"/>
                <w:highlight w:val="none"/>
                <w:u w:val="none"/>
                <w:lang w:val="en-US" w:eastAsia="zh-CN" w:bidi="ar"/>
              </w:rPr>
              <w:t>2023</w:t>
            </w: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年度</w:t>
            </w:r>
          </w:p>
        </w:tc>
        <w:tc>
          <w:tcPr>
            <w:tcW w:w="2129" w:type="pct"/>
            <w:gridSpan w:val="6"/>
            <w:tcBorders>
              <w:top w:val="nil"/>
              <w:left w:val="nil"/>
              <w:bottom w:val="single" w:color="auto" w:sz="4" w:space="0"/>
              <w:right w:val="nil"/>
            </w:tcBorders>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18"/>
                <w:szCs w:val="18"/>
                <w:highlight w:val="none"/>
                <w:u w:val="none"/>
                <w:lang w:val="en-US" w:eastAsia="zh-CN" w:bidi="ar"/>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2506" w:type="pct"/>
            <w:gridSpan w:val="7"/>
            <w:tcBorders>
              <w:top w:val="single" w:color="auto" w:sz="4" w:space="0"/>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预算数</w:t>
            </w:r>
          </w:p>
        </w:tc>
        <w:tc>
          <w:tcPr>
            <w:tcW w:w="2493" w:type="pct"/>
            <w:gridSpan w:val="7"/>
            <w:tcBorders>
              <w:top w:val="single" w:color="auto" w:sz="4" w:space="0"/>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restar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528"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217" w:type="pct"/>
            <w:gridSpan w:val="4"/>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335"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c>
          <w:tcPr>
            <w:tcW w:w="366" w:type="pct"/>
            <w:gridSpan w:val="2"/>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合计</w:t>
            </w:r>
          </w:p>
        </w:tc>
        <w:tc>
          <w:tcPr>
            <w:tcW w:w="488"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因公出国（境）费</w:t>
            </w:r>
          </w:p>
        </w:tc>
        <w:tc>
          <w:tcPr>
            <w:tcW w:w="1126" w:type="pct"/>
            <w:gridSpan w:val="3"/>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公务用车购置及运行维护费</w:t>
            </w:r>
          </w:p>
        </w:tc>
        <w:tc>
          <w:tcPr>
            <w:tcW w:w="511" w:type="pct"/>
            <w:vMerge w:val="restar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vMerge w:val="continue"/>
            <w:tcBorders>
              <w:top w:val="nil"/>
              <w:left w:val="single" w:color="000000" w:sz="4" w:space="0"/>
              <w:bottom w:val="single" w:color="000000" w:sz="4" w:space="0"/>
              <w:right w:val="single" w:color="000000" w:sz="4"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528" w:type="pct"/>
            <w:vMerge w:val="continue"/>
            <w:tcBorders>
              <w:top w:val="nil"/>
              <w:left w:val="nil"/>
              <w:bottom w:val="single" w:color="000000" w:sz="4" w:space="0"/>
              <w:right w:val="single" w:color="000000" w:sz="4"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5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0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58"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335" w:type="pct"/>
            <w:vMerge w:val="continue"/>
            <w:tcBorders>
              <w:top w:val="nil"/>
              <w:left w:val="nil"/>
              <w:bottom w:val="single" w:color="000000" w:sz="4" w:space="0"/>
              <w:right w:val="single" w:color="000000" w:sz="4"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366" w:type="pct"/>
            <w:gridSpan w:val="2"/>
            <w:vMerge w:val="continue"/>
            <w:tcBorders>
              <w:top w:val="nil"/>
              <w:left w:val="nil"/>
              <w:bottom w:val="single" w:color="000000" w:sz="4" w:space="0"/>
              <w:right w:val="single" w:color="000000" w:sz="4"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488" w:type="pct"/>
            <w:vMerge w:val="continue"/>
            <w:tcBorders>
              <w:top w:val="nil"/>
              <w:left w:val="nil"/>
              <w:bottom w:val="single" w:color="000000" w:sz="4" w:space="0"/>
              <w:right w:val="single" w:color="000000" w:sz="4"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c>
          <w:tcPr>
            <w:tcW w:w="27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小计</w:t>
            </w:r>
          </w:p>
        </w:tc>
        <w:tc>
          <w:tcPr>
            <w:tcW w:w="442"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公务用车购置费</w:t>
            </w:r>
          </w:p>
        </w:tc>
        <w:tc>
          <w:tcPr>
            <w:tcW w:w="40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eastAsia" w:ascii="方正仿宋_GB2312" w:hAnsi="方正仿宋_GB2312" w:eastAsia="方正仿宋_GB2312" w:cs="方正仿宋_GB2312"/>
                <w:i w:val="0"/>
                <w:iCs w:val="0"/>
                <w:color w:val="000000"/>
                <w:sz w:val="18"/>
                <w:szCs w:val="18"/>
                <w:highlight w:val="none"/>
                <w:u w:val="none"/>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公务用车运行维护费</w:t>
            </w:r>
          </w:p>
        </w:tc>
        <w:tc>
          <w:tcPr>
            <w:tcW w:w="511" w:type="pct"/>
            <w:vMerge w:val="continue"/>
            <w:tcBorders>
              <w:top w:val="nil"/>
              <w:left w:val="nil"/>
              <w:bottom w:val="single" w:color="000000" w:sz="4" w:space="0"/>
              <w:right w:val="single" w:color="000000" w:sz="4" w:space="0"/>
            </w:tcBorders>
            <w:noWrap/>
            <w:vAlign w:val="center"/>
          </w:tcPr>
          <w:p>
            <w:pPr>
              <w:jc w:val="center"/>
              <w:rPr>
                <w:rFonts w:hint="eastAsia" w:ascii="方正仿宋_GB2312" w:hAnsi="方正仿宋_GB2312" w:eastAsia="方正仿宋_GB2312" w:cs="方正仿宋_GB2312"/>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nil"/>
              <w:left w:val="single" w:color="000000" w:sz="4" w:space="0"/>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w:t>
            </w:r>
          </w:p>
        </w:tc>
        <w:tc>
          <w:tcPr>
            <w:tcW w:w="528"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2</w:t>
            </w:r>
          </w:p>
        </w:tc>
        <w:tc>
          <w:tcPr>
            <w:tcW w:w="350"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3</w:t>
            </w:r>
          </w:p>
        </w:tc>
        <w:tc>
          <w:tcPr>
            <w:tcW w:w="40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4</w:t>
            </w:r>
          </w:p>
        </w:tc>
        <w:tc>
          <w:tcPr>
            <w:tcW w:w="458"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5</w:t>
            </w:r>
          </w:p>
        </w:tc>
        <w:tc>
          <w:tcPr>
            <w:tcW w:w="33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6</w:t>
            </w:r>
          </w:p>
        </w:tc>
        <w:tc>
          <w:tcPr>
            <w:tcW w:w="366" w:type="pct"/>
            <w:gridSpan w:val="2"/>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7</w:t>
            </w:r>
          </w:p>
        </w:tc>
        <w:tc>
          <w:tcPr>
            <w:tcW w:w="488"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8</w:t>
            </w:r>
          </w:p>
        </w:tc>
        <w:tc>
          <w:tcPr>
            <w:tcW w:w="275"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9</w:t>
            </w:r>
          </w:p>
        </w:tc>
        <w:tc>
          <w:tcPr>
            <w:tcW w:w="442"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10</w:t>
            </w:r>
          </w:p>
        </w:tc>
        <w:tc>
          <w:tcPr>
            <w:tcW w:w="407"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11</w:t>
            </w:r>
          </w:p>
        </w:tc>
        <w:tc>
          <w:tcPr>
            <w:tcW w:w="511" w:type="pct"/>
            <w:tcBorders>
              <w:top w:val="nil"/>
              <w:left w:val="nil"/>
              <w:bottom w:val="single" w:color="000000" w:sz="4" w:space="0"/>
              <w:right w:val="single" w:color="000000" w:sz="4" w:space="0"/>
            </w:tcBorders>
            <w:noWrap/>
            <w:vAlign w:val="center"/>
          </w:tcPr>
          <w:p>
            <w:pPr>
              <w:keepNext w:val="0"/>
              <w:keepLines w:val="0"/>
              <w:widowControl/>
              <w:suppressLineNumbers w:val="0"/>
              <w:jc w:val="center"/>
              <w:textAlignment w:val="center"/>
              <w:rPr>
                <w:rFonts w:hint="default" w:ascii="Times New Roman" w:hAnsi="Times New Roman" w:eastAsia="方正仿宋_GB2312" w:cs="Times New Roman"/>
                <w:i w:val="0"/>
                <w:iCs w:val="0"/>
                <w:color w:val="000000"/>
                <w:sz w:val="18"/>
                <w:szCs w:val="18"/>
                <w:highlight w:val="none"/>
                <w:u w:val="none"/>
              </w:rPr>
            </w:pPr>
            <w:r>
              <w:rPr>
                <w:rFonts w:hint="default" w:ascii="Times New Roman" w:hAnsi="Times New Roman" w:eastAsia="方正仿宋_GB2312" w:cs="Times New Roman"/>
                <w:i w:val="0"/>
                <w:iCs w:val="0"/>
                <w:color w:val="000000"/>
                <w:kern w:val="0"/>
                <w:sz w:val="18"/>
                <w:szCs w:val="18"/>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425" w:type="pct"/>
            <w:tcBorders>
              <w:top w:val="nil"/>
              <w:left w:val="single" w:color="000000" w:sz="4" w:space="0"/>
              <w:bottom w:val="single" w:color="000000" w:sz="4" w:space="0"/>
              <w:right w:val="single" w:color="000000" w:sz="4"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528"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50"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58"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35"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366" w:type="pct"/>
            <w:gridSpan w:val="2"/>
            <w:tcBorders>
              <w:top w:val="nil"/>
              <w:left w:val="nil"/>
              <w:bottom w:val="single" w:color="000000" w:sz="4" w:space="0"/>
              <w:right w:val="single" w:color="000000" w:sz="4"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88"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275"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42"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407"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c>
          <w:tcPr>
            <w:tcW w:w="511" w:type="pct"/>
            <w:tcBorders>
              <w:top w:val="nil"/>
              <w:left w:val="nil"/>
              <w:bottom w:val="single" w:color="000000" w:sz="4" w:space="0"/>
              <w:right w:val="single" w:color="000000" w:sz="4" w:space="0"/>
            </w:tcBorders>
            <w:noWrap/>
            <w:vAlign w:val="center"/>
          </w:tcPr>
          <w:p>
            <w:pPr>
              <w:jc w:val="right"/>
              <w:rPr>
                <w:rFonts w:hint="default" w:ascii="Times New Roman" w:hAnsi="Times New Roman" w:eastAsia="方正仿宋_GB2312" w:cs="Times New Roman"/>
                <w:i w:val="0"/>
                <w:iCs w:val="0"/>
                <w:color w:val="000000"/>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5000" w:type="pct"/>
            <w:gridSpan w:val="14"/>
            <w:tcBorders>
              <w:top w:val="nil"/>
              <w:left w:val="nil"/>
              <w:bottom w:val="nil"/>
              <w:right w:val="nil"/>
            </w:tcBorders>
            <w:noWrap/>
            <w:vAlign w:val="center"/>
          </w:tcPr>
          <w:p>
            <w:pPr>
              <w:keepNext w:val="0"/>
              <w:keepLines w:val="0"/>
              <w:widowControl/>
              <w:suppressLineNumbers w:val="0"/>
              <w:jc w:val="left"/>
              <w:textAlignment w:val="center"/>
              <w:rPr>
                <w:rFonts w:hint="default" w:ascii="宋体" w:hAnsi="宋体" w:eastAsia="宋体" w:cs="宋体"/>
                <w:i w:val="0"/>
                <w:iCs w:val="0"/>
                <w:color w:val="000000"/>
                <w:sz w:val="18"/>
                <w:szCs w:val="18"/>
                <w:highlight w:val="none"/>
                <w:u w:val="none"/>
                <w:lang w:val="en-US"/>
              </w:rPr>
            </w:pPr>
            <w:r>
              <w:rPr>
                <w:rFonts w:hint="eastAsia" w:ascii="方正仿宋_GB2312" w:hAnsi="方正仿宋_GB2312" w:eastAsia="方正仿宋_GB2312" w:cs="方正仿宋_GB2312"/>
                <w:i w:val="0"/>
                <w:iCs w:val="0"/>
                <w:color w:val="000000"/>
                <w:kern w:val="0"/>
                <w:sz w:val="18"/>
                <w:szCs w:val="18"/>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我单位无相关数据，按要求公开09表以空表列示。</w:t>
            </w:r>
          </w:p>
        </w:tc>
      </w:tr>
    </w:tbl>
    <w:p>
      <w:pPr>
        <w:rPr>
          <w:rFonts w:hint="eastAsia" w:ascii="仿宋_GB2312" w:hAnsi="宋体" w:eastAsia="仿宋_GB2312"/>
          <w:b/>
          <w:color w:val="auto"/>
          <w:kern w:val="0"/>
          <w:sz w:val="32"/>
          <w:szCs w:val="32"/>
          <w:highlight w:val="none"/>
        </w:rPr>
      </w:pPr>
      <w:r>
        <w:rPr>
          <w:rFonts w:hint="eastAsia" w:ascii="仿宋_GB2312" w:hAnsi="宋体" w:eastAsia="仿宋_GB2312"/>
          <w:b/>
          <w:color w:val="auto"/>
          <w:kern w:val="0"/>
          <w:sz w:val="32"/>
          <w:szCs w:val="32"/>
          <w:highlight w:val="none"/>
        </w:rPr>
        <w:br w:type="page"/>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仿宋_GB2312" w:hAnsi="宋体" w:eastAsia="仿宋_GB2312"/>
          <w:b/>
          <w:color w:val="auto"/>
          <w:kern w:val="0"/>
          <w:sz w:val="32"/>
          <w:szCs w:val="32"/>
          <w:highlight w:val="none"/>
        </w:rPr>
        <w:sectPr>
          <w:pgSz w:w="11906" w:h="16838"/>
          <w:pgMar w:top="1531" w:right="1984" w:bottom="1531" w:left="2098" w:header="851" w:footer="992" w:gutter="0"/>
          <w:cols w:space="720" w:num="1"/>
          <w:docGrid w:type="lines" w:linePitch="312" w:charSpace="0"/>
        </w:sect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outlineLvl w:val="0"/>
        <w:rPr>
          <w:rFonts w:hint="default" w:ascii="Arial" w:hAnsi="Arial" w:eastAsia="Arial" w:cs="Arial"/>
          <w:highlight w:val="none"/>
        </w:rPr>
      </w:pPr>
      <w:r>
        <w:rPr>
          <w:rFonts w:hint="eastAsia" w:ascii="黑体" w:hAnsi="宋体" w:eastAsia="黑体" w:cs="黑体"/>
          <w:i w:val="0"/>
          <w:iCs w:val="0"/>
          <w:caps w:val="0"/>
          <w:color w:val="000000"/>
          <w:spacing w:val="0"/>
          <w:sz w:val="72"/>
          <w:szCs w:val="72"/>
          <w:highlight w:val="none"/>
          <w:shd w:val="clear" w:fill="FFFFFF"/>
        </w:rPr>
        <w:t>第三部分</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spacing w:val="-20"/>
          <w:highlight w:val="none"/>
        </w:rPr>
      </w:pPr>
      <w:r>
        <w:rPr>
          <w:rFonts w:hint="eastAsia" w:ascii="黑体" w:hAnsi="宋体" w:eastAsia="黑体" w:cs="黑体"/>
          <w:i w:val="0"/>
          <w:iCs w:val="0"/>
          <w:caps w:val="0"/>
          <w:color w:val="000000"/>
          <w:spacing w:val="-20"/>
          <w:sz w:val="72"/>
          <w:szCs w:val="72"/>
          <w:highlight w:val="none"/>
          <w:shd w:val="clear" w:fill="FFFFFF"/>
        </w:rPr>
        <w:t>202</w:t>
      </w:r>
      <w:r>
        <w:rPr>
          <w:rFonts w:hint="eastAsia" w:ascii="黑体" w:hAnsi="宋体" w:eastAsia="黑体" w:cs="黑体"/>
          <w:i w:val="0"/>
          <w:iCs w:val="0"/>
          <w:caps w:val="0"/>
          <w:color w:val="000000"/>
          <w:spacing w:val="-20"/>
          <w:sz w:val="72"/>
          <w:szCs w:val="72"/>
          <w:highlight w:val="none"/>
          <w:shd w:val="clear" w:fill="FFFFFF"/>
          <w:lang w:val="en-US" w:eastAsia="zh-CN"/>
        </w:rPr>
        <w:t>3</w:t>
      </w:r>
      <w:r>
        <w:rPr>
          <w:rFonts w:hint="eastAsia" w:ascii="黑体" w:hAnsi="宋体" w:eastAsia="黑体" w:cs="黑体"/>
          <w:i w:val="0"/>
          <w:iCs w:val="0"/>
          <w:caps w:val="0"/>
          <w:color w:val="000000"/>
          <w:spacing w:val="-20"/>
          <w:sz w:val="72"/>
          <w:szCs w:val="72"/>
          <w:highlight w:val="none"/>
          <w:shd w:val="clear" w:fill="FFFFFF"/>
        </w:rPr>
        <w:t>年</w:t>
      </w:r>
      <w:r>
        <w:rPr>
          <w:rFonts w:hint="eastAsia" w:ascii="黑体" w:hAnsi="宋体" w:eastAsia="黑体" w:cs="黑体"/>
          <w:i w:val="0"/>
          <w:iCs w:val="0"/>
          <w:caps w:val="0"/>
          <w:color w:val="000000"/>
          <w:spacing w:val="-20"/>
          <w:sz w:val="72"/>
          <w:szCs w:val="72"/>
          <w:highlight w:val="none"/>
          <w:shd w:val="clear" w:fill="FFFFFF"/>
          <w:lang w:val="en-US" w:eastAsia="zh-CN"/>
        </w:rPr>
        <w:t>度</w:t>
      </w:r>
      <w:r>
        <w:rPr>
          <w:rFonts w:hint="eastAsia" w:ascii="黑体" w:hAnsi="宋体" w:eastAsia="黑体" w:cs="黑体"/>
          <w:i w:val="0"/>
          <w:iCs w:val="0"/>
          <w:caps w:val="0"/>
          <w:color w:val="000000"/>
          <w:spacing w:val="-20"/>
          <w:sz w:val="72"/>
          <w:szCs w:val="72"/>
          <w:highlight w:val="none"/>
          <w:shd w:val="clear" w:fill="FFFFFF"/>
        </w:rPr>
        <w:t>部门决算情况说明</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i w:val="0"/>
          <w:iCs w:val="0"/>
          <w:caps w:val="0"/>
          <w:color w:val="000000"/>
          <w:spacing w:val="0"/>
          <w:sz w:val="18"/>
          <w:szCs w:val="18"/>
          <w:highlight w:val="none"/>
          <w:shd w:val="clear" w:fill="FFFFFF"/>
        </w:rPr>
      </w:pPr>
      <w:r>
        <w:rPr>
          <w:rFonts w:hint="default" w:ascii="Arial" w:hAnsi="Arial" w:eastAsia="Arial" w:cs="Arial"/>
          <w:i w:val="0"/>
          <w:iCs w:val="0"/>
          <w:caps w:val="0"/>
          <w:color w:val="000000"/>
          <w:spacing w:val="0"/>
          <w:sz w:val="18"/>
          <w:szCs w:val="18"/>
          <w:highlight w:val="none"/>
          <w:shd w:val="clear" w:fill="FFFFFF"/>
        </w:rPr>
        <w:t> </w:t>
      </w:r>
    </w:p>
    <w:p>
      <w:pPr>
        <w:rPr>
          <w:rFonts w:hint="default" w:ascii="Arial" w:hAnsi="Arial" w:eastAsia="Arial" w:cs="Arial"/>
          <w:i w:val="0"/>
          <w:iCs w:val="0"/>
          <w:caps w:val="0"/>
          <w:color w:val="000000"/>
          <w:spacing w:val="0"/>
          <w:sz w:val="18"/>
          <w:szCs w:val="18"/>
          <w:highlight w:val="none"/>
          <w:shd w:val="clear" w:fill="FFFFFF"/>
        </w:rPr>
      </w:pPr>
      <w:r>
        <w:rPr>
          <w:rFonts w:hint="default" w:ascii="Arial" w:hAnsi="Arial" w:eastAsia="Arial" w:cs="Arial"/>
          <w:i w:val="0"/>
          <w:iCs w:val="0"/>
          <w:caps w:val="0"/>
          <w:color w:val="000000"/>
          <w:spacing w:val="0"/>
          <w:sz w:val="18"/>
          <w:szCs w:val="18"/>
          <w:highlight w:val="none"/>
          <w:shd w:val="clear" w:fill="FFFFFF"/>
        </w:rPr>
        <w:br w:type="page"/>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i w:val="0"/>
          <w:iCs w:val="0"/>
          <w:caps w:val="0"/>
          <w:color w:val="000000"/>
          <w:spacing w:val="0"/>
          <w:sz w:val="18"/>
          <w:szCs w:val="18"/>
          <w:highlight w:val="none"/>
          <w:shd w:val="clear" w:fill="FFFFFF"/>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Arial" w:hAnsi="Arial" w:eastAsia="Arial" w:cs="Arial"/>
          <w:highlight w:val="none"/>
        </w:rPr>
      </w:pPr>
      <w:r>
        <w:rPr>
          <w:rFonts w:hint="default" w:ascii="Arial" w:hAnsi="Arial" w:eastAsia="Arial" w:cs="Arial"/>
          <w:i w:val="0"/>
          <w:iCs w:val="0"/>
          <w:caps w:val="0"/>
          <w:color w:val="000000"/>
          <w:spacing w:val="0"/>
          <w:sz w:val="18"/>
          <w:szCs w:val="18"/>
          <w:highlight w:val="none"/>
          <w:shd w:val="clear" w:fill="FFFFFF"/>
        </w:rPr>
        <w:t> </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default" w:ascii="黑体" w:hAnsi="Calibri" w:eastAsia="黑体" w:cs="Times New Roman"/>
          <w:kern w:val="2"/>
          <w:sz w:val="32"/>
          <w:szCs w:val="32"/>
          <w:lang w:val="en-US" w:eastAsia="zh-CN" w:bidi="ar-SA"/>
        </w:rPr>
      </w:pPr>
      <w:r>
        <w:rPr>
          <w:rFonts w:hint="eastAsia" w:ascii="黑体" w:hAnsi="Calibri" w:eastAsia="黑体" w:cs="Times New Roman"/>
          <w:kern w:val="2"/>
          <w:sz w:val="32"/>
          <w:szCs w:val="32"/>
          <w:lang w:val="en-US" w:eastAsia="zh-CN" w:bidi="ar-SA"/>
        </w:rPr>
        <w:t>一、收入支出决算总体情况说明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640" w:firstLineChars="20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年度收、支总计（含结转和结余）</w:t>
      </w:r>
      <w:r>
        <w:rPr>
          <w:rFonts w:hint="eastAsia" w:ascii="仿宋_GB2312" w:hAnsi="仿宋_GB2312" w:eastAsia="仿宋_GB2312" w:cs="仿宋_GB2312"/>
          <w:sz w:val="32"/>
          <w:szCs w:val="32"/>
          <w:lang w:val="en-US" w:eastAsia="zh-CN"/>
        </w:rPr>
        <w:t>8919.40</w:t>
      </w:r>
      <w:r>
        <w:rPr>
          <w:rFonts w:hint="eastAsia" w:ascii="仿宋_GB2312" w:hAnsi="仿宋_GB2312" w:eastAsia="仿宋_GB2312" w:cs="仿宋_GB2312"/>
          <w:sz w:val="32"/>
          <w:szCs w:val="32"/>
        </w:rPr>
        <w:t>万元。与202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年度决算</w:t>
      </w:r>
      <w:r>
        <w:rPr>
          <w:rFonts w:hint="eastAsia" w:ascii="仿宋_GB2312" w:hAnsi="仿宋_GB2312" w:eastAsia="仿宋_GB2312" w:cs="仿宋_GB2312"/>
          <w:sz w:val="32"/>
          <w:szCs w:val="32"/>
          <w:lang w:val="en-US" w:eastAsia="zh-CN"/>
        </w:rPr>
        <w:t>10155.37</w:t>
      </w:r>
      <w:r>
        <w:rPr>
          <w:rFonts w:hint="eastAsia" w:ascii="仿宋_GB2312" w:hAnsi="仿宋_GB2312" w:eastAsia="仿宋_GB2312" w:cs="仿宋_GB2312"/>
          <w:sz w:val="32"/>
          <w:szCs w:val="32"/>
        </w:rPr>
        <w:t>相比，收支各</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1235.97</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降低</w:t>
      </w:r>
      <w:r>
        <w:rPr>
          <w:rFonts w:hint="eastAsia" w:ascii="仿宋_GB2312" w:hAnsi="仿宋_GB2312" w:eastAsia="仿宋_GB2312" w:cs="仿宋_GB2312"/>
          <w:sz w:val="32"/>
          <w:szCs w:val="32"/>
          <w:lang w:val="en-US" w:eastAsia="zh-CN"/>
        </w:rPr>
        <w:t>12.17</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减少在职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员经费225.24万元，减少了机关事业单位基本养老保险缴费及职业年金缴费支出101.53万元，减少了追加市直机关资金491.0666万元，减少离退休人员生活补贴及物业补贴316.0034万元。减少了关于下达2022年高级宣传文化发展专项资金的通知66.77万元。减少了2022年高级文化产业发展引导资金30万元。减少了石家庄中波台5万元。</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仿宋_GB2312" w:cs="Times New Roman"/>
          <w:kern w:val="2"/>
          <w:sz w:val="32"/>
          <w:szCs w:val="32"/>
          <w:highlight w:val="yellow"/>
          <w:lang w:val="en-US" w:eastAsia="zh-CN" w:bidi="ar-SA"/>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Arial" w:cs="Times New Roman"/>
          <w:highlight w:val="none"/>
        </w:rPr>
      </w:pPr>
      <w:r>
        <w:rPr>
          <w:rFonts w:hint="eastAsia" w:ascii="Times New Roman" w:hAnsi="Times New Roman" w:eastAsia="宋体"/>
        </w:rPr>
        <w:drawing>
          <wp:inline distT="0" distB="0" distL="114300" distR="114300">
            <wp:extent cx="5256530" cy="2988310"/>
            <wp:effectExtent l="5080" t="4445" r="11430"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hint="default" w:ascii="Times New Roman" w:hAnsi="Times New Roman" w:eastAsia="Arial" w:cs="Times New Roman"/>
          <w:i w:val="0"/>
          <w:iCs w:val="0"/>
          <w:caps w:val="0"/>
          <w:color w:val="000000"/>
          <w:spacing w:val="0"/>
          <w:sz w:val="18"/>
          <w:szCs w:val="18"/>
          <w:highlight w:val="none"/>
          <w:shd w:val="clear" w:fill="FFFFFF"/>
        </w:rPr>
        <w:t> </w:t>
      </w:r>
    </w:p>
    <w:p>
      <w:pPr>
        <w:adjustRightInd w:val="0"/>
        <w:snapToGrid w:val="0"/>
        <w:spacing w:line="580" w:lineRule="exact"/>
        <w:ind w:firstLine="1600" w:firstLineChars="500"/>
        <w:rPr>
          <w:rFonts w:hint="eastAsia" w:ascii="仿宋_GB2312" w:hAnsi="Times New Roman" w:eastAsia="仿宋_GB2312" w:cs="DengXian-Regular"/>
          <w:sz w:val="32"/>
          <w:szCs w:val="32"/>
          <w:lang w:val="en-US" w:eastAsia="zh-CN"/>
        </w:rPr>
      </w:pPr>
      <w:r>
        <w:rPr>
          <w:rFonts w:hint="eastAsia" w:ascii="仿宋_GB2312" w:hAnsi="Times New Roman" w:eastAsia="仿宋_GB2312" w:cs="DengXian-Regular"/>
          <w:sz w:val="32"/>
          <w:szCs w:val="32"/>
          <w:lang w:val="en-US" w:eastAsia="zh-CN"/>
        </w:rPr>
        <w:t>2022年-2023年收支总计对比情况（图1）</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仿宋_GB2312" w:eastAsia="仿宋_GB2312" w:cs="DengXian-Regular"/>
          <w:sz w:val="24"/>
          <w:szCs w:val="24"/>
          <w:lang w:val="en-US" w:eastAsia="zh-CN"/>
        </w:rPr>
      </w:pPr>
      <w:r>
        <w:rPr>
          <w:rFonts w:hint="eastAsia" w:ascii="仿宋_GB2312" w:eastAsia="仿宋_GB2312" w:cs="DengXian-Regular"/>
          <w:sz w:val="32"/>
          <w:szCs w:val="32"/>
          <w:lang w:val="en-US" w:eastAsia="zh-CN"/>
        </w:rPr>
        <w:t xml:space="preserve">                  </w:t>
      </w:r>
      <w:r>
        <w:rPr>
          <w:rFonts w:hint="eastAsia" w:ascii="仿宋_GB2312" w:eastAsia="仿宋_GB2312" w:cs="DengXian-Regular"/>
          <w:sz w:val="24"/>
          <w:szCs w:val="24"/>
          <w:lang w:val="en-US" w:eastAsia="zh-CN"/>
        </w:rPr>
        <w:t>（单位：万元）</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eastAsia" w:ascii="仿宋_GB2312" w:eastAsia="仿宋_GB2312" w:cs="DengXian-Regular"/>
          <w:sz w:val="24"/>
          <w:szCs w:val="24"/>
          <w:lang w:val="en-US" w:eastAsia="zh-CN"/>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二、收入决算情况说明</w:t>
      </w:r>
    </w:p>
    <w:p>
      <w:pPr>
        <w:autoSpaceDE w:val="0"/>
        <w:autoSpaceDN w:val="0"/>
        <w:adjustRightInd w:val="0"/>
        <w:spacing w:line="580" w:lineRule="exact"/>
        <w:ind w:firstLine="640" w:firstLineChars="200"/>
        <w:jc w:val="left"/>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lang w:val="zh-CN" w:eastAsia="zh-CN"/>
        </w:rPr>
        <w:t>本单位2023</w:t>
      </w:r>
      <w:r>
        <w:rPr>
          <w:rFonts w:hint="default" w:ascii="Times New Roman" w:hAnsi="Times New Roman" w:eastAsia="仿宋_GB2312" w:cs="Times New Roman"/>
          <w:kern w:val="2"/>
          <w:sz w:val="32"/>
          <w:szCs w:val="32"/>
          <w:lang w:val="zh-CN"/>
        </w:rPr>
        <w:t>年度本年收入合计</w:t>
      </w:r>
      <w:r>
        <w:rPr>
          <w:rFonts w:hint="default" w:ascii="Times New Roman" w:hAnsi="Times New Roman" w:eastAsia="仿宋_GB2312" w:cs="Times New Roman"/>
          <w:sz w:val="30"/>
          <w:szCs w:val="30"/>
          <w:highlight w:val="none"/>
          <w:lang w:eastAsia="zh-CN"/>
        </w:rPr>
        <w:t>8,919.4</w:t>
      </w:r>
      <w:r>
        <w:rPr>
          <w:rFonts w:hint="default" w:ascii="Times New Roman" w:hAnsi="Times New Roman" w:eastAsia="仿宋_GB2312" w:cs="Times New Roman"/>
          <w:kern w:val="2"/>
          <w:sz w:val="32"/>
          <w:szCs w:val="32"/>
          <w:lang w:val="zh-CN" w:eastAsia="zh-CN"/>
        </w:rPr>
        <w:t>万元</w:t>
      </w:r>
      <w:r>
        <w:rPr>
          <w:rFonts w:hint="default" w:ascii="Times New Roman" w:hAnsi="Times New Roman" w:eastAsia="仿宋_GB2312" w:cs="Times New Roman"/>
          <w:kern w:val="2"/>
          <w:sz w:val="32"/>
          <w:szCs w:val="32"/>
          <w:lang w:val="zh-CN"/>
        </w:rPr>
        <w:t>，其中：财政拨款收入</w:t>
      </w:r>
      <w:r>
        <w:rPr>
          <w:rFonts w:hint="default" w:ascii="Times New Roman" w:hAnsi="Times New Roman" w:eastAsia="仿宋_GB2312" w:cs="Times New Roman"/>
          <w:kern w:val="2"/>
          <w:sz w:val="32"/>
          <w:szCs w:val="32"/>
          <w:lang w:val="zh-CN" w:eastAsia="zh-CN"/>
        </w:rPr>
        <w:t>8,919.4</w:t>
      </w:r>
      <w:r>
        <w:rPr>
          <w:rFonts w:hint="default" w:ascii="Times New Roman" w:hAnsi="Times New Roman" w:eastAsia="仿宋_GB2312" w:cs="Times New Roman"/>
          <w:kern w:val="2"/>
          <w:sz w:val="32"/>
          <w:szCs w:val="32"/>
          <w:lang w:val="zh-CN"/>
        </w:rPr>
        <w:t>万元，占</w:t>
      </w:r>
      <w:r>
        <w:rPr>
          <w:rFonts w:hint="default" w:ascii="Times New Roman" w:hAnsi="Times New Roman" w:eastAsia="仿宋_GB2312" w:cs="Times New Roman"/>
          <w:kern w:val="2"/>
          <w:sz w:val="32"/>
          <w:szCs w:val="32"/>
          <w:lang w:val="zh-CN" w:eastAsia="zh-CN"/>
        </w:rPr>
        <w:t>100%；</w:t>
      </w:r>
      <w:r>
        <w:rPr>
          <w:rFonts w:hint="default" w:ascii="Times New Roman" w:hAnsi="Times New Roman" w:eastAsia="仿宋_GB2312" w:cs="Times New Roman"/>
          <w:kern w:val="2"/>
          <w:sz w:val="32"/>
          <w:szCs w:val="32"/>
          <w:lang w:val="zh-CN"/>
        </w:rPr>
        <w:t>上级补助收入</w:t>
      </w:r>
      <w:r>
        <w:rPr>
          <w:rFonts w:hint="eastAsia" w:ascii="Times New Roman" w:hAnsi="Times New Roman" w:eastAsia="仿宋_GB2312" w:cs="Times New Roman"/>
          <w:kern w:val="2"/>
          <w:sz w:val="32"/>
          <w:szCs w:val="32"/>
          <w:lang w:val="en-US" w:eastAsia="zh-CN"/>
        </w:rPr>
        <w:t>0</w:t>
      </w:r>
      <w:r>
        <w:rPr>
          <w:rFonts w:hint="default" w:ascii="Times New Roman" w:hAnsi="Times New Roman" w:eastAsia="仿宋_GB2312" w:cs="Times New Roman"/>
          <w:kern w:val="2"/>
          <w:sz w:val="32"/>
          <w:szCs w:val="32"/>
          <w:lang w:val="zh-CN"/>
        </w:rPr>
        <w:t>万元，</w:t>
      </w:r>
      <w:r>
        <w:rPr>
          <w:rFonts w:hint="default" w:ascii="Times New Roman" w:hAnsi="Times New Roman" w:eastAsia="仿宋_GB2312" w:cs="Times New Roman"/>
          <w:kern w:val="2"/>
          <w:sz w:val="32"/>
          <w:szCs w:val="32"/>
          <w:lang w:val="zh-CN" w:eastAsia="zh-CN"/>
        </w:rPr>
        <w:t>占</w:t>
      </w:r>
      <w:r>
        <w:rPr>
          <w:rFonts w:hint="eastAsia" w:ascii="Times New Roman" w:hAnsi="Times New Roman" w:eastAsia="仿宋_GB2312" w:cs="Times New Roman"/>
          <w:kern w:val="2"/>
          <w:sz w:val="32"/>
          <w:szCs w:val="32"/>
          <w:lang w:val="en-US" w:eastAsia="zh-CN"/>
        </w:rPr>
        <w:t>0</w:t>
      </w:r>
      <w:r>
        <w:rPr>
          <w:rFonts w:hint="default" w:ascii="Times New Roman" w:hAnsi="Times New Roman" w:eastAsia="仿宋_GB2312" w:cs="Times New Roman"/>
          <w:kern w:val="2"/>
          <w:sz w:val="32"/>
          <w:szCs w:val="32"/>
          <w:lang w:val="zh-CN"/>
        </w:rPr>
        <w:t>%；事业收入0万元，</w:t>
      </w:r>
      <w:r>
        <w:rPr>
          <w:rFonts w:hint="default" w:ascii="Times New Roman" w:hAnsi="Times New Roman" w:eastAsia="仿宋_GB2312" w:cs="Times New Roman"/>
          <w:kern w:val="2"/>
          <w:sz w:val="32"/>
          <w:szCs w:val="32"/>
          <w:lang w:val="zh-CN" w:eastAsia="zh-CN"/>
        </w:rPr>
        <w:t>占</w:t>
      </w:r>
      <w:r>
        <w:rPr>
          <w:rFonts w:hint="default" w:ascii="Times New Roman" w:hAnsi="Times New Roman" w:eastAsia="仿宋_GB2312" w:cs="Times New Roman"/>
          <w:kern w:val="2"/>
          <w:sz w:val="32"/>
          <w:szCs w:val="32"/>
          <w:lang w:val="zh-CN"/>
        </w:rPr>
        <w:t>0%；经营收入0万元，</w:t>
      </w:r>
      <w:r>
        <w:rPr>
          <w:rFonts w:hint="default" w:ascii="Times New Roman" w:hAnsi="Times New Roman" w:eastAsia="仿宋_GB2312" w:cs="Times New Roman"/>
          <w:kern w:val="2"/>
          <w:sz w:val="32"/>
          <w:szCs w:val="32"/>
          <w:lang w:val="zh-CN" w:eastAsia="zh-CN"/>
        </w:rPr>
        <w:t>占</w:t>
      </w:r>
      <w:r>
        <w:rPr>
          <w:rFonts w:hint="default" w:ascii="Times New Roman" w:hAnsi="Times New Roman" w:eastAsia="仿宋_GB2312" w:cs="Times New Roman"/>
          <w:kern w:val="2"/>
          <w:sz w:val="32"/>
          <w:szCs w:val="32"/>
          <w:lang w:val="zh-CN"/>
        </w:rPr>
        <w:t>0%；附属单位上缴收入0万元，</w:t>
      </w:r>
      <w:r>
        <w:rPr>
          <w:rFonts w:hint="default" w:ascii="Times New Roman" w:hAnsi="Times New Roman" w:eastAsia="仿宋_GB2312" w:cs="Times New Roman"/>
          <w:kern w:val="2"/>
          <w:sz w:val="32"/>
          <w:szCs w:val="32"/>
          <w:lang w:val="zh-CN" w:eastAsia="zh-CN"/>
        </w:rPr>
        <w:t>占</w:t>
      </w:r>
      <w:r>
        <w:rPr>
          <w:rFonts w:hint="default" w:ascii="Times New Roman" w:hAnsi="Times New Roman" w:eastAsia="仿宋_GB2312" w:cs="Times New Roman"/>
          <w:kern w:val="2"/>
          <w:sz w:val="32"/>
          <w:szCs w:val="32"/>
          <w:lang w:val="zh-CN"/>
        </w:rPr>
        <w:t>0%；其他收入0万元，</w:t>
      </w:r>
      <w:r>
        <w:rPr>
          <w:rFonts w:hint="default" w:ascii="Times New Roman" w:hAnsi="Times New Roman" w:eastAsia="仿宋_GB2312" w:cs="Times New Roman"/>
          <w:kern w:val="2"/>
          <w:sz w:val="32"/>
          <w:szCs w:val="32"/>
          <w:lang w:val="zh-CN" w:eastAsia="zh-CN"/>
        </w:rPr>
        <w:t>占</w:t>
      </w:r>
      <w:r>
        <w:rPr>
          <w:rFonts w:hint="default" w:ascii="Times New Roman" w:hAnsi="Times New Roman" w:eastAsia="仿宋_GB2312" w:cs="Times New Roman"/>
          <w:kern w:val="2"/>
          <w:sz w:val="32"/>
          <w:szCs w:val="32"/>
          <w:lang w:val="zh-CN"/>
        </w:rPr>
        <w:t>0%</w:t>
      </w:r>
      <w:r>
        <w:rPr>
          <w:rFonts w:hint="eastAsia" w:ascii="Times New Roman" w:hAnsi="Times New Roman" w:eastAsia="仿宋_GB2312" w:cs="Times New Roman"/>
          <w:kern w:val="2"/>
          <w:sz w:val="32"/>
          <w:szCs w:val="32"/>
          <w:lang w:val="zh-CN"/>
        </w:rPr>
        <w:t>。</w:t>
      </w:r>
    </w:p>
    <w:p>
      <w:pPr>
        <w:adjustRightInd w:val="0"/>
        <w:snapToGrid w:val="0"/>
        <w:spacing w:line="580" w:lineRule="exact"/>
        <w:rPr>
          <w:rFonts w:hint="default" w:ascii="Times New Roman" w:hAnsi="Times New Roman" w:eastAsia="仿宋_GB2312" w:cs="Times New Roman"/>
          <w:kern w:val="2"/>
          <w:sz w:val="32"/>
          <w:szCs w:val="32"/>
          <w:highlight w:val="yellow"/>
          <w:lang w:val="zh-CN"/>
        </w:rPr>
      </w:pPr>
    </w:p>
    <w:p>
      <w:pPr>
        <w:adjustRightInd w:val="0"/>
        <w:snapToGrid w:val="0"/>
        <w:spacing w:line="580" w:lineRule="exact"/>
        <w:rPr>
          <w:rFonts w:hint="default" w:ascii="Times New Roman" w:hAnsi="Times New Roman" w:eastAsia="仿宋_GB2312" w:cs="Times New Roman"/>
          <w:kern w:val="2"/>
          <w:sz w:val="32"/>
          <w:szCs w:val="32"/>
          <w:highlight w:val="yellow"/>
          <w:lang w:val="en-US" w:eastAsia="zh-CN"/>
        </w:rPr>
      </w:pPr>
      <w:r>
        <w:rPr>
          <w:rFonts w:ascii="Times New Roman" w:hAnsi="Times New Roman" w:eastAsia="仿宋_GB2312"/>
          <w:kern w:val="2"/>
          <w:sz w:val="32"/>
          <w:szCs w:val="32"/>
          <w:highlight w:val="yellow"/>
          <w:lang w:val="zh-CN"/>
        </w:rPr>
        <w:drawing>
          <wp:anchor distT="0" distB="0" distL="114300" distR="114300" simplePos="0" relativeHeight="251667456" behindDoc="0" locked="0" layoutInCell="1" allowOverlap="1">
            <wp:simplePos x="0" y="0"/>
            <wp:positionH relativeFrom="column">
              <wp:posOffset>24130</wp:posOffset>
            </wp:positionH>
            <wp:positionV relativeFrom="paragraph">
              <wp:posOffset>404495</wp:posOffset>
            </wp:positionV>
            <wp:extent cx="5256530" cy="2988310"/>
            <wp:effectExtent l="5080" t="4445" r="11430" b="9525"/>
            <wp:wrapTopAndBottom/>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三、支出决算情况说明</w:t>
      </w:r>
    </w:p>
    <w:p>
      <w:pPr>
        <w:keepNext w:val="0"/>
        <w:keepLines w:val="0"/>
        <w:pageBreakBefore w:val="0"/>
        <w:widowControl w:val="0"/>
        <w:kinsoku/>
        <w:wordWrap/>
        <w:overflowPunct/>
        <w:topLinePunct w:val="0"/>
        <w:autoSpaceDE w:val="0"/>
        <w:autoSpaceDN w:val="0"/>
        <w:bidi w:val="0"/>
        <w:adjustRightInd w:val="0"/>
        <w:snapToGrid/>
        <w:spacing w:line="240" w:lineRule="auto"/>
        <w:ind w:firstLine="601"/>
        <w:jc w:val="left"/>
        <w:textAlignment w:val="auto"/>
        <w:rPr>
          <w:rFonts w:hint="default" w:ascii="Times New Roman" w:hAnsi="Times New Roman" w:eastAsia="仿宋_GB2312" w:cs="Times New Roman"/>
          <w:kern w:val="2"/>
          <w:sz w:val="32"/>
          <w:szCs w:val="32"/>
          <w:lang w:val="en-US"/>
        </w:rPr>
      </w:pPr>
      <w:r>
        <w:rPr>
          <w:rFonts w:hint="default" w:ascii="Times New Roman" w:hAnsi="Times New Roman" w:eastAsia="仿宋_GB2312" w:cs="Times New Roman"/>
          <w:kern w:val="2"/>
          <w:sz w:val="32"/>
          <w:szCs w:val="32"/>
          <w:lang w:val="zh-CN" w:eastAsia="zh-CN"/>
        </w:rPr>
        <w:t>本单位2023</w:t>
      </w:r>
      <w:r>
        <w:rPr>
          <w:rFonts w:hint="default" w:ascii="Times New Roman" w:hAnsi="Times New Roman" w:eastAsia="仿宋_GB2312" w:cs="Times New Roman"/>
          <w:kern w:val="2"/>
          <w:sz w:val="32"/>
          <w:szCs w:val="32"/>
          <w:lang w:val="zh-CN"/>
        </w:rPr>
        <w:t>年度本年支出合计</w:t>
      </w:r>
      <w:r>
        <w:rPr>
          <w:rFonts w:hint="default" w:ascii="Times New Roman" w:hAnsi="Times New Roman" w:eastAsia="仿宋_GB2312" w:cs="Times New Roman"/>
          <w:kern w:val="2"/>
          <w:sz w:val="32"/>
          <w:szCs w:val="32"/>
          <w:lang w:val="zh-CN" w:eastAsia="zh-CN"/>
        </w:rPr>
        <w:t>8,919.4万元</w:t>
      </w:r>
      <w:r>
        <w:rPr>
          <w:rFonts w:hint="default" w:ascii="Times New Roman" w:hAnsi="Times New Roman" w:eastAsia="仿宋_GB2312" w:cs="Times New Roman"/>
          <w:kern w:val="2"/>
          <w:sz w:val="32"/>
          <w:szCs w:val="32"/>
          <w:lang w:val="zh-CN"/>
        </w:rPr>
        <w:t>，其中：基本支出</w:t>
      </w:r>
      <w:r>
        <w:rPr>
          <w:rFonts w:hint="default" w:ascii="Times New Roman" w:hAnsi="Times New Roman" w:eastAsia="仿宋_GB2312" w:cs="Times New Roman"/>
          <w:kern w:val="2"/>
          <w:sz w:val="32"/>
          <w:szCs w:val="32"/>
          <w:lang w:val="zh-CN" w:eastAsia="zh-CN"/>
        </w:rPr>
        <w:t>5,214.76万元</w:t>
      </w:r>
      <w:r>
        <w:rPr>
          <w:rFonts w:hint="default" w:ascii="Times New Roman" w:hAnsi="Times New Roman" w:eastAsia="仿宋_GB2312" w:cs="Times New Roman"/>
          <w:kern w:val="2"/>
          <w:sz w:val="32"/>
          <w:szCs w:val="32"/>
          <w:lang w:val="zh-CN"/>
        </w:rPr>
        <w:t>，</w:t>
      </w:r>
      <w:r>
        <w:rPr>
          <w:rFonts w:hint="default" w:ascii="Times New Roman" w:hAnsi="Times New Roman" w:eastAsia="仿宋_GB2312" w:cs="Times New Roman"/>
          <w:kern w:val="2"/>
          <w:sz w:val="32"/>
          <w:szCs w:val="32"/>
          <w:lang w:val="zh-CN" w:eastAsia="zh-CN"/>
        </w:rPr>
        <w:t>占58.47%；</w:t>
      </w:r>
      <w:r>
        <w:rPr>
          <w:rFonts w:hint="default" w:ascii="Times New Roman" w:hAnsi="Times New Roman" w:eastAsia="仿宋_GB2312" w:cs="Times New Roman"/>
          <w:kern w:val="2"/>
          <w:sz w:val="32"/>
          <w:szCs w:val="32"/>
          <w:lang w:val="zh-CN"/>
        </w:rPr>
        <w:t>项目支出</w:t>
      </w:r>
      <w:r>
        <w:rPr>
          <w:rFonts w:hint="default" w:ascii="Times New Roman" w:hAnsi="Times New Roman" w:eastAsia="仿宋_GB2312" w:cs="Times New Roman"/>
          <w:kern w:val="2"/>
          <w:sz w:val="32"/>
          <w:szCs w:val="32"/>
          <w:lang w:val="zh-CN" w:eastAsia="zh-CN"/>
        </w:rPr>
        <w:t>3,704.64万元</w:t>
      </w:r>
      <w:r>
        <w:rPr>
          <w:rFonts w:hint="default" w:ascii="Times New Roman" w:hAnsi="Times New Roman" w:eastAsia="仿宋_GB2312" w:cs="Times New Roman"/>
          <w:kern w:val="2"/>
          <w:sz w:val="32"/>
          <w:szCs w:val="32"/>
          <w:lang w:val="zh-CN"/>
        </w:rPr>
        <w:t>，</w:t>
      </w:r>
      <w:r>
        <w:rPr>
          <w:rFonts w:hint="default" w:ascii="Times New Roman" w:hAnsi="Times New Roman" w:eastAsia="仿宋_GB2312" w:cs="Times New Roman"/>
          <w:kern w:val="2"/>
          <w:sz w:val="32"/>
          <w:szCs w:val="32"/>
          <w:lang w:val="zh-CN" w:eastAsia="zh-CN"/>
        </w:rPr>
        <w:t>占41.53%；</w:t>
      </w:r>
      <w:r>
        <w:rPr>
          <w:rFonts w:hint="default" w:ascii="Times New Roman" w:hAnsi="Times New Roman" w:eastAsia="仿宋_GB2312" w:cs="Times New Roman"/>
          <w:kern w:val="2"/>
          <w:sz w:val="32"/>
          <w:szCs w:val="32"/>
          <w:lang w:val="zh-CN"/>
        </w:rPr>
        <w:t>上缴上级支出</w:t>
      </w:r>
      <w:r>
        <w:rPr>
          <w:rFonts w:hint="default" w:ascii="Times New Roman" w:hAnsi="Times New Roman" w:eastAsia="仿宋_GB2312" w:cs="Times New Roman"/>
          <w:kern w:val="2"/>
          <w:sz w:val="32"/>
          <w:szCs w:val="32"/>
          <w:lang w:val="zh-CN" w:eastAsia="zh-CN"/>
        </w:rPr>
        <w:t>0万元</w:t>
      </w:r>
      <w:r>
        <w:rPr>
          <w:rFonts w:hint="default" w:ascii="Times New Roman" w:hAnsi="Times New Roman" w:eastAsia="仿宋_GB2312" w:cs="Times New Roman"/>
          <w:kern w:val="2"/>
          <w:sz w:val="32"/>
          <w:szCs w:val="32"/>
          <w:lang w:val="zh-CN"/>
        </w:rPr>
        <w:t>，</w:t>
      </w:r>
      <w:r>
        <w:rPr>
          <w:rFonts w:hint="default" w:ascii="Times New Roman" w:hAnsi="Times New Roman" w:eastAsia="仿宋_GB2312" w:cs="Times New Roman"/>
          <w:kern w:val="2"/>
          <w:sz w:val="32"/>
          <w:szCs w:val="32"/>
          <w:lang w:val="zh-CN" w:eastAsia="zh-CN"/>
        </w:rPr>
        <w:t>占0%；</w:t>
      </w:r>
      <w:r>
        <w:rPr>
          <w:rFonts w:hint="default" w:ascii="Times New Roman" w:hAnsi="Times New Roman" w:eastAsia="仿宋_GB2312" w:cs="Times New Roman"/>
          <w:kern w:val="2"/>
          <w:sz w:val="32"/>
          <w:szCs w:val="32"/>
          <w:lang w:val="zh-CN"/>
        </w:rPr>
        <w:t>经营支出</w:t>
      </w:r>
      <w:r>
        <w:rPr>
          <w:rFonts w:hint="default" w:ascii="Times New Roman" w:hAnsi="Times New Roman" w:eastAsia="仿宋_GB2312" w:cs="Times New Roman"/>
          <w:kern w:val="2"/>
          <w:sz w:val="32"/>
          <w:szCs w:val="32"/>
          <w:lang w:val="zh-CN" w:eastAsia="zh-CN"/>
        </w:rPr>
        <w:t>0万元</w:t>
      </w:r>
      <w:r>
        <w:rPr>
          <w:rFonts w:hint="default" w:ascii="Times New Roman" w:hAnsi="Times New Roman" w:eastAsia="仿宋_GB2312" w:cs="Times New Roman"/>
          <w:kern w:val="2"/>
          <w:sz w:val="32"/>
          <w:szCs w:val="32"/>
          <w:lang w:val="zh-CN"/>
        </w:rPr>
        <w:t>，</w:t>
      </w:r>
      <w:r>
        <w:rPr>
          <w:rFonts w:hint="default" w:ascii="Times New Roman" w:hAnsi="Times New Roman" w:eastAsia="仿宋_GB2312" w:cs="Times New Roman"/>
          <w:kern w:val="2"/>
          <w:sz w:val="32"/>
          <w:szCs w:val="32"/>
          <w:lang w:val="zh-CN" w:eastAsia="zh-CN"/>
        </w:rPr>
        <w:t>占0%</w:t>
      </w:r>
      <w:r>
        <w:rPr>
          <w:rFonts w:hint="eastAsia" w:ascii="Times New Roman" w:hAnsi="Times New Roman" w:eastAsia="仿宋_GB2312" w:cs="Times New Roman"/>
          <w:kern w:val="2"/>
          <w:sz w:val="32"/>
          <w:szCs w:val="32"/>
          <w:lang w:val="zh-CN" w:eastAsia="zh-CN"/>
        </w:rPr>
        <w:t>；</w:t>
      </w:r>
      <w:r>
        <w:rPr>
          <w:rFonts w:hint="default" w:ascii="Times New Roman" w:hAnsi="Times New Roman" w:eastAsia="仿宋_GB2312" w:cs="Times New Roman"/>
          <w:kern w:val="2"/>
          <w:sz w:val="32"/>
          <w:szCs w:val="32"/>
          <w:lang w:val="zh-CN"/>
        </w:rPr>
        <w:t>对附属单位补助支出</w:t>
      </w:r>
      <w:r>
        <w:rPr>
          <w:rFonts w:hint="default" w:ascii="Times New Roman" w:hAnsi="Times New Roman" w:eastAsia="仿宋_GB2312" w:cs="Times New Roman"/>
          <w:kern w:val="2"/>
          <w:sz w:val="32"/>
          <w:szCs w:val="32"/>
          <w:lang w:val="zh-CN" w:eastAsia="zh-CN"/>
        </w:rPr>
        <w:t>0万元</w:t>
      </w:r>
      <w:r>
        <w:rPr>
          <w:rFonts w:hint="default" w:ascii="Times New Roman" w:hAnsi="Times New Roman" w:eastAsia="仿宋_GB2312" w:cs="Times New Roman"/>
          <w:kern w:val="2"/>
          <w:sz w:val="32"/>
          <w:szCs w:val="32"/>
          <w:lang w:val="zh-CN"/>
        </w:rPr>
        <w:t>，</w:t>
      </w:r>
      <w:r>
        <w:rPr>
          <w:rFonts w:hint="default" w:ascii="Times New Roman" w:hAnsi="Times New Roman" w:eastAsia="仿宋_GB2312" w:cs="Times New Roman"/>
          <w:kern w:val="2"/>
          <w:sz w:val="32"/>
          <w:szCs w:val="32"/>
          <w:lang w:val="zh-CN" w:eastAsia="zh-CN"/>
        </w:rPr>
        <w:t>占0%</w:t>
      </w:r>
      <w:r>
        <w:rPr>
          <w:rFonts w:hint="eastAsia" w:ascii="Times New Roman" w:hAnsi="Times New Roman" w:eastAsia="仿宋_GB2312" w:cs="Times New Roman"/>
          <w:kern w:val="2"/>
          <w:sz w:val="32"/>
          <w:szCs w:val="32"/>
          <w:lang w:val="zh-CN" w:eastAsia="zh-CN"/>
        </w:rPr>
        <w:t>。</w:t>
      </w:r>
    </w:p>
    <w:p>
      <w:pPr>
        <w:autoSpaceDE w:val="0"/>
        <w:autoSpaceDN w:val="0"/>
        <w:adjustRightInd w:val="0"/>
        <w:jc w:val="left"/>
        <w:rPr>
          <w:rFonts w:hint="default" w:ascii="Times New Roman" w:hAnsi="Times New Roman" w:eastAsia="仿宋_GB2312" w:cs="Times New Roman"/>
          <w:color w:val="auto"/>
          <w:kern w:val="0"/>
          <w:sz w:val="32"/>
          <w:szCs w:val="32"/>
          <w:highlight w:val="yellow"/>
          <w:lang w:val="en-US" w:eastAsia="zh-CN" w:bidi="ar-SA"/>
        </w:rPr>
      </w:pPr>
    </w:p>
    <w:p>
      <w:pPr>
        <w:autoSpaceDE w:val="0"/>
        <w:autoSpaceDN w:val="0"/>
        <w:adjustRightInd w:val="0"/>
        <w:jc w:val="left"/>
        <w:rPr>
          <w:rFonts w:hint="default" w:ascii="Times New Roman" w:hAnsi="Times New Roman" w:eastAsia="仿宋_GB2312" w:cs="Times New Roman"/>
          <w:color w:val="auto"/>
          <w:kern w:val="0"/>
          <w:sz w:val="32"/>
          <w:szCs w:val="32"/>
          <w:highlight w:val="yellow"/>
          <w:lang w:val="en-US" w:eastAsia="zh-CN" w:bidi="ar-SA"/>
        </w:rPr>
      </w:pPr>
      <w:r>
        <w:rPr>
          <w:rFonts w:ascii="Times New Roman" w:hAnsi="Times New Roman" w:eastAsia="仿宋_GB2312" w:cs="Times New Roman"/>
          <w:sz w:val="32"/>
          <w:szCs w:val="32"/>
          <w:highlight w:val="yellow"/>
        </w:rPr>
        <w:drawing>
          <wp:inline distT="0" distB="0" distL="114300" distR="114300">
            <wp:extent cx="5256530" cy="2988310"/>
            <wp:effectExtent l="5080" t="4445" r="15240" b="1714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1"/>
        <w:rPr>
          <w:rFonts w:hint="default" w:ascii="Times New Roman" w:hAnsi="Times New Roman" w:eastAsia="Arial" w:cs="Times New Roman"/>
          <w:highlight w:val="none"/>
        </w:rPr>
      </w:pPr>
      <w:r>
        <w:rPr>
          <w:rFonts w:hint="default" w:ascii="Times New Roman" w:hAnsi="Times New Roman" w:eastAsia="黑体" w:cs="Times New Roman"/>
          <w:kern w:val="2"/>
          <w:sz w:val="32"/>
          <w:szCs w:val="32"/>
          <w:lang w:val="en-US" w:eastAsia="zh-CN" w:bidi="ar-SA"/>
        </w:rPr>
        <w:t>四、财政拨款收入支出决算总体情况说明</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2"/>
        <w:rPr>
          <w:rFonts w:hint="default" w:ascii="Times New Roman" w:hAnsi="Times New Roman" w:eastAsia="楷体_GB2312" w:cs="Times New Roman"/>
          <w:b/>
          <w:bCs/>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（一）财政拨款收支与2022年度决算对比情况</w:t>
      </w:r>
    </w:p>
    <w:p>
      <w:pPr>
        <w:keepNext w:val="0"/>
        <w:keepLines w:val="0"/>
        <w:pageBreakBefore w:val="0"/>
        <w:widowControl w:val="0"/>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kern w:val="2"/>
          <w:sz w:val="32"/>
          <w:szCs w:val="32"/>
          <w:lang w:val="zh-CN" w:eastAsia="zh-CN" w:bidi="ar-SA"/>
        </w:rPr>
        <w:t>本单位202</w:t>
      </w: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zh-CN" w:eastAsia="zh-CN" w:bidi="ar-SA"/>
        </w:rPr>
        <w:t>年度财政拨款本年收入8,919.4</w:t>
      </w:r>
      <w:r>
        <w:rPr>
          <w:rFonts w:hint="eastAsia" w:ascii="仿宋_GB2312" w:hAnsi="仿宋_GB2312" w:eastAsia="仿宋_GB2312" w:cs="仿宋_GB2312"/>
          <w:color w:val="auto"/>
          <w:kern w:val="2"/>
          <w:sz w:val="32"/>
          <w:szCs w:val="32"/>
          <w:lang w:val="en-US" w:eastAsia="zh-CN" w:bidi="ar-SA"/>
        </w:rPr>
        <w:t>万</w:t>
      </w:r>
      <w:r>
        <w:rPr>
          <w:rFonts w:hint="eastAsia" w:ascii="仿宋_GB2312" w:hAnsi="仿宋_GB2312" w:eastAsia="仿宋_GB2312" w:cs="仿宋_GB2312"/>
          <w:color w:val="auto"/>
          <w:kern w:val="2"/>
          <w:sz w:val="32"/>
          <w:szCs w:val="32"/>
          <w:lang w:val="zh-CN" w:eastAsia="zh-CN" w:bidi="ar-SA"/>
        </w:rPr>
        <w:t>元,比上年</w:t>
      </w:r>
      <w:r>
        <w:rPr>
          <w:rFonts w:hint="eastAsia" w:ascii="仿宋_GB2312" w:hAnsi="仿宋_GB2312" w:eastAsia="仿宋_GB2312" w:cs="仿宋_GB2312"/>
          <w:sz w:val="32"/>
          <w:szCs w:val="32"/>
          <w:highlight w:val="none"/>
          <w:lang w:val="zh-CN"/>
        </w:rPr>
        <w:t>减少1,235.97万元</w:t>
      </w:r>
      <w:r>
        <w:rPr>
          <w:rFonts w:hint="eastAsia" w:ascii="仿宋_GB2312" w:hAnsi="仿宋_GB2312" w:eastAsia="仿宋_GB2312" w:cs="仿宋_GB2312"/>
          <w:color w:val="auto"/>
          <w:kern w:val="2"/>
          <w:sz w:val="32"/>
          <w:szCs w:val="32"/>
          <w:lang w:val="zh-CN" w:eastAsia="zh-CN" w:bidi="ar-SA"/>
        </w:rPr>
        <w:t>，</w:t>
      </w:r>
      <w:r>
        <w:rPr>
          <w:rFonts w:hint="eastAsia" w:ascii="仿宋_GB2312" w:hAnsi="仿宋_GB2312" w:eastAsia="仿宋_GB2312" w:cs="仿宋_GB2312"/>
          <w:sz w:val="32"/>
          <w:szCs w:val="32"/>
          <w:highlight w:val="none"/>
          <w:lang w:val="zh-CN"/>
        </w:rPr>
        <w:t>降低12.17%，</w:t>
      </w:r>
      <w:r>
        <w:rPr>
          <w:rFonts w:hint="eastAsia" w:ascii="仿宋_GB2312" w:hAnsi="仿宋_GB2312" w:eastAsia="仿宋_GB2312" w:cs="仿宋_GB2312"/>
          <w:color w:val="000000" w:themeColor="text1"/>
          <w:sz w:val="32"/>
          <w:szCs w:val="32"/>
          <w14:textFill>
            <w14:solidFill>
              <w14:schemeClr w14:val="tx1"/>
            </w14:solidFill>
          </w14:textFill>
        </w:rPr>
        <w:t>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减少了在职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人员经费</w:t>
      </w:r>
      <w:r>
        <w:rPr>
          <w:rFonts w:hint="eastAsia" w:ascii="仿宋_GB2312" w:hAnsi="仿宋_GB2312" w:eastAsia="仿宋_GB2312" w:cs="仿宋_GB2312"/>
          <w:sz w:val="32"/>
          <w:szCs w:val="32"/>
          <w:highlight w:val="none"/>
          <w:lang w:val="en-US" w:eastAsia="zh-CN"/>
        </w:rPr>
        <w:t>225.24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万元，减少了机关事业单位基本养老保险缴费及职业年金缴费支出101.53万元，减少了追加市直机关资金491.0666万元，减少离退休人员生活补贴及物业补贴316.0034万元。减少了关于下达2022年高级宣传文化发展专项资金的通知66.77万元。减少了2022年高级文化产业发展引导资金30万元。减少了石家庄中波台5万元</w:t>
      </w:r>
      <w:r>
        <w:rPr>
          <w:rFonts w:hint="eastAsia" w:ascii="仿宋_GB2312" w:hAnsi="仿宋_GB2312" w:eastAsia="仿宋_GB2312" w:cs="仿宋_GB2312"/>
          <w:color w:val="auto"/>
          <w:kern w:val="2"/>
          <w:sz w:val="32"/>
          <w:szCs w:val="32"/>
          <w:lang w:val="zh-CN" w:eastAsia="zh-CN" w:bidi="ar-SA"/>
        </w:rPr>
        <w:t>；本年支出 8,919.4</w:t>
      </w:r>
      <w:r>
        <w:rPr>
          <w:rFonts w:hint="eastAsia" w:ascii="仿宋_GB2312" w:hAnsi="仿宋_GB2312" w:eastAsia="仿宋_GB2312" w:cs="仿宋_GB2312"/>
          <w:color w:val="auto"/>
          <w:kern w:val="2"/>
          <w:sz w:val="32"/>
          <w:szCs w:val="32"/>
          <w:lang w:val="en-US" w:eastAsia="zh-CN" w:bidi="ar-SA"/>
        </w:rPr>
        <w:t>万</w:t>
      </w:r>
      <w:r>
        <w:rPr>
          <w:rFonts w:hint="eastAsia" w:ascii="仿宋_GB2312" w:hAnsi="仿宋_GB2312" w:eastAsia="仿宋_GB2312" w:cs="仿宋_GB2312"/>
          <w:color w:val="auto"/>
          <w:kern w:val="2"/>
          <w:sz w:val="32"/>
          <w:szCs w:val="32"/>
          <w:lang w:val="zh-CN" w:eastAsia="zh-CN" w:bidi="ar-SA"/>
        </w:rPr>
        <w:t>元，比上年</w:t>
      </w:r>
      <w:r>
        <w:rPr>
          <w:rFonts w:hint="eastAsia" w:ascii="仿宋_GB2312" w:hAnsi="仿宋_GB2312" w:eastAsia="仿宋_GB2312" w:cs="仿宋_GB2312"/>
          <w:sz w:val="32"/>
          <w:szCs w:val="32"/>
          <w:highlight w:val="none"/>
          <w:lang w:val="zh-CN"/>
        </w:rPr>
        <w:t>减少1,235.97万元</w:t>
      </w:r>
      <w:r>
        <w:rPr>
          <w:rFonts w:hint="eastAsia" w:ascii="仿宋_GB2312" w:hAnsi="仿宋_GB2312" w:eastAsia="仿宋_GB2312" w:cs="仿宋_GB2312"/>
          <w:color w:val="auto"/>
          <w:kern w:val="2"/>
          <w:sz w:val="32"/>
          <w:szCs w:val="32"/>
          <w:lang w:val="zh-CN" w:eastAsia="zh-CN" w:bidi="ar-SA"/>
        </w:rPr>
        <w:t>，</w:t>
      </w:r>
      <w:r>
        <w:rPr>
          <w:rFonts w:hint="eastAsia" w:ascii="仿宋_GB2312" w:hAnsi="仿宋_GB2312" w:eastAsia="仿宋_GB2312" w:cs="仿宋_GB2312"/>
          <w:sz w:val="32"/>
          <w:szCs w:val="32"/>
          <w:highlight w:val="none"/>
          <w:lang w:val="zh-CN"/>
        </w:rPr>
        <w:t>降低12.17%，</w:t>
      </w:r>
      <w:r>
        <w:rPr>
          <w:rFonts w:hint="eastAsia" w:ascii="仿宋_GB2312" w:hAnsi="仿宋_GB2312" w:eastAsia="仿宋_GB2312" w:cs="仿宋_GB2312"/>
          <w:color w:val="auto"/>
          <w:kern w:val="2"/>
          <w:sz w:val="32"/>
          <w:szCs w:val="32"/>
          <w:lang w:val="zh-CN" w:eastAsia="zh-CN" w:bidi="ar-SA"/>
        </w:rPr>
        <w:t>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减少了在职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员经费225.24万元，减少了机关事业单位基本养老保险缴费及职业年金缴费支出101.53万元，减少了追加市直机关资金491.0666万元，减少离退休人员生活补贴及物业补贴316.0034万元。减少了关于下达2022年高级宣传文化发展专项资金的通知66.77万元。减少了2022年高级文化产业发展引导资金30万元。减少了石家庄中波台5万元</w:t>
      </w:r>
      <w:r>
        <w:rPr>
          <w:rFonts w:hint="eastAsia" w:ascii="仿宋_GB2312" w:hAnsi="仿宋_GB2312" w:eastAsia="仿宋_GB2312" w:cs="仿宋_GB2312"/>
          <w:color w:val="auto"/>
          <w:kern w:val="2"/>
          <w:sz w:val="32"/>
          <w:szCs w:val="32"/>
          <w:lang w:val="zh-CN" w:eastAsia="zh-CN" w:bidi="ar-SA"/>
        </w:rPr>
        <w:t>。具体情况如下：</w:t>
      </w:r>
    </w:p>
    <w:p>
      <w:pPr>
        <w:adjustRightInd w:val="0"/>
        <w:snapToGrid w:val="0"/>
        <w:spacing w:line="580" w:lineRule="exact"/>
        <w:ind w:firstLine="640" w:firstLineChars="200"/>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zh-CN"/>
        </w:rPr>
        <w:t>1. 一般公共预算财政拨款本年收入8,782.59</w:t>
      </w:r>
      <w:r>
        <w:rPr>
          <w:rFonts w:hint="eastAsia" w:ascii="仿宋_GB2312" w:hAnsi="仿宋_GB2312" w:eastAsia="仿宋_GB2312" w:cs="仿宋_GB2312"/>
          <w:kern w:val="2"/>
          <w:sz w:val="32"/>
          <w:szCs w:val="32"/>
          <w:lang w:val="zh-CN" w:eastAsia="zh-CN"/>
        </w:rPr>
        <w:t>万元</w:t>
      </w:r>
      <w:r>
        <w:rPr>
          <w:rFonts w:hint="eastAsia" w:ascii="仿宋_GB2312" w:hAnsi="仿宋_GB2312" w:eastAsia="仿宋_GB2312" w:cs="仿宋_GB2312"/>
          <w:kern w:val="2"/>
          <w:sz w:val="32"/>
          <w:szCs w:val="32"/>
          <w:lang w:val="zh-CN"/>
        </w:rPr>
        <w:t>,比上年</w:t>
      </w:r>
      <w:r>
        <w:rPr>
          <w:rFonts w:hint="eastAsia" w:ascii="仿宋_GB2312" w:hAnsi="仿宋_GB2312" w:eastAsia="仿宋_GB2312" w:cs="仿宋_GB2312"/>
          <w:sz w:val="32"/>
          <w:szCs w:val="32"/>
          <w:highlight w:val="none"/>
          <w:lang w:val="zh-CN"/>
        </w:rPr>
        <w:t>减少1,235.97万元，降低12.34%，</w:t>
      </w:r>
      <w:r>
        <w:rPr>
          <w:rFonts w:hint="eastAsia" w:ascii="仿宋_GB2312" w:hAnsi="仿宋_GB2312" w:eastAsia="仿宋_GB2312" w:cs="仿宋_GB2312"/>
          <w:kern w:val="2"/>
          <w:sz w:val="32"/>
          <w:szCs w:val="32"/>
          <w:lang w:val="zh-CN"/>
        </w:rPr>
        <w:t>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减少在职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员经费225.24万元，减少了机关事业单位基本养老保险缴费及职业年金缴费支出101.53万元，减少了追加市直机关资金491.0666万元，减少离退休人员生活补贴及物业补贴316.0034万元。减少了关于下达2022年高级宣传文化发展专项资金的通知66.77万元。减少了2022年高级文化产业发展引导资金30万元。减少了石家庄中波台5万元</w:t>
      </w:r>
      <w:r>
        <w:rPr>
          <w:rFonts w:hint="eastAsia" w:ascii="仿宋_GB2312" w:hAnsi="仿宋_GB2312" w:eastAsia="仿宋_GB2312" w:cs="仿宋_GB2312"/>
          <w:kern w:val="2"/>
          <w:sz w:val="32"/>
          <w:szCs w:val="32"/>
          <w:lang w:val="zh-CN"/>
        </w:rPr>
        <w:t>；本年支出 8,782.59</w:t>
      </w:r>
      <w:r>
        <w:rPr>
          <w:rFonts w:hint="eastAsia" w:ascii="仿宋_GB2312" w:hAnsi="仿宋_GB2312" w:eastAsia="仿宋_GB2312" w:cs="仿宋_GB2312"/>
          <w:kern w:val="2"/>
          <w:sz w:val="32"/>
          <w:szCs w:val="32"/>
          <w:lang w:val="en-US" w:eastAsia="zh-CN"/>
        </w:rPr>
        <w:t>万</w:t>
      </w:r>
      <w:r>
        <w:rPr>
          <w:rFonts w:hint="eastAsia" w:ascii="仿宋_GB2312" w:hAnsi="仿宋_GB2312" w:eastAsia="仿宋_GB2312" w:cs="仿宋_GB2312"/>
          <w:kern w:val="2"/>
          <w:sz w:val="32"/>
          <w:szCs w:val="32"/>
          <w:lang w:val="zh-CN"/>
        </w:rPr>
        <w:t>元，比上年</w:t>
      </w:r>
      <w:r>
        <w:rPr>
          <w:rFonts w:hint="eastAsia" w:ascii="仿宋_GB2312" w:hAnsi="仿宋_GB2312" w:eastAsia="仿宋_GB2312" w:cs="仿宋_GB2312"/>
          <w:sz w:val="32"/>
          <w:szCs w:val="32"/>
          <w:highlight w:val="none"/>
          <w:lang w:val="zh-CN"/>
        </w:rPr>
        <w:t>减少1,235.97万元</w:t>
      </w:r>
      <w:r>
        <w:rPr>
          <w:rFonts w:hint="eastAsia" w:ascii="仿宋_GB2312" w:hAnsi="仿宋_GB2312" w:eastAsia="仿宋_GB2312" w:cs="仿宋_GB2312"/>
          <w:kern w:val="2"/>
          <w:sz w:val="32"/>
          <w:szCs w:val="32"/>
          <w:lang w:val="zh-CN"/>
        </w:rPr>
        <w:t>，</w:t>
      </w:r>
      <w:r>
        <w:rPr>
          <w:rFonts w:hint="eastAsia" w:ascii="仿宋_GB2312" w:hAnsi="仿宋_GB2312" w:eastAsia="仿宋_GB2312" w:cs="仿宋_GB2312"/>
          <w:sz w:val="32"/>
          <w:szCs w:val="32"/>
          <w:highlight w:val="none"/>
          <w:lang w:val="zh-CN"/>
        </w:rPr>
        <w:t>降低12.34%，</w:t>
      </w:r>
      <w:r>
        <w:rPr>
          <w:rFonts w:hint="eastAsia" w:ascii="仿宋_GB2312" w:hAnsi="仿宋_GB2312" w:eastAsia="仿宋_GB2312" w:cs="仿宋_GB2312"/>
          <w:kern w:val="2"/>
          <w:sz w:val="32"/>
          <w:szCs w:val="32"/>
          <w:lang w:val="zh-CN"/>
        </w:rPr>
        <w:t>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减少了在职</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人员经费225.24万元，减少了机关事业单位基本养老保险缴费及职业年金缴费支出101.53万元，减少了追加市直机关资金491.0666万元，减少离退休人员生活补贴及物业补贴316.0034万元。减少了关于下达2022年高级宣传文化发展专项资金的通知66.77万元。减少了2022年高级文化产业发展引导资金30万元。减少了石家庄中波台5万元</w:t>
      </w:r>
      <w:r>
        <w:rPr>
          <w:rFonts w:hint="eastAsia" w:ascii="仿宋_GB2312" w:hAnsi="仿宋_GB2312" w:eastAsia="仿宋_GB2312" w:cs="仿宋_GB2312"/>
          <w:kern w:val="2"/>
          <w:sz w:val="32"/>
          <w:szCs w:val="32"/>
          <w:lang w:val="zh-CN"/>
        </w:rPr>
        <w:t>。</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kern w:val="2"/>
          <w:sz w:val="32"/>
          <w:szCs w:val="32"/>
          <w:lang w:val="zh-CN"/>
        </w:rPr>
        <w:t xml:space="preserve">2. </w:t>
      </w:r>
      <w:r>
        <w:rPr>
          <w:rFonts w:hint="eastAsia" w:ascii="仿宋_GB2312" w:hAnsi="仿宋_GB2312" w:eastAsia="仿宋_GB2312" w:cs="仿宋_GB2312"/>
          <w:kern w:val="2"/>
          <w:sz w:val="32"/>
          <w:szCs w:val="32"/>
          <w:lang w:val="zh-CN"/>
        </w:rPr>
        <w:t>政府性基金预算财政拨款本年收入136.81</w:t>
      </w:r>
      <w:r>
        <w:rPr>
          <w:rFonts w:hint="eastAsia" w:ascii="仿宋_GB2312" w:hAnsi="仿宋_GB2312" w:eastAsia="仿宋_GB2312" w:cs="仿宋_GB2312"/>
          <w:kern w:val="2"/>
          <w:sz w:val="32"/>
          <w:szCs w:val="32"/>
          <w:lang w:val="en-US" w:eastAsia="zh-CN"/>
        </w:rPr>
        <w:t>万</w:t>
      </w:r>
      <w:r>
        <w:rPr>
          <w:rFonts w:hint="eastAsia" w:ascii="仿宋_GB2312" w:hAnsi="仿宋_GB2312" w:eastAsia="仿宋_GB2312" w:cs="仿宋_GB2312"/>
          <w:kern w:val="2"/>
          <w:sz w:val="32"/>
          <w:szCs w:val="32"/>
          <w:lang w:val="zh-CN"/>
        </w:rPr>
        <w:t>元，比上年</w:t>
      </w:r>
      <w:r>
        <w:rPr>
          <w:rFonts w:hint="eastAsia" w:ascii="仿宋_GB2312" w:hAnsi="仿宋_GB2312" w:eastAsia="仿宋_GB2312" w:cs="仿宋_GB2312"/>
          <w:sz w:val="32"/>
          <w:szCs w:val="32"/>
          <w:highlight w:val="none"/>
          <w:lang w:val="zh-CN"/>
        </w:rPr>
        <w:t>持平</w:t>
      </w:r>
      <w:r>
        <w:rPr>
          <w:rFonts w:hint="eastAsia" w:ascii="仿宋_GB2312" w:hAnsi="仿宋_GB2312" w:eastAsia="仿宋_GB2312" w:cs="仿宋_GB2312"/>
          <w:kern w:val="2"/>
          <w:sz w:val="32"/>
          <w:szCs w:val="32"/>
          <w:lang w:val="zh-CN"/>
        </w:rPr>
        <w:t>，主要原因是</w:t>
      </w:r>
      <w:r>
        <w:rPr>
          <w:rFonts w:hint="eastAsia" w:ascii="仿宋_GB2312" w:hAnsi="仿宋_GB2312" w:eastAsia="仿宋_GB2312" w:cs="仿宋_GB2312"/>
          <w:color w:val="000000" w:themeColor="text1"/>
          <w:sz w:val="32"/>
          <w:szCs w:val="32"/>
          <w14:textFill>
            <w14:solidFill>
              <w14:schemeClr w14:val="tx1"/>
            </w14:solidFill>
          </w14:textFill>
        </w:rPr>
        <w:t>主要是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媒体融合基础设施提升改造项目债券付息</w:t>
      </w:r>
      <w:r>
        <w:rPr>
          <w:rFonts w:hint="eastAsia" w:ascii="仿宋_GB2312" w:hAnsi="仿宋_GB2312" w:eastAsia="仿宋_GB2312" w:cs="仿宋_GB2312"/>
          <w:kern w:val="2"/>
          <w:sz w:val="32"/>
          <w:szCs w:val="32"/>
          <w:lang w:val="zh-CN"/>
        </w:rPr>
        <w:t>；本年支出 136.81</w:t>
      </w:r>
      <w:r>
        <w:rPr>
          <w:rFonts w:hint="eastAsia" w:ascii="仿宋_GB2312" w:hAnsi="仿宋_GB2312" w:eastAsia="仿宋_GB2312" w:cs="仿宋_GB2312"/>
          <w:kern w:val="2"/>
          <w:sz w:val="32"/>
          <w:szCs w:val="32"/>
          <w:lang w:val="en-US" w:eastAsia="zh-CN"/>
        </w:rPr>
        <w:t>万</w:t>
      </w:r>
      <w:r>
        <w:rPr>
          <w:rFonts w:hint="eastAsia" w:ascii="仿宋_GB2312" w:hAnsi="仿宋_GB2312" w:eastAsia="仿宋_GB2312" w:cs="仿宋_GB2312"/>
          <w:kern w:val="2"/>
          <w:sz w:val="32"/>
          <w:szCs w:val="32"/>
          <w:lang w:val="zh-CN"/>
        </w:rPr>
        <w:t>元，比上年</w:t>
      </w:r>
      <w:r>
        <w:rPr>
          <w:rFonts w:hint="eastAsia" w:ascii="仿宋_GB2312" w:hAnsi="仿宋_GB2312" w:eastAsia="仿宋_GB2312" w:cs="仿宋_GB2312"/>
          <w:sz w:val="32"/>
          <w:szCs w:val="32"/>
          <w:highlight w:val="none"/>
          <w:lang w:val="zh-CN"/>
        </w:rPr>
        <w:t>持平</w:t>
      </w:r>
      <w:r>
        <w:rPr>
          <w:rFonts w:hint="eastAsia" w:ascii="仿宋_GB2312" w:hAnsi="仿宋_GB2312" w:eastAsia="仿宋_GB2312" w:cs="仿宋_GB2312"/>
          <w:kern w:val="2"/>
          <w:sz w:val="32"/>
          <w:szCs w:val="32"/>
          <w:lang w:val="zh-CN"/>
        </w:rPr>
        <w:t>，主要是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媒体融合基础设施提升改造项目债券付息</w:t>
      </w:r>
      <w:r>
        <w:rPr>
          <w:rFonts w:hint="eastAsia" w:ascii="仿宋_GB2312" w:hAnsi="仿宋_GB2312" w:eastAsia="仿宋_GB2312" w:cs="仿宋_GB2312"/>
          <w:kern w:val="2"/>
          <w:sz w:val="32"/>
          <w:szCs w:val="32"/>
          <w:lang w:val="zh-CN"/>
        </w:rPr>
        <w:t>。</w:t>
      </w:r>
    </w:p>
    <w:p>
      <w:pPr>
        <w:autoSpaceDE w:val="0"/>
        <w:autoSpaceDN w:val="0"/>
        <w:adjustRightInd w:val="0"/>
        <w:spacing w:line="580" w:lineRule="exact"/>
        <w:ind w:firstLine="640" w:firstLineChars="200"/>
        <w:jc w:val="left"/>
        <w:rPr>
          <w:rFonts w:hint="default" w:ascii="Times New Roman" w:hAnsi="Times New Roman" w:eastAsia="仿宋_GB2312" w:cs="Times New Roman"/>
          <w:kern w:val="2"/>
          <w:sz w:val="32"/>
          <w:szCs w:val="32"/>
          <w:lang w:val="zh-CN"/>
        </w:rPr>
      </w:pPr>
      <w:r>
        <w:rPr>
          <w:rFonts w:hint="default" w:ascii="Times New Roman" w:hAnsi="Times New Roman" w:eastAsia="仿宋_GB2312" w:cs="Times New Roman"/>
          <w:kern w:val="2"/>
          <w:sz w:val="32"/>
          <w:szCs w:val="32"/>
          <w:lang w:val="zh-CN"/>
        </w:rPr>
        <w:t>3. 国有资本经营预算财政拨款本年收入0</w:t>
      </w:r>
      <w:r>
        <w:rPr>
          <w:rFonts w:hint="default" w:ascii="Times New Roman" w:hAnsi="Times New Roman" w:eastAsia="仿宋_GB2312" w:cs="Times New Roman"/>
          <w:kern w:val="2"/>
          <w:sz w:val="32"/>
          <w:szCs w:val="32"/>
          <w:lang w:val="en-US" w:eastAsia="zh-CN"/>
        </w:rPr>
        <w:t>万</w:t>
      </w:r>
      <w:r>
        <w:rPr>
          <w:rFonts w:hint="default" w:ascii="Times New Roman" w:hAnsi="Times New Roman" w:eastAsia="仿宋_GB2312" w:cs="Times New Roman"/>
          <w:kern w:val="2"/>
          <w:sz w:val="32"/>
          <w:szCs w:val="32"/>
          <w:lang w:val="zh-CN"/>
        </w:rPr>
        <w:t>元，比上年</w:t>
      </w:r>
      <w:r>
        <w:rPr>
          <w:rFonts w:hint="eastAsia" w:ascii="Times New Roman" w:hAnsi="Times New Roman" w:eastAsia="仿宋_GB2312" w:cs="Times New Roman"/>
          <w:sz w:val="30"/>
          <w:szCs w:val="30"/>
          <w:highlight w:val="none"/>
          <w:lang w:val="zh-CN"/>
        </w:rPr>
        <w:t>持平</w:t>
      </w:r>
      <w:r>
        <w:rPr>
          <w:rFonts w:hint="default" w:ascii="Times New Roman" w:hAnsi="Times New Roman" w:eastAsia="仿宋_GB2312" w:cs="Times New Roman"/>
          <w:kern w:val="2"/>
          <w:sz w:val="32"/>
          <w:szCs w:val="32"/>
          <w:lang w:val="zh-CN"/>
        </w:rPr>
        <w:t>，主要原因是</w:t>
      </w:r>
      <w:r>
        <w:rPr>
          <w:rFonts w:hint="eastAsia" w:ascii="Times New Roman" w:hAnsi="Times New Roman" w:eastAsia="仿宋_GB2312" w:cs="Times New Roman"/>
          <w:kern w:val="2"/>
          <w:sz w:val="32"/>
          <w:szCs w:val="32"/>
          <w:lang w:val="zh-CN"/>
        </w:rPr>
        <w:t>本单位无此项收入</w:t>
      </w:r>
      <w:r>
        <w:rPr>
          <w:rFonts w:hint="default" w:ascii="Times New Roman" w:hAnsi="Times New Roman" w:eastAsia="仿宋_GB2312" w:cs="Times New Roman"/>
          <w:kern w:val="2"/>
          <w:sz w:val="32"/>
          <w:szCs w:val="32"/>
          <w:lang w:val="zh-CN"/>
        </w:rPr>
        <w:t>；本年支出0</w:t>
      </w:r>
      <w:r>
        <w:rPr>
          <w:rFonts w:hint="default" w:ascii="Times New Roman" w:hAnsi="Times New Roman" w:eastAsia="仿宋_GB2312" w:cs="Times New Roman"/>
          <w:kern w:val="2"/>
          <w:sz w:val="32"/>
          <w:szCs w:val="32"/>
          <w:lang w:val="en-US" w:eastAsia="zh-CN"/>
        </w:rPr>
        <w:t>万</w:t>
      </w:r>
      <w:r>
        <w:rPr>
          <w:rFonts w:hint="default" w:ascii="Times New Roman" w:hAnsi="Times New Roman" w:eastAsia="仿宋_GB2312" w:cs="Times New Roman"/>
          <w:kern w:val="2"/>
          <w:sz w:val="32"/>
          <w:szCs w:val="32"/>
          <w:lang w:val="zh-CN"/>
        </w:rPr>
        <w:t>元，比上年</w:t>
      </w:r>
      <w:r>
        <w:rPr>
          <w:rFonts w:hint="eastAsia" w:ascii="Times New Roman" w:hAnsi="Times New Roman" w:eastAsia="仿宋_GB2312" w:cs="Times New Roman"/>
          <w:sz w:val="30"/>
          <w:szCs w:val="30"/>
          <w:highlight w:val="none"/>
          <w:lang w:val="zh-CN"/>
        </w:rPr>
        <w:t>持平</w:t>
      </w:r>
      <w:r>
        <w:rPr>
          <w:rFonts w:hint="default" w:ascii="Times New Roman" w:hAnsi="Times New Roman" w:eastAsia="仿宋_GB2312" w:cs="Times New Roman"/>
          <w:kern w:val="2"/>
          <w:sz w:val="32"/>
          <w:szCs w:val="32"/>
          <w:lang w:val="zh-CN"/>
        </w:rPr>
        <w:t>，主要是</w:t>
      </w:r>
      <w:r>
        <w:rPr>
          <w:rFonts w:hint="eastAsia" w:ascii="Times New Roman" w:hAnsi="Times New Roman" w:eastAsia="仿宋_GB2312" w:cs="Times New Roman"/>
          <w:kern w:val="2"/>
          <w:sz w:val="32"/>
          <w:szCs w:val="32"/>
          <w:lang w:val="zh-CN"/>
        </w:rPr>
        <w:t>本单位无此项支出</w:t>
      </w:r>
      <w:r>
        <w:rPr>
          <w:rFonts w:hint="default" w:ascii="Times New Roman" w:hAnsi="Times New Roman" w:eastAsia="仿宋_GB2312" w:cs="Times New Roman"/>
          <w:kern w:val="2"/>
          <w:sz w:val="32"/>
          <w:szCs w:val="32"/>
          <w:lang w:val="zh-CN"/>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仿宋_GB2312" w:cs="Times New Roman"/>
          <w:color w:val="auto"/>
          <w:kern w:val="0"/>
          <w:sz w:val="32"/>
          <w:szCs w:val="32"/>
          <w:highlight w:val="yellow"/>
          <w:lang w:val="en-US" w:eastAsia="zh-CN" w:bidi="ar-SA"/>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仿宋_GB2312" w:cs="Times New Roman"/>
          <w:color w:val="auto"/>
          <w:kern w:val="0"/>
          <w:sz w:val="32"/>
          <w:szCs w:val="32"/>
          <w:highlight w:val="yellow"/>
          <w:lang w:val="en-US" w:eastAsia="zh-CN" w:bidi="ar-SA"/>
        </w:rPr>
      </w:pPr>
      <w:r>
        <w:rPr>
          <w:rFonts w:ascii="Times New Roman" w:hAnsi="Times New Roman" w:eastAsia="仿宋_GB2312"/>
          <w:sz w:val="32"/>
          <w:szCs w:val="32"/>
        </w:rPr>
        <w:drawing>
          <wp:inline distT="0" distB="0" distL="114300" distR="114300">
            <wp:extent cx="5256530" cy="2988310"/>
            <wp:effectExtent l="5080" t="4445" r="11430" b="952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pPr>
        <w:snapToGrid w:val="0"/>
        <w:spacing w:line="580" w:lineRule="exact"/>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rPr>
        <w:t>（二）财政拨款收支与年初预算数对比情况</w:t>
      </w:r>
    </w:p>
    <w:p>
      <w:pPr>
        <w:adjustRightInd w:val="0"/>
        <w:snapToGrid w:val="0"/>
        <w:spacing w:line="580" w:lineRule="exact"/>
        <w:ind w:firstLine="640" w:firstLineChars="200"/>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color w:val="auto"/>
          <w:kern w:val="2"/>
          <w:sz w:val="32"/>
          <w:szCs w:val="32"/>
          <w:lang w:val="zh-CN" w:eastAsia="zh-CN" w:bidi="ar-SA"/>
        </w:rPr>
        <w:t>本单位202</w:t>
      </w: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zh-CN" w:eastAsia="zh-CN" w:bidi="ar-SA"/>
        </w:rPr>
        <w:t>年度财政拨款本年收入8,919.4万元，完成年初预算的101.25%，比年初预算</w:t>
      </w:r>
      <w:r>
        <w:rPr>
          <w:rFonts w:hint="eastAsia" w:ascii="仿宋_GB2312" w:hAnsi="仿宋_GB2312" w:eastAsia="仿宋_GB2312" w:cs="仿宋_GB2312"/>
          <w:sz w:val="32"/>
          <w:szCs w:val="32"/>
          <w:highlight w:val="none"/>
          <w:lang w:val="zh-CN"/>
        </w:rPr>
        <w:t>增加110.39万元</w:t>
      </w:r>
      <w:r>
        <w:rPr>
          <w:rFonts w:hint="eastAsia" w:ascii="仿宋_GB2312" w:hAnsi="仿宋_GB2312" w:eastAsia="仿宋_GB2312" w:cs="仿宋_GB2312"/>
          <w:color w:val="auto"/>
          <w:kern w:val="2"/>
          <w:sz w:val="32"/>
          <w:szCs w:val="32"/>
          <w:lang w:val="zh-CN" w:eastAsia="zh-CN" w:bidi="ar-SA"/>
        </w:rPr>
        <w:t>，决算数大于预算数主要原因是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在职人员经费减少了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94.24万元，增加</w:t>
      </w:r>
      <w:r>
        <w:rPr>
          <w:rFonts w:hint="eastAsia" w:ascii="仿宋_GB2312" w:hAnsi="仿宋_GB2312" w:eastAsia="仿宋_GB2312" w:cs="仿宋_GB2312"/>
          <w:color w:val="000000" w:themeColor="text1"/>
          <w:sz w:val="32"/>
          <w:szCs w:val="32"/>
          <w:lang w:eastAsia="zh-CN"/>
          <w14:textFill>
            <w14:solidFill>
              <w14:schemeClr w14:val="tx1"/>
            </w14:solidFill>
          </w14:textFill>
        </w:rPr>
        <w:t>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2023年市级文化产业发展引导资金204.63万元：其中《摇滚石家庄》音乐宣传推广季35万元广播连续剧《曙光初照》70万元，《遇见石家庄》节目99.63万元</w:t>
      </w:r>
      <w:r>
        <w:rPr>
          <w:rFonts w:hint="eastAsia" w:ascii="仿宋_GB2312" w:hAnsi="仿宋_GB2312" w:eastAsia="仿宋_GB2312" w:cs="仿宋_GB2312"/>
          <w:color w:val="auto"/>
          <w:kern w:val="2"/>
          <w:sz w:val="32"/>
          <w:szCs w:val="32"/>
          <w:lang w:val="zh-CN" w:eastAsia="zh-CN" w:bidi="ar-SA"/>
        </w:rPr>
        <w:t>；本年支出8,919.4万元，完成年初预算的101.25%，比年初预算</w:t>
      </w:r>
      <w:r>
        <w:rPr>
          <w:rFonts w:hint="eastAsia" w:ascii="仿宋_GB2312" w:hAnsi="仿宋_GB2312" w:eastAsia="仿宋_GB2312" w:cs="仿宋_GB2312"/>
          <w:sz w:val="32"/>
          <w:szCs w:val="32"/>
          <w:highlight w:val="none"/>
          <w:lang w:val="zh-CN"/>
        </w:rPr>
        <w:t>增加110.39万元</w:t>
      </w:r>
      <w:r>
        <w:rPr>
          <w:rFonts w:hint="eastAsia" w:ascii="仿宋_GB2312" w:hAnsi="仿宋_GB2312" w:eastAsia="仿宋_GB2312" w:cs="仿宋_GB2312"/>
          <w:color w:val="auto"/>
          <w:kern w:val="2"/>
          <w:sz w:val="32"/>
          <w:szCs w:val="32"/>
          <w:lang w:val="zh-CN" w:eastAsia="zh-CN" w:bidi="ar-SA"/>
        </w:rPr>
        <w:t>，决算数</w:t>
      </w:r>
      <w:r>
        <w:rPr>
          <w:rFonts w:hint="eastAsia" w:ascii="仿宋_GB2312" w:hAnsi="仿宋_GB2312" w:eastAsia="仿宋_GB2312" w:cs="仿宋_GB2312"/>
          <w:kern w:val="2"/>
          <w:sz w:val="32"/>
          <w:szCs w:val="32"/>
          <w:lang w:val="zh-CN"/>
        </w:rPr>
        <w:t>大于预算数主要原因是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在职人员经费减少了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94.24万元，增加</w:t>
      </w:r>
      <w:r>
        <w:rPr>
          <w:rFonts w:hint="eastAsia" w:ascii="仿宋_GB2312" w:hAnsi="仿宋_GB2312" w:eastAsia="仿宋_GB2312" w:cs="仿宋_GB2312"/>
          <w:color w:val="000000" w:themeColor="text1"/>
          <w:sz w:val="32"/>
          <w:szCs w:val="32"/>
          <w:lang w:eastAsia="zh-CN"/>
          <w14:textFill>
            <w14:solidFill>
              <w14:schemeClr w14:val="tx1"/>
            </w14:solidFill>
          </w14:textFill>
        </w:rPr>
        <w:t>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2023年市级文化产业发展引导资金204.63万元：其中《摇滚石家庄》音乐宣传推广季35万元广播连续剧《曙光初照》70万元，《遇见石家庄》节目99.63万元</w:t>
      </w:r>
      <w:r>
        <w:rPr>
          <w:rFonts w:hint="eastAsia" w:ascii="仿宋_GB2312" w:hAnsi="仿宋_GB2312" w:eastAsia="仿宋_GB2312" w:cs="仿宋_GB2312"/>
          <w:kern w:val="2"/>
          <w:sz w:val="32"/>
          <w:szCs w:val="32"/>
          <w:lang w:val="zh-CN"/>
        </w:rPr>
        <w:t>。具体情况如下：</w:t>
      </w:r>
    </w:p>
    <w:p>
      <w:pPr>
        <w:keepNext w:val="0"/>
        <w:keepLines w:val="0"/>
        <w:pageBreakBefore w:val="0"/>
        <w:widowControl w:val="0"/>
        <w:kinsoku/>
        <w:wordWrap/>
        <w:overflowPunct/>
        <w:topLinePunct w:val="0"/>
        <w:autoSpaceDE w:val="0"/>
        <w:autoSpaceDN w:val="0"/>
        <w:bidi w:val="0"/>
        <w:adjustRightInd w:val="0"/>
        <w:snapToGrid/>
        <w:spacing w:line="240" w:lineRule="auto"/>
        <w:ind w:firstLine="640" w:firstLineChars="200"/>
        <w:jc w:val="left"/>
        <w:textAlignment w:val="auto"/>
        <w:rPr>
          <w:rFonts w:hint="eastAsia" w:ascii="仿宋_GB2312" w:hAnsi="仿宋_GB2312" w:eastAsia="仿宋_GB2312" w:cs="仿宋_GB2312"/>
          <w:kern w:val="2"/>
          <w:sz w:val="32"/>
          <w:szCs w:val="32"/>
          <w:lang w:val="zh-CN"/>
        </w:rPr>
      </w:pPr>
      <w:r>
        <w:rPr>
          <w:rFonts w:hint="eastAsia" w:ascii="仿宋_GB2312" w:hAnsi="仿宋_GB2312" w:eastAsia="仿宋_GB2312" w:cs="仿宋_GB2312"/>
          <w:kern w:val="2"/>
          <w:sz w:val="32"/>
          <w:szCs w:val="32"/>
          <w:lang w:val="en-US" w:eastAsia="zh-CN"/>
        </w:rPr>
        <w:t>1.</w:t>
      </w:r>
      <w:r>
        <w:rPr>
          <w:rFonts w:hint="eastAsia" w:ascii="仿宋_GB2312" w:hAnsi="仿宋_GB2312" w:eastAsia="仿宋_GB2312" w:cs="仿宋_GB2312"/>
          <w:kern w:val="2"/>
          <w:sz w:val="32"/>
          <w:szCs w:val="32"/>
          <w:lang w:val="zh-CN"/>
        </w:rPr>
        <w:t>一般公共预算财政拨款</w:t>
      </w:r>
      <w:r>
        <w:rPr>
          <w:rFonts w:hint="eastAsia" w:ascii="仿宋_GB2312" w:hAnsi="仿宋_GB2312" w:eastAsia="仿宋_GB2312" w:cs="仿宋_GB2312"/>
          <w:kern w:val="2"/>
          <w:sz w:val="32"/>
          <w:szCs w:val="32"/>
          <w:lang w:val="en-US" w:eastAsia="zh-CN"/>
        </w:rPr>
        <w:t>本年</w:t>
      </w:r>
      <w:r>
        <w:rPr>
          <w:rFonts w:hint="eastAsia" w:ascii="仿宋_GB2312" w:hAnsi="仿宋_GB2312" w:eastAsia="仿宋_GB2312" w:cs="仿宋_GB2312"/>
          <w:kern w:val="2"/>
          <w:sz w:val="32"/>
          <w:szCs w:val="32"/>
          <w:lang w:val="zh-CN"/>
        </w:rPr>
        <w:t>收入8,782.59万元，完成年初预算的 101.27%，比年初预算</w:t>
      </w:r>
      <w:r>
        <w:rPr>
          <w:rFonts w:hint="eastAsia" w:ascii="仿宋_GB2312" w:hAnsi="仿宋_GB2312" w:eastAsia="仿宋_GB2312" w:cs="仿宋_GB2312"/>
          <w:sz w:val="32"/>
          <w:szCs w:val="32"/>
          <w:highlight w:val="none"/>
          <w:lang w:val="zh-CN"/>
        </w:rPr>
        <w:t>增加110.39万元</w:t>
      </w:r>
      <w:r>
        <w:rPr>
          <w:rFonts w:hint="eastAsia" w:ascii="仿宋_GB2312" w:hAnsi="仿宋_GB2312" w:eastAsia="仿宋_GB2312" w:cs="仿宋_GB2312"/>
          <w:kern w:val="2"/>
          <w:sz w:val="32"/>
          <w:szCs w:val="32"/>
          <w:lang w:val="zh-CN"/>
        </w:rPr>
        <w:t>，主要原因是</w:t>
      </w:r>
      <w:r>
        <w:rPr>
          <w:rFonts w:hint="eastAsia" w:ascii="仿宋_GB2312" w:hAnsi="仿宋_GB2312" w:eastAsia="仿宋_GB2312" w:cs="仿宋_GB2312"/>
          <w:color w:val="000000" w:themeColor="text1"/>
          <w:sz w:val="32"/>
          <w:szCs w:val="32"/>
          <w:lang w:eastAsia="zh-CN"/>
          <w14:textFill>
            <w14:solidFill>
              <w14:schemeClr w14:val="tx1"/>
            </w14:solidFill>
          </w14:textFill>
        </w:rPr>
        <w:t>在职人员经费减少了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94.24万元，增加</w:t>
      </w:r>
      <w:r>
        <w:rPr>
          <w:rFonts w:hint="eastAsia" w:ascii="仿宋_GB2312" w:hAnsi="仿宋_GB2312" w:eastAsia="仿宋_GB2312" w:cs="仿宋_GB2312"/>
          <w:color w:val="000000" w:themeColor="text1"/>
          <w:sz w:val="32"/>
          <w:szCs w:val="32"/>
          <w:lang w:eastAsia="zh-CN"/>
          <w14:textFill>
            <w14:solidFill>
              <w14:schemeClr w14:val="tx1"/>
            </w14:solidFill>
          </w14:textFill>
        </w:rPr>
        <w:t>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2023年市级文化产业发展引导资金204.63万元：其中《摇滚石家庄》音乐宣传推广季35万元广播连续剧《曙光初照》70万元，《遇见石家庄》节目99.63万元</w:t>
      </w:r>
      <w:r>
        <w:rPr>
          <w:rFonts w:hint="eastAsia" w:ascii="仿宋_GB2312" w:hAnsi="仿宋_GB2312" w:eastAsia="仿宋_GB2312" w:cs="仿宋_GB2312"/>
          <w:kern w:val="2"/>
          <w:sz w:val="32"/>
          <w:szCs w:val="32"/>
          <w:lang w:val="zh-CN"/>
        </w:rPr>
        <w:t>；本年支出8,782.59万元，完成年初预算的101.27%，比年初预算</w:t>
      </w:r>
      <w:r>
        <w:rPr>
          <w:rFonts w:hint="eastAsia" w:ascii="仿宋_GB2312" w:hAnsi="仿宋_GB2312" w:eastAsia="仿宋_GB2312" w:cs="仿宋_GB2312"/>
          <w:sz w:val="32"/>
          <w:szCs w:val="32"/>
          <w:highlight w:val="none"/>
          <w:lang w:val="zh-CN"/>
        </w:rPr>
        <w:t>增加110.39万元</w:t>
      </w:r>
      <w:r>
        <w:rPr>
          <w:rFonts w:hint="eastAsia" w:ascii="仿宋_GB2312" w:hAnsi="仿宋_GB2312" w:eastAsia="仿宋_GB2312" w:cs="仿宋_GB2312"/>
          <w:kern w:val="2"/>
          <w:sz w:val="32"/>
          <w:szCs w:val="32"/>
          <w:lang w:val="zh-CN"/>
        </w:rPr>
        <w:t>，主要原因是主要是</w:t>
      </w:r>
      <w:r>
        <w:rPr>
          <w:rFonts w:hint="eastAsia" w:ascii="仿宋_GB2312" w:hAnsi="仿宋_GB2312" w:eastAsia="仿宋_GB2312" w:cs="仿宋_GB2312"/>
          <w:color w:val="000000" w:themeColor="text1"/>
          <w:sz w:val="32"/>
          <w:szCs w:val="32"/>
          <w:lang w:eastAsia="zh-CN"/>
          <w14:textFill>
            <w14:solidFill>
              <w14:schemeClr w14:val="tx1"/>
            </w14:solidFill>
          </w14:textFill>
        </w:rPr>
        <w:t>在职人员经费减少了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94.24万元，增加</w:t>
      </w:r>
      <w:r>
        <w:rPr>
          <w:rFonts w:hint="eastAsia" w:ascii="仿宋_GB2312" w:hAnsi="仿宋_GB2312" w:eastAsia="仿宋_GB2312" w:cs="仿宋_GB2312"/>
          <w:color w:val="000000" w:themeColor="text1"/>
          <w:sz w:val="32"/>
          <w:szCs w:val="32"/>
          <w:lang w:eastAsia="zh-CN"/>
          <w14:textFill>
            <w14:solidFill>
              <w14:schemeClr w14:val="tx1"/>
            </w14:solidFill>
          </w14:textFill>
        </w:rPr>
        <w:t>了</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2023年市级文化产业发展引导资金204.63万元：其中《摇滚石家庄》音乐宣传推广季35万元广播连续剧《曙光初照》70万元，《遇见石家庄》节目99.63万元</w:t>
      </w:r>
      <w:r>
        <w:rPr>
          <w:rFonts w:hint="eastAsia" w:ascii="仿宋_GB2312" w:hAnsi="仿宋_GB2312" w:eastAsia="仿宋_GB2312" w:cs="仿宋_GB2312"/>
          <w:kern w:val="2"/>
          <w:sz w:val="32"/>
          <w:szCs w:val="32"/>
          <w:lang w:val="zh-CN"/>
        </w:rPr>
        <w:t>。</w:t>
      </w:r>
    </w:p>
    <w:p>
      <w:pPr>
        <w:autoSpaceDE w:val="0"/>
        <w:autoSpaceDN w:val="0"/>
        <w:adjustRightInd w:val="0"/>
        <w:spacing w:line="580" w:lineRule="exact"/>
        <w:ind w:firstLine="640" w:firstLineChars="200"/>
        <w:jc w:val="left"/>
        <w:rPr>
          <w:rFonts w:hint="eastAsia" w:ascii="仿宋_GB2312" w:hAnsi="仿宋_GB2312" w:eastAsia="仿宋_GB2312" w:cs="仿宋_GB2312"/>
          <w:kern w:val="2"/>
          <w:sz w:val="32"/>
          <w:szCs w:val="32"/>
          <w:lang w:val="zh-CN"/>
        </w:rPr>
      </w:pPr>
      <w:r>
        <w:rPr>
          <w:rFonts w:hint="default" w:ascii="Times New Roman" w:hAnsi="Times New Roman" w:eastAsia="仿宋_GB2312" w:cs="Times New Roman"/>
          <w:kern w:val="2"/>
          <w:sz w:val="32"/>
          <w:szCs w:val="32"/>
          <w:lang w:val="zh-CN"/>
        </w:rPr>
        <w:t xml:space="preserve">2. </w:t>
      </w:r>
      <w:r>
        <w:rPr>
          <w:rFonts w:hint="eastAsia" w:ascii="仿宋_GB2312" w:hAnsi="仿宋_GB2312" w:eastAsia="仿宋_GB2312" w:cs="仿宋_GB2312"/>
          <w:kern w:val="2"/>
          <w:sz w:val="32"/>
          <w:szCs w:val="32"/>
          <w:lang w:val="zh-CN"/>
        </w:rPr>
        <w:t>政府性基金预算财政拨款本年收入136.81万元，完成年初预算的100%，比年初预算</w:t>
      </w:r>
      <w:r>
        <w:rPr>
          <w:rFonts w:hint="eastAsia" w:ascii="仿宋_GB2312" w:hAnsi="仿宋_GB2312" w:eastAsia="仿宋_GB2312" w:cs="仿宋_GB2312"/>
          <w:sz w:val="32"/>
          <w:szCs w:val="32"/>
          <w:highlight w:val="none"/>
          <w:lang w:val="zh-CN"/>
        </w:rPr>
        <w:t>减少0万元</w:t>
      </w:r>
      <w:r>
        <w:rPr>
          <w:rFonts w:hint="eastAsia" w:ascii="仿宋_GB2312" w:hAnsi="仿宋_GB2312" w:eastAsia="仿宋_GB2312" w:cs="仿宋_GB2312"/>
          <w:kern w:val="2"/>
          <w:sz w:val="32"/>
          <w:szCs w:val="32"/>
          <w:lang w:val="zh-CN"/>
        </w:rPr>
        <w:t>，主要原因是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媒体融合基础设施提升改造项目债券付息</w:t>
      </w:r>
      <w:r>
        <w:rPr>
          <w:rFonts w:hint="eastAsia" w:ascii="仿宋_GB2312" w:hAnsi="仿宋_GB2312" w:eastAsia="仿宋_GB2312" w:cs="仿宋_GB2312"/>
          <w:kern w:val="2"/>
          <w:sz w:val="32"/>
          <w:szCs w:val="32"/>
          <w:lang w:val="zh-CN"/>
        </w:rPr>
        <w:t>；本年支出136.81万元，完成年初预算的100%，比年初预算</w:t>
      </w:r>
      <w:r>
        <w:rPr>
          <w:rFonts w:hint="eastAsia" w:ascii="仿宋_GB2312" w:hAnsi="仿宋_GB2312" w:eastAsia="仿宋_GB2312" w:cs="仿宋_GB2312"/>
          <w:sz w:val="32"/>
          <w:szCs w:val="32"/>
          <w:highlight w:val="none"/>
          <w:lang w:val="zh-CN"/>
        </w:rPr>
        <w:t>减少0万元</w:t>
      </w:r>
      <w:r>
        <w:rPr>
          <w:rFonts w:hint="eastAsia" w:ascii="仿宋_GB2312" w:hAnsi="仿宋_GB2312" w:eastAsia="仿宋_GB2312" w:cs="仿宋_GB2312"/>
          <w:kern w:val="2"/>
          <w:sz w:val="32"/>
          <w:szCs w:val="32"/>
          <w:lang w:val="zh-CN"/>
        </w:rPr>
        <w:t>，主要原因是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媒体融合基础设施提升改造项目债券付息</w:t>
      </w:r>
      <w:r>
        <w:rPr>
          <w:rFonts w:hint="eastAsia" w:ascii="仿宋_GB2312" w:hAnsi="仿宋_GB2312" w:eastAsia="仿宋_GB2312" w:cs="仿宋_GB2312"/>
          <w:kern w:val="2"/>
          <w:sz w:val="32"/>
          <w:szCs w:val="32"/>
          <w:lang w:val="zh-CN"/>
        </w:rPr>
        <w:t>。</w:t>
      </w:r>
    </w:p>
    <w:p>
      <w:pPr>
        <w:autoSpaceDE w:val="0"/>
        <w:autoSpaceDN w:val="0"/>
        <w:adjustRightInd w:val="0"/>
        <w:spacing w:line="580" w:lineRule="exact"/>
        <w:ind w:firstLine="640" w:firstLineChars="200"/>
        <w:jc w:val="left"/>
        <w:rPr>
          <w:rFonts w:hint="eastAsia" w:ascii="仿宋_GB2312" w:hAnsi="仿宋_GB2312" w:eastAsia="仿宋_GB2312" w:cs="仿宋_GB2312"/>
          <w:i w:val="0"/>
          <w:iCs w:val="0"/>
          <w:caps w:val="0"/>
          <w:color w:val="000000"/>
          <w:spacing w:val="0"/>
          <w:sz w:val="32"/>
          <w:szCs w:val="32"/>
          <w:highlight w:val="none"/>
          <w:shd w:val="clear" w:fill="FFFFFF"/>
        </w:rPr>
      </w:pPr>
      <w:r>
        <w:rPr>
          <w:rFonts w:hint="eastAsia" w:ascii="仿宋_GB2312" w:hAnsi="仿宋_GB2312" w:eastAsia="仿宋_GB2312" w:cs="仿宋_GB2312"/>
          <w:kern w:val="2"/>
          <w:sz w:val="32"/>
          <w:szCs w:val="32"/>
          <w:lang w:val="zh-CN"/>
        </w:rPr>
        <w:t>3. 国有资本经营预算财政拨款本年收入0万元，完成年初预算的0%，</w:t>
      </w:r>
      <w:r>
        <w:rPr>
          <w:rFonts w:hint="eastAsia" w:ascii="仿宋_GB2312" w:hAnsi="仿宋_GB2312" w:eastAsia="仿宋_GB2312" w:cs="仿宋_GB2312"/>
          <w:sz w:val="32"/>
          <w:szCs w:val="32"/>
          <w:highlight w:val="none"/>
          <w:lang w:val="zh-CN"/>
        </w:rPr>
        <w:t>比年初预算持平</w:t>
      </w:r>
      <w:r>
        <w:rPr>
          <w:rFonts w:hint="eastAsia" w:ascii="仿宋_GB2312" w:hAnsi="仿宋_GB2312" w:eastAsia="仿宋_GB2312" w:cs="仿宋_GB2312"/>
          <w:kern w:val="2"/>
          <w:sz w:val="32"/>
          <w:szCs w:val="32"/>
          <w:lang w:val="zh-CN"/>
        </w:rPr>
        <w:t>，主要原因是我单位</w:t>
      </w:r>
      <w:r>
        <w:rPr>
          <w:rFonts w:hint="eastAsia" w:ascii="仿宋_GB2312" w:hAnsi="仿宋_GB2312" w:eastAsia="仿宋_GB2312" w:cs="仿宋_GB2312"/>
          <w:kern w:val="2"/>
          <w:sz w:val="32"/>
          <w:szCs w:val="32"/>
          <w:lang w:val="en-US" w:eastAsia="zh-CN"/>
        </w:rPr>
        <w:t>年初无此项预算收入</w:t>
      </w:r>
      <w:r>
        <w:rPr>
          <w:rFonts w:hint="eastAsia" w:ascii="仿宋_GB2312" w:hAnsi="仿宋_GB2312" w:eastAsia="仿宋_GB2312" w:cs="仿宋_GB2312"/>
          <w:kern w:val="2"/>
          <w:sz w:val="32"/>
          <w:szCs w:val="32"/>
          <w:lang w:val="zh-CN"/>
        </w:rPr>
        <w:t>；本年支出0万元，完成年初预算的0%，比年初预算</w:t>
      </w:r>
      <w:r>
        <w:rPr>
          <w:rFonts w:hint="eastAsia" w:ascii="仿宋_GB2312" w:hAnsi="仿宋_GB2312" w:eastAsia="仿宋_GB2312" w:cs="仿宋_GB2312"/>
          <w:sz w:val="32"/>
          <w:szCs w:val="32"/>
          <w:highlight w:val="none"/>
          <w:lang w:val="zh-CN"/>
        </w:rPr>
        <w:t>持平</w:t>
      </w:r>
      <w:r>
        <w:rPr>
          <w:rFonts w:hint="eastAsia" w:ascii="仿宋_GB2312" w:hAnsi="仿宋_GB2312" w:eastAsia="仿宋_GB2312" w:cs="仿宋_GB2312"/>
          <w:kern w:val="2"/>
          <w:sz w:val="32"/>
          <w:szCs w:val="32"/>
          <w:lang w:val="zh-CN"/>
        </w:rPr>
        <w:t>，主要原因是我单位</w:t>
      </w:r>
      <w:r>
        <w:rPr>
          <w:rFonts w:hint="eastAsia" w:ascii="仿宋_GB2312" w:hAnsi="仿宋_GB2312" w:eastAsia="仿宋_GB2312" w:cs="仿宋_GB2312"/>
          <w:kern w:val="2"/>
          <w:sz w:val="32"/>
          <w:szCs w:val="32"/>
          <w:lang w:val="en-US" w:eastAsia="zh-CN"/>
        </w:rPr>
        <w:t>2023年无此项预算支出</w:t>
      </w:r>
      <w:r>
        <w:rPr>
          <w:rFonts w:hint="eastAsia" w:ascii="仿宋_GB2312" w:hAnsi="仿宋_GB2312" w:eastAsia="仿宋_GB2312" w:cs="仿宋_GB2312"/>
          <w:kern w:val="2"/>
          <w:sz w:val="32"/>
          <w:szCs w:val="32"/>
          <w:lang w:val="zh-CN"/>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Arial" w:cs="Times New Roman"/>
          <w:highlight w:val="none"/>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仿宋_GB2312" w:cs="Times New Roman"/>
          <w:color w:val="auto"/>
          <w:kern w:val="0"/>
          <w:sz w:val="32"/>
          <w:szCs w:val="32"/>
          <w:highlight w:val="yellow"/>
          <w:lang w:val="en-US" w:eastAsia="zh-CN" w:bidi="ar-SA"/>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仿宋_GB2312" w:cs="Times New Roman"/>
          <w:color w:val="auto"/>
          <w:kern w:val="0"/>
          <w:sz w:val="32"/>
          <w:szCs w:val="32"/>
          <w:highlight w:val="yellow"/>
          <w:lang w:val="en-US" w:eastAsia="zh-CN" w:bidi="ar-SA"/>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仿宋_GB2312" w:cs="Times New Roman"/>
          <w:color w:val="auto"/>
          <w:kern w:val="0"/>
          <w:sz w:val="32"/>
          <w:szCs w:val="32"/>
          <w:highlight w:val="yellow"/>
          <w:lang w:val="en-US" w:eastAsia="zh-CN" w:bidi="ar-SA"/>
        </w:rPr>
      </w:pPr>
      <w:r>
        <w:rPr>
          <w:rFonts w:ascii="Times New Roman" w:hAnsi="Times New Roman" w:eastAsia="仿宋_GB2312"/>
          <w:sz w:val="32"/>
          <w:szCs w:val="32"/>
          <w:highlight w:val="yellow"/>
        </w:rPr>
        <w:drawing>
          <wp:inline distT="0" distB="0" distL="114300" distR="114300">
            <wp:extent cx="5256530" cy="2988310"/>
            <wp:effectExtent l="5080" t="4445" r="15240" b="1714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2"/>
        <w:rPr>
          <w:rFonts w:hint="default" w:ascii="Times New Roman" w:hAnsi="Times New Roman" w:eastAsia="楷体_GB2312" w:cs="Times New Roman"/>
          <w:b/>
          <w:bCs/>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（三）财政拨款支出决算结构情况</w:t>
      </w:r>
    </w:p>
    <w:p>
      <w:pPr>
        <w:keepNext w:val="0"/>
        <w:keepLines w:val="0"/>
        <w:pageBreakBefore w:val="0"/>
        <w:kinsoku/>
        <w:wordWrap/>
        <w:overflowPunct/>
        <w:topLinePunct w:val="0"/>
        <w:autoSpaceDE/>
        <w:autoSpaceDN/>
        <w:bidi w:val="0"/>
        <w:adjustRightInd w:val="0"/>
        <w:snapToGrid w:val="0"/>
        <w:spacing w:line="580" w:lineRule="exact"/>
        <w:ind w:firstLine="660" w:firstLineChars="200"/>
        <w:jc w:val="left"/>
        <w:textAlignment w:val="auto"/>
        <w:rPr>
          <w:rFonts w:hint="eastAsia" w:ascii="仿宋_GB2312" w:hAnsi="仿宋_GB2312" w:eastAsia="仿宋_GB2312" w:cs="仿宋_GB2312"/>
          <w:sz w:val="32"/>
          <w:szCs w:val="32"/>
          <w:highlight w:val="yellow"/>
        </w:rPr>
      </w:pPr>
      <w:r>
        <w:rPr>
          <w:rFonts w:hint="default" w:ascii="Times New Roman" w:hAnsi="Times New Roman" w:eastAsia="仿宋_GB2312" w:cs="Times New Roman"/>
          <w:i w:val="0"/>
          <w:iCs w:val="0"/>
          <w:caps w:val="0"/>
          <w:color w:val="000000"/>
          <w:spacing w:val="0"/>
          <w:sz w:val="33"/>
          <w:szCs w:val="33"/>
          <w:highlight w:val="none"/>
          <w:shd w:val="clear" w:fill="FFFFFF"/>
        </w:rPr>
        <w:t> </w:t>
      </w:r>
      <w:r>
        <w:rPr>
          <w:rFonts w:hint="eastAsia" w:ascii="仿宋_GB2312" w:hAnsi="仿宋_GB2312" w:eastAsia="仿宋_GB2312" w:cs="仿宋_GB2312"/>
          <w:kern w:val="2"/>
          <w:sz w:val="32"/>
          <w:szCs w:val="32"/>
          <w:lang w:val="zh-CN"/>
        </w:rPr>
        <w:t> 202</w:t>
      </w:r>
      <w:r>
        <w:rPr>
          <w:rFonts w:hint="eastAsia" w:ascii="仿宋_GB2312" w:hAnsi="仿宋_GB2312" w:eastAsia="仿宋_GB2312" w:cs="仿宋_GB2312"/>
          <w:kern w:val="2"/>
          <w:sz w:val="32"/>
          <w:szCs w:val="32"/>
          <w:lang w:val="en-US" w:eastAsia="zh-CN"/>
        </w:rPr>
        <w:t>3</w:t>
      </w:r>
      <w:r>
        <w:rPr>
          <w:rFonts w:hint="eastAsia" w:ascii="仿宋_GB2312" w:hAnsi="仿宋_GB2312" w:eastAsia="仿宋_GB2312" w:cs="仿宋_GB2312"/>
          <w:kern w:val="2"/>
          <w:sz w:val="32"/>
          <w:szCs w:val="32"/>
          <w:lang w:val="zh-CN"/>
        </w:rPr>
        <w:t>年度财政拨款支出8,919.4万元，主要用于以下方面：</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960" w:firstLineChars="300"/>
        <w:jc w:val="left"/>
        <w:textAlignment w:val="auto"/>
        <w:rPr>
          <w:rFonts w:hint="eastAsia" w:ascii="仿宋_GB2312" w:hAnsi="仿宋_GB2312" w:eastAsia="仿宋_GB2312" w:cs="仿宋_GB2312"/>
          <w:color w:val="auto"/>
          <w:kern w:val="2"/>
          <w:sz w:val="32"/>
          <w:szCs w:val="32"/>
          <w:lang w:val="zh-CN" w:eastAsia="zh-CN" w:bidi="ar-SA"/>
        </w:rPr>
      </w:pPr>
      <w:r>
        <w:rPr>
          <w:rFonts w:hint="eastAsia" w:ascii="仿宋_GB2312" w:hAnsi="仿宋_GB2312" w:eastAsia="仿宋_GB2312" w:cs="仿宋_GB2312"/>
          <w:color w:val="auto"/>
          <w:kern w:val="2"/>
          <w:sz w:val="32"/>
          <w:szCs w:val="32"/>
          <w:lang w:val="zh-CN" w:eastAsia="zh-CN" w:bidi="ar-SA"/>
        </w:rPr>
        <w:t>一般公共服务（类）支出</w:t>
      </w:r>
      <w:r>
        <w:rPr>
          <w:rFonts w:hint="eastAsia" w:ascii="仿宋_GB2312" w:hAnsi="仿宋_GB2312" w:eastAsia="仿宋_GB2312" w:cs="仿宋_GB2312"/>
          <w:color w:val="auto"/>
          <w:kern w:val="2"/>
          <w:sz w:val="32"/>
          <w:szCs w:val="32"/>
          <w:lang w:val="en-US" w:eastAsia="zh-CN" w:bidi="ar-SA"/>
        </w:rPr>
        <w:t>8919.4</w:t>
      </w:r>
      <w:r>
        <w:rPr>
          <w:rFonts w:hint="eastAsia" w:ascii="仿宋_GB2312" w:hAnsi="仿宋_GB2312" w:eastAsia="仿宋_GB2312" w:cs="仿宋_GB2312"/>
          <w:color w:val="auto"/>
          <w:kern w:val="2"/>
          <w:sz w:val="32"/>
          <w:szCs w:val="32"/>
          <w:lang w:val="zh-CN" w:eastAsia="zh-CN" w:bidi="ar-SA"/>
        </w:rPr>
        <w:t>万元，占</w:t>
      </w:r>
      <w:r>
        <w:rPr>
          <w:rFonts w:hint="eastAsia" w:ascii="仿宋_GB2312" w:hAnsi="仿宋_GB2312" w:eastAsia="仿宋_GB2312" w:cs="仿宋_GB2312"/>
          <w:color w:val="auto"/>
          <w:kern w:val="2"/>
          <w:sz w:val="32"/>
          <w:szCs w:val="32"/>
          <w:lang w:val="en-US" w:eastAsia="zh-CN" w:bidi="ar-SA"/>
        </w:rPr>
        <w:t>10</w:t>
      </w:r>
      <w:r>
        <w:rPr>
          <w:rFonts w:hint="eastAsia" w:ascii="仿宋_GB2312" w:hAnsi="仿宋_GB2312" w:eastAsia="仿宋_GB2312" w:cs="仿宋_GB2312"/>
          <w:color w:val="auto"/>
          <w:kern w:val="2"/>
          <w:sz w:val="32"/>
          <w:szCs w:val="32"/>
          <w:lang w:val="zh-CN" w:eastAsia="zh-CN" w:bidi="ar-SA"/>
        </w:rPr>
        <w:t>0%；</w:t>
      </w:r>
      <w:r>
        <w:rPr>
          <w:rFonts w:hint="eastAsia" w:ascii="仿宋_GB2312" w:hAnsi="仿宋_GB2312" w:eastAsia="仿宋_GB2312" w:cs="仿宋_GB2312"/>
          <w:color w:val="auto"/>
          <w:kern w:val="2"/>
          <w:sz w:val="32"/>
          <w:szCs w:val="32"/>
          <w:lang w:val="en-US" w:eastAsia="zh-CN" w:bidi="ar-SA"/>
        </w:rPr>
        <w:t>外交</w:t>
      </w:r>
      <w:r>
        <w:rPr>
          <w:rFonts w:hint="eastAsia" w:ascii="仿宋_GB2312" w:hAnsi="仿宋_GB2312" w:eastAsia="仿宋_GB2312" w:cs="仿宋_GB2312"/>
          <w:color w:val="auto"/>
          <w:kern w:val="2"/>
          <w:sz w:val="32"/>
          <w:szCs w:val="32"/>
          <w:lang w:val="zh-CN" w:eastAsia="zh-CN" w:bidi="ar-SA"/>
        </w:rPr>
        <w:t>（类）支出0万元，占0%；国防（类）支出0万元，占0%；公共安全类（类）支出0万元，占0%；教育（类）支出0万元，占0%；科学技术（类）支出0万元，占0%；文化旅游体育与传媒（类）支出8,782.59万元，占98.47%；社会保障和就业 （类）支出0万元，占0%；卫生健康（类）支出0万元，占0%；节能环保（类）支出0万元，占0%；城乡社区（类）支出0万元，占0%；农林水（类）支出0万元，占0%；交通运输（类）支出0万元，占0%；资源勘探信息等（类）支出0万元，占0%；商业服务业等（类）支出0万元，占0%；金融（类）支出0万元，占0%；援助其他地区（类）支出0万元，占0%；自然资源海洋气象等（类）支出0万元，占0%；住房保障（类）支出0万元，占0%；粮油物资储备（类）支出0万元，占0%；国有资本经营预算支出0万元，占0%；害防治及应急管理（类）支出0万元，占0%；其他（类）支出0万元，占0%；债务</w:t>
      </w:r>
      <w:r>
        <w:rPr>
          <w:rFonts w:hint="eastAsia" w:ascii="仿宋_GB2312" w:hAnsi="仿宋_GB2312" w:eastAsia="仿宋_GB2312" w:cs="仿宋_GB2312"/>
          <w:color w:val="auto"/>
          <w:kern w:val="2"/>
          <w:sz w:val="32"/>
          <w:szCs w:val="32"/>
          <w:lang w:val="en-US" w:eastAsia="zh-CN" w:bidi="ar-SA"/>
        </w:rPr>
        <w:t>还本</w:t>
      </w:r>
      <w:r>
        <w:rPr>
          <w:rFonts w:hint="eastAsia" w:ascii="仿宋_GB2312" w:hAnsi="仿宋_GB2312" w:eastAsia="仿宋_GB2312" w:cs="仿宋_GB2312"/>
          <w:color w:val="auto"/>
          <w:kern w:val="2"/>
          <w:sz w:val="32"/>
          <w:szCs w:val="32"/>
          <w:lang w:val="zh-CN" w:eastAsia="zh-CN" w:bidi="ar-SA"/>
        </w:rPr>
        <w:t>（类）支出0万元，占0%；债务付息（类）支出136.81万元，占1.53%；抗疫特别国债安排的支出0万元，占0%。</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jc w:val="left"/>
        <w:textAlignment w:val="auto"/>
        <w:rPr>
          <w:rFonts w:hint="default" w:ascii="Times New Roman" w:hAnsi="Times New Roman" w:eastAsia="仿宋_GB2312" w:cs="Times New Roman"/>
          <w:color w:val="auto"/>
          <w:kern w:val="2"/>
          <w:sz w:val="32"/>
          <w:szCs w:val="32"/>
          <w:lang w:val="zh-CN" w:eastAsia="zh-CN" w:bidi="ar-SA"/>
        </w:rPr>
      </w:pPr>
      <w:r>
        <w:rPr>
          <w:rFonts w:ascii="Times New Roman" w:hAnsi="Times New Roman" w:eastAsia="仿宋_GB2312"/>
          <w:kern w:val="2"/>
          <w:sz w:val="32"/>
          <w:szCs w:val="32"/>
          <w:lang w:val="zh-CN"/>
        </w:rPr>
        <w:drawing>
          <wp:inline distT="0" distB="0" distL="114300" distR="114300">
            <wp:extent cx="5256530" cy="2988310"/>
            <wp:effectExtent l="5080" t="4445" r="11430" b="952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pPr>
        <w:pStyle w:val="1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outlineLvl w:val="2"/>
        <w:rPr>
          <w:rFonts w:hint="default" w:ascii="Times New Roman" w:hAnsi="Times New Roman" w:eastAsia="楷体_GB2312" w:cs="Times New Roman"/>
          <w:b/>
          <w:bCs/>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一般公共预算基本支出决算情况说明</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0" w:firstLineChars="200"/>
        <w:jc w:val="left"/>
        <w:textAlignment w:val="auto"/>
        <w:rPr>
          <w:rFonts w:hint="eastAsia" w:ascii="仿宋_GB2312" w:hAnsi="仿宋_GB2312" w:eastAsia="仿宋_GB2312" w:cs="仿宋_GB2312"/>
          <w:color w:val="auto"/>
          <w:kern w:val="2"/>
          <w:sz w:val="32"/>
          <w:szCs w:val="32"/>
          <w:lang w:val="zh-CN" w:eastAsia="zh-CN" w:bidi="ar-SA"/>
        </w:rPr>
      </w:pPr>
      <w:r>
        <w:rPr>
          <w:rFonts w:hint="eastAsia" w:ascii="仿宋_GB2312" w:hAnsi="仿宋_GB2312" w:eastAsia="仿宋_GB2312" w:cs="仿宋_GB2312"/>
          <w:color w:val="auto"/>
          <w:kern w:val="2"/>
          <w:sz w:val="32"/>
          <w:szCs w:val="32"/>
          <w:lang w:val="zh-CN" w:eastAsia="zh-CN" w:bidi="ar-SA"/>
        </w:rPr>
        <w:t>202</w:t>
      </w: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zh-CN" w:eastAsia="zh-CN" w:bidi="ar-SA"/>
        </w:rPr>
        <w:t>年度财政拨款基本支出5,214.76万元，公用经费</w:t>
      </w:r>
      <w:r>
        <w:rPr>
          <w:rFonts w:hint="eastAsia" w:ascii="仿宋_GB2312" w:hAnsi="仿宋_GB2312" w:eastAsia="仿宋_GB2312" w:cs="仿宋_GB2312"/>
          <w:color w:val="auto"/>
          <w:kern w:val="2"/>
          <w:sz w:val="32"/>
          <w:szCs w:val="32"/>
          <w:lang w:val="en-US" w:eastAsia="zh-CN" w:bidi="ar-SA"/>
        </w:rPr>
        <w:t>0万元。</w:t>
      </w:r>
      <w:r>
        <w:rPr>
          <w:rFonts w:hint="eastAsia" w:ascii="仿宋_GB2312" w:hAnsi="仿宋_GB2312" w:eastAsia="仿宋_GB2312" w:cs="仿宋_GB2312"/>
          <w:color w:val="auto"/>
          <w:kern w:val="2"/>
          <w:sz w:val="32"/>
          <w:szCs w:val="32"/>
          <w:lang w:val="zh-CN" w:eastAsia="zh-CN" w:bidi="ar-SA"/>
        </w:rPr>
        <w:t>其中：</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zh-CN" w:eastAsia="zh-CN" w:bidi="ar-SA"/>
        </w:rPr>
        <w:t>人员经费5,214.76万元，主要包括基本工资、津贴补贴、奖金、伙食补助费、绩效工资、机关事业部门基本养老保险缴费、职业年金缴费、职工基本医疗保险缴费、公务员医疗补助缴费、住房公积金、医疗费、其他社会保障缴费、其他工资福利支出、离休费、 退休费、 抚恤金、生活补助、其他对</w:t>
      </w:r>
      <w:r>
        <w:rPr>
          <w:rFonts w:hint="eastAsia" w:ascii="仿宋_GB2312" w:hAnsi="仿宋_GB2312" w:eastAsia="仿宋_GB2312" w:cs="仿宋_GB2312"/>
          <w:i w:val="0"/>
          <w:iCs w:val="0"/>
          <w:caps w:val="0"/>
          <w:color w:val="333333"/>
          <w:spacing w:val="0"/>
          <w:sz w:val="32"/>
          <w:szCs w:val="32"/>
          <w:highlight w:val="none"/>
          <w:shd w:val="clear" w:fill="FFFFFF"/>
        </w:rPr>
        <w:t>个人和家庭</w:t>
      </w:r>
      <w:r>
        <w:rPr>
          <w:rFonts w:hint="eastAsia" w:ascii="仿宋_GB2312" w:hAnsi="仿宋_GB2312" w:eastAsia="仿宋_GB2312" w:cs="仿宋_GB2312"/>
          <w:color w:val="auto"/>
          <w:kern w:val="2"/>
          <w:sz w:val="32"/>
          <w:szCs w:val="32"/>
          <w:lang w:val="zh-CN" w:eastAsia="zh-CN" w:bidi="ar-SA"/>
        </w:rPr>
        <w:t>的补助支出。</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黑体" w:cs="Times New Roman"/>
          <w:kern w:val="2"/>
          <w:sz w:val="32"/>
          <w:szCs w:val="32"/>
          <w:lang w:val="en-US" w:eastAsia="zh-CN" w:bidi="ar-SA"/>
        </w:rPr>
      </w:pPr>
      <w:r>
        <w:rPr>
          <w:rFonts w:hint="default" w:ascii="Times New Roman" w:hAnsi="Times New Roman" w:eastAsia="仿宋_GB2312" w:cs="Times New Roman"/>
          <w:i w:val="0"/>
          <w:iCs w:val="0"/>
          <w:caps w:val="0"/>
          <w:color w:val="333333"/>
          <w:spacing w:val="0"/>
          <w:sz w:val="33"/>
          <w:szCs w:val="33"/>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lang w:val="en-US" w:eastAsia="zh-CN"/>
        </w:rPr>
        <w:t xml:space="preserve">   </w:t>
      </w:r>
      <w:r>
        <w:rPr>
          <w:rFonts w:hint="default" w:ascii="Times New Roman" w:hAnsi="Times New Roman" w:eastAsia="黑体" w:cs="Times New Roman"/>
          <w:kern w:val="2"/>
          <w:sz w:val="32"/>
          <w:szCs w:val="32"/>
          <w:lang w:val="en-US" w:eastAsia="zh-CN" w:bidi="ar-SA"/>
        </w:rPr>
        <w:t>五、财政拨款“三公” 经费支出决算情况说明</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321" w:firstLineChars="100"/>
        <w:jc w:val="both"/>
        <w:outlineLvl w:val="2"/>
        <w:rPr>
          <w:rFonts w:hint="default" w:ascii="Times New Roman" w:hAnsi="Times New Roman" w:eastAsia="楷体_GB2312" w:cs="Times New Roman"/>
          <w:b/>
          <w:bCs/>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（一）“三公”经费财政拨款支出决算总体情况说明</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left"/>
        <w:textAlignment w:val="auto"/>
        <w:rPr>
          <w:rFonts w:hint="eastAsia" w:ascii="仿宋_GB2312" w:hAnsi="仿宋_GB2312" w:eastAsia="仿宋_GB2312" w:cs="仿宋_GB2312"/>
          <w:color w:val="auto"/>
          <w:kern w:val="2"/>
          <w:sz w:val="32"/>
          <w:szCs w:val="32"/>
          <w:lang w:val="zh-CN" w:eastAsia="zh-CN" w:bidi="ar-SA"/>
        </w:rPr>
      </w:pPr>
      <w:r>
        <w:rPr>
          <w:rFonts w:hint="default" w:ascii="Times New Roman" w:hAnsi="Times New Roman" w:eastAsia="仿宋_GB2312" w:cs="Times New Roman"/>
          <w:i w:val="0"/>
          <w:iCs w:val="0"/>
          <w:caps w:val="0"/>
          <w:color w:val="333333"/>
          <w:spacing w:val="0"/>
          <w:sz w:val="33"/>
          <w:szCs w:val="33"/>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lang w:eastAsia="zh-CN"/>
        </w:rPr>
        <w:t xml:space="preserve"> </w:t>
      </w:r>
      <w:r>
        <w:rPr>
          <w:rFonts w:hint="default" w:ascii="Times New Roman" w:hAnsi="Times New Roman" w:eastAsia="仿宋_GB2312" w:cs="Times New Roman"/>
          <w:color w:val="auto"/>
          <w:kern w:val="2"/>
          <w:sz w:val="32"/>
          <w:szCs w:val="32"/>
          <w:lang w:val="en-US" w:eastAsia="zh-CN" w:bidi="ar-SA"/>
        </w:rPr>
        <w:t xml:space="preserve"> </w:t>
      </w:r>
      <w:r>
        <w:rPr>
          <w:rFonts w:hint="eastAsia" w:ascii="仿宋_GB2312" w:hAnsi="仿宋_GB2312" w:eastAsia="仿宋_GB2312" w:cs="仿宋_GB2312"/>
          <w:color w:val="auto"/>
          <w:kern w:val="2"/>
          <w:sz w:val="32"/>
          <w:szCs w:val="32"/>
          <w:lang w:val="zh-CN" w:eastAsia="zh-CN" w:bidi="ar-SA"/>
        </w:rPr>
        <w:t>本单位202</w:t>
      </w: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zh-CN" w:eastAsia="zh-CN" w:bidi="ar-SA"/>
        </w:rPr>
        <w:t>年度“三公”经费财政拨款支出预算为0万元，支出决算为0万元，完成预算的0%，较预算持平，主要是未发生“三公”经费；较2022年度决算持平</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color w:val="auto"/>
          <w:kern w:val="2"/>
          <w:sz w:val="32"/>
          <w:szCs w:val="32"/>
          <w:lang w:val="zh-CN" w:eastAsia="zh-CN" w:bidi="ar-SA"/>
        </w:rPr>
        <w:t>主要是未发生“三公”经费。</w:t>
      </w:r>
    </w:p>
    <w:p>
      <w:pPr>
        <w:adjustRightInd w:val="0"/>
        <w:snapToGrid w:val="0"/>
        <w:spacing w:line="580" w:lineRule="exact"/>
        <w:rPr>
          <w:rFonts w:hint="default" w:ascii="Times New Roman" w:hAnsi="Times New Roman" w:eastAsia="楷体_GB2312" w:cs="Times New Roman"/>
          <w:b/>
          <w:bCs/>
          <w:kern w:val="2"/>
          <w:sz w:val="32"/>
          <w:szCs w:val="32"/>
        </w:rPr>
      </w:pPr>
      <w:r>
        <w:rPr>
          <w:rFonts w:hint="default" w:ascii="Times New Roman" w:hAnsi="Times New Roman" w:eastAsia="楷体_GB2312" w:cs="Times New Roman"/>
          <w:b/>
          <w:bCs/>
          <w:kern w:val="2"/>
          <w:sz w:val="32"/>
          <w:szCs w:val="32"/>
        </w:rPr>
        <w:t>（二）“三公”经费财政拨款支出决算具体情况说明</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left"/>
        <w:rPr>
          <w:rFonts w:hint="eastAsia" w:ascii="仿宋_GB2312" w:hAnsi="仿宋_GB2312" w:eastAsia="仿宋_GB2312" w:cs="仿宋_GB2312"/>
          <w:color w:val="auto"/>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1.因公出国（境）费支出情况。</w:t>
      </w:r>
      <w:r>
        <w:rPr>
          <w:rFonts w:hint="eastAsia" w:ascii="仿宋_GB2312" w:hAnsi="仿宋_GB2312" w:eastAsia="仿宋_GB2312" w:cs="仿宋_GB2312"/>
          <w:color w:val="auto"/>
          <w:kern w:val="2"/>
          <w:sz w:val="32"/>
          <w:szCs w:val="32"/>
          <w:lang w:val="zh-CN" w:eastAsia="zh-CN" w:bidi="ar-SA"/>
        </w:rPr>
        <w:t>本单位</w:t>
      </w:r>
      <w:r>
        <w:rPr>
          <w:rFonts w:hint="eastAsia" w:ascii="仿宋_GB2312" w:hAnsi="仿宋_GB2312" w:eastAsia="仿宋_GB2312" w:cs="仿宋_GB2312"/>
          <w:color w:val="auto"/>
          <w:kern w:val="2"/>
          <w:sz w:val="32"/>
          <w:szCs w:val="32"/>
          <w:lang w:val="en-US" w:eastAsia="zh-CN" w:bidi="ar-SA"/>
        </w:rPr>
        <w:t>2023年度因公出国（境）费支出预算为0万元,支出决算0万元。完成预算的0%。因公出国（境）费支出较预算</w:t>
      </w:r>
      <w:r>
        <w:rPr>
          <w:rFonts w:hint="eastAsia" w:ascii="仿宋_GB2312" w:hAnsi="仿宋_GB2312" w:eastAsia="仿宋_GB2312" w:cs="仿宋_GB2312"/>
          <w:color w:val="auto"/>
          <w:kern w:val="2"/>
          <w:sz w:val="32"/>
          <w:szCs w:val="32"/>
          <w:lang w:val="zh-CN" w:eastAsia="zh-CN" w:bidi="ar-SA"/>
        </w:rPr>
        <w:t>持平</w:t>
      </w:r>
      <w:r>
        <w:rPr>
          <w:rFonts w:hint="eastAsia" w:ascii="仿宋_GB2312" w:hAnsi="仿宋_GB2312" w:eastAsia="仿宋_GB2312" w:cs="仿宋_GB2312"/>
          <w:color w:val="auto"/>
          <w:kern w:val="2"/>
          <w:sz w:val="32"/>
          <w:szCs w:val="32"/>
          <w:lang w:val="en-US" w:eastAsia="zh-CN" w:bidi="ar-SA"/>
        </w:rPr>
        <w:t>，主要是未发生“因公出国（境）”经费支出；较上年</w:t>
      </w:r>
      <w:r>
        <w:rPr>
          <w:rFonts w:hint="eastAsia" w:ascii="仿宋_GB2312" w:hAnsi="仿宋_GB2312" w:eastAsia="仿宋_GB2312" w:cs="仿宋_GB2312"/>
          <w:color w:val="auto"/>
          <w:kern w:val="2"/>
          <w:sz w:val="32"/>
          <w:szCs w:val="32"/>
          <w:lang w:val="zh-CN" w:eastAsia="zh-CN" w:bidi="ar-SA"/>
        </w:rPr>
        <w:t>持平</w:t>
      </w:r>
      <w:r>
        <w:rPr>
          <w:rFonts w:hint="eastAsia" w:ascii="仿宋_GB2312" w:hAnsi="仿宋_GB2312" w:eastAsia="仿宋_GB2312" w:cs="仿宋_GB2312"/>
          <w:color w:val="auto"/>
          <w:kern w:val="2"/>
          <w:sz w:val="32"/>
          <w:szCs w:val="32"/>
          <w:lang w:val="en-US" w:eastAsia="zh-CN" w:bidi="ar-SA"/>
        </w:rPr>
        <w:t>，主要是本年度与上年度均无人员因公出国（境）。</w:t>
      </w:r>
    </w:p>
    <w:p>
      <w:pPr>
        <w:keepNext w:val="0"/>
        <w:keepLines w:val="0"/>
        <w:pageBreakBefore w:val="0"/>
        <w:kinsoku/>
        <w:wordWrap/>
        <w:overflowPunct/>
        <w:topLinePunct w:val="0"/>
        <w:autoSpaceDE/>
        <w:autoSpaceDN/>
        <w:bidi w:val="0"/>
        <w:adjustRightInd w:val="0"/>
        <w:snapToGrid w:val="0"/>
        <w:spacing w:line="580" w:lineRule="exact"/>
        <w:ind w:firstLine="643" w:firstLineChars="200"/>
        <w:jc w:val="left"/>
        <w:textAlignment w:val="auto"/>
        <w:rPr>
          <w:rFonts w:hint="default" w:ascii="Times New Roman" w:hAnsi="Times New Roman" w:eastAsia="Arial" w:cs="Times New Roman"/>
          <w:highlight w:val="none"/>
        </w:rPr>
      </w:pPr>
      <w:r>
        <w:rPr>
          <w:rFonts w:hint="default" w:ascii="Times New Roman" w:hAnsi="Times New Roman" w:eastAsia="楷体_GB2312" w:cs="Times New Roman"/>
          <w:b/>
          <w:bCs/>
          <w:kern w:val="2"/>
          <w:sz w:val="32"/>
          <w:szCs w:val="32"/>
          <w:lang w:val="en-US" w:eastAsia="zh-CN" w:bidi="ar-SA"/>
        </w:rPr>
        <w:t>2.</w:t>
      </w:r>
      <w:r>
        <w:rPr>
          <w:rFonts w:hint="default" w:ascii="Times New Roman" w:hAnsi="Times New Roman" w:eastAsia="楷体_GB2312" w:cs="Times New Roman"/>
          <w:b/>
          <w:bCs/>
          <w:sz w:val="32"/>
          <w:szCs w:val="32"/>
        </w:rPr>
        <w:t>公务用车购置及运行维护费支出情况。</w:t>
      </w:r>
      <w:r>
        <w:rPr>
          <w:rFonts w:hint="eastAsia" w:ascii="仿宋_GB2312" w:hAnsi="仿宋_GB2312" w:eastAsia="仿宋_GB2312" w:cs="仿宋_GB2312"/>
          <w:color w:val="auto"/>
          <w:kern w:val="2"/>
          <w:sz w:val="32"/>
          <w:szCs w:val="32"/>
          <w:lang w:val="zh-CN" w:eastAsia="zh-CN" w:bidi="ar-SA"/>
        </w:rPr>
        <w:t>本单位202</w:t>
      </w: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zh-CN" w:eastAsia="zh-CN" w:bidi="ar-SA"/>
        </w:rPr>
        <w:t>年度公务用车购置及运行维护费预算为0万元，支出决算 0万元，完成预算的0%,较预算持平，主要是</w:t>
      </w:r>
      <w:r>
        <w:rPr>
          <w:rFonts w:hint="eastAsia" w:ascii="仿宋_GB2312" w:hAnsi="仿宋_GB2312" w:eastAsia="仿宋_GB2312" w:cs="仿宋_GB2312"/>
          <w:sz w:val="32"/>
          <w:szCs w:val="32"/>
          <w:lang w:eastAsia="zh-CN"/>
        </w:rPr>
        <w:t>未发生“公务用车购置及运行维护费”经费支出</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kern w:val="2"/>
          <w:sz w:val="32"/>
          <w:szCs w:val="32"/>
          <w:lang w:val="zh-CN" w:eastAsia="zh-CN" w:bidi="ar-SA"/>
        </w:rPr>
        <w:t>；较上年持平，主要是</w:t>
      </w:r>
      <w:r>
        <w:rPr>
          <w:rFonts w:hint="eastAsia" w:ascii="仿宋_GB2312" w:hAnsi="仿宋_GB2312" w:eastAsia="仿宋_GB2312" w:cs="仿宋_GB2312"/>
          <w:sz w:val="32"/>
          <w:szCs w:val="32"/>
          <w:lang w:eastAsia="zh-CN"/>
        </w:rPr>
        <w:t>未发生公务用车购置及运行维护费支出</w:t>
      </w:r>
      <w:r>
        <w:rPr>
          <w:rFonts w:hint="eastAsia" w:ascii="仿宋_GB2312" w:hAnsi="仿宋_GB2312" w:eastAsia="仿宋_GB2312" w:cs="仿宋_GB2312"/>
          <w:color w:val="auto"/>
          <w:kern w:val="2"/>
          <w:sz w:val="32"/>
          <w:szCs w:val="32"/>
          <w:lang w:val="zh-CN" w:eastAsia="zh-CN" w:bidi="ar-SA"/>
        </w:rPr>
        <w:t>。其中：</w:t>
      </w:r>
    </w:p>
    <w:p>
      <w:pPr>
        <w:adjustRightInd w:val="0"/>
        <w:snapToGrid w:val="0"/>
        <w:spacing w:line="580" w:lineRule="exact"/>
        <w:ind w:firstLine="643" w:firstLineChars="200"/>
        <w:rPr>
          <w:rFonts w:hint="default" w:ascii="Times New Roman" w:hAnsi="Times New Roman" w:eastAsia="仿宋_GB2312" w:cs="Times New Roman"/>
          <w:color w:val="auto"/>
          <w:kern w:val="2"/>
          <w:sz w:val="32"/>
          <w:szCs w:val="32"/>
          <w:lang w:val="zh-CN" w:eastAsia="zh-CN" w:bidi="ar-SA"/>
        </w:rPr>
      </w:pPr>
      <w:r>
        <w:rPr>
          <w:rFonts w:hint="default" w:ascii="Times New Roman" w:hAnsi="Times New Roman" w:eastAsia="仿宋_GB2312" w:cs="Times New Roman"/>
          <w:b/>
          <w:sz w:val="32"/>
          <w:szCs w:val="32"/>
        </w:rPr>
        <w:t>公务用车购置费支出</w:t>
      </w:r>
      <w:r>
        <w:rPr>
          <w:rFonts w:hint="eastAsia" w:ascii="Times New Roman" w:hAnsi="Times New Roman" w:eastAsia="楷体_GB2312" w:cs="Times New Roman"/>
          <w:b/>
          <w:bCs/>
          <w:sz w:val="32"/>
          <w:szCs w:val="32"/>
          <w:lang w:val="en-US" w:eastAsia="zh-CN"/>
        </w:rPr>
        <w:t>0</w:t>
      </w:r>
      <w:r>
        <w:rPr>
          <w:rFonts w:hint="default" w:ascii="Times New Roman" w:hAnsi="Times New Roman" w:eastAsia="楷体_GB2312" w:cs="Times New Roman"/>
          <w:b/>
          <w:bCs/>
          <w:sz w:val="32"/>
          <w:szCs w:val="32"/>
        </w:rPr>
        <w:t>万元</w:t>
      </w:r>
      <w:r>
        <w:rPr>
          <w:rFonts w:hint="default" w:ascii="Times New Roman" w:hAnsi="Times New Roman" w:eastAsia="仿宋_GB2312" w:cs="Times New Roman"/>
          <w:b/>
          <w:sz w:val="32"/>
          <w:szCs w:val="32"/>
        </w:rPr>
        <w:t>：</w:t>
      </w:r>
      <w:r>
        <w:rPr>
          <w:rFonts w:hint="eastAsia" w:ascii="仿宋_GB2312" w:hAnsi="仿宋_GB2312" w:eastAsia="仿宋_GB2312" w:cs="仿宋_GB2312"/>
          <w:color w:val="auto"/>
          <w:kern w:val="2"/>
          <w:sz w:val="32"/>
          <w:szCs w:val="32"/>
          <w:lang w:val="zh-CN" w:eastAsia="zh-CN" w:bidi="ar-SA"/>
        </w:rPr>
        <w:t>本单位202</w:t>
      </w: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zh-CN" w:eastAsia="zh-CN" w:bidi="ar-SA"/>
        </w:rPr>
        <w:t>年度公务用车购置量0辆，发生“公务用车购置”经费支出 0万元。公务用车购置费支出较预算持平，主要是</w:t>
      </w:r>
      <w:r>
        <w:rPr>
          <w:rFonts w:hint="eastAsia" w:ascii="仿宋_GB2312" w:hAnsi="仿宋_GB2312" w:eastAsia="仿宋_GB2312" w:cs="仿宋_GB2312"/>
          <w:b w:val="0"/>
          <w:bCs/>
          <w:sz w:val="32"/>
          <w:szCs w:val="32"/>
        </w:rPr>
        <w:t>本</w:t>
      </w:r>
      <w:r>
        <w:rPr>
          <w:rFonts w:hint="eastAsia" w:ascii="仿宋_GB2312" w:hAnsi="仿宋_GB2312" w:eastAsia="仿宋_GB2312" w:cs="仿宋_GB2312"/>
          <w:b w:val="0"/>
          <w:bCs/>
          <w:sz w:val="32"/>
          <w:szCs w:val="32"/>
          <w:lang w:eastAsia="zh-CN"/>
        </w:rPr>
        <w:t>年度无此项预算并未发生“</w:t>
      </w:r>
      <w:r>
        <w:rPr>
          <w:rFonts w:hint="eastAsia" w:ascii="仿宋_GB2312" w:hAnsi="仿宋_GB2312" w:eastAsia="仿宋_GB2312" w:cs="仿宋_GB2312"/>
          <w:b w:val="0"/>
          <w:bCs/>
          <w:sz w:val="32"/>
          <w:szCs w:val="32"/>
        </w:rPr>
        <w:t>公务用车购</w:t>
      </w:r>
      <w:r>
        <w:rPr>
          <w:rFonts w:hint="eastAsia" w:ascii="仿宋_GB2312" w:hAnsi="仿宋_GB2312" w:eastAsia="仿宋_GB2312" w:cs="仿宋_GB2312"/>
          <w:b w:val="0"/>
          <w:bCs/>
          <w:sz w:val="32"/>
          <w:szCs w:val="32"/>
          <w:lang w:eastAsia="zh-CN"/>
        </w:rPr>
        <w:t>置”经费支出</w:t>
      </w:r>
      <w:r>
        <w:rPr>
          <w:rFonts w:hint="eastAsia" w:ascii="仿宋_GB2312" w:hAnsi="仿宋_GB2312" w:eastAsia="仿宋_GB2312" w:cs="仿宋_GB2312"/>
          <w:color w:val="auto"/>
          <w:kern w:val="2"/>
          <w:sz w:val="32"/>
          <w:szCs w:val="32"/>
          <w:lang w:val="zh-CN" w:eastAsia="zh-CN" w:bidi="ar-SA"/>
        </w:rPr>
        <w:t>；较上年持平，主要是</w:t>
      </w:r>
      <w:r>
        <w:rPr>
          <w:rFonts w:hint="eastAsia" w:ascii="仿宋_GB2312" w:hAnsi="仿宋_GB2312" w:eastAsia="仿宋_GB2312" w:cs="仿宋_GB2312"/>
          <w:color w:val="auto"/>
          <w:kern w:val="2"/>
          <w:sz w:val="32"/>
          <w:szCs w:val="32"/>
          <w:lang w:val="en-US" w:eastAsia="zh-CN" w:bidi="ar-SA"/>
        </w:rPr>
        <w:t>2022</w:t>
      </w:r>
      <w:r>
        <w:rPr>
          <w:rFonts w:hint="eastAsia" w:ascii="仿宋_GB2312" w:hAnsi="仿宋_GB2312" w:eastAsia="仿宋_GB2312" w:cs="仿宋_GB2312"/>
          <w:b w:val="0"/>
          <w:bCs/>
          <w:sz w:val="32"/>
          <w:szCs w:val="32"/>
          <w:lang w:eastAsia="zh-CN"/>
        </w:rPr>
        <w:t>年度与</w:t>
      </w:r>
      <w:r>
        <w:rPr>
          <w:rFonts w:hint="eastAsia" w:ascii="仿宋_GB2312" w:hAnsi="仿宋_GB2312" w:eastAsia="仿宋_GB2312" w:cs="仿宋_GB2312"/>
          <w:b w:val="0"/>
          <w:bCs/>
          <w:sz w:val="32"/>
          <w:szCs w:val="32"/>
          <w:lang w:val="en-US" w:eastAsia="zh-CN"/>
        </w:rPr>
        <w:t>2023年度</w:t>
      </w:r>
      <w:r>
        <w:rPr>
          <w:rFonts w:hint="eastAsia" w:ascii="仿宋_GB2312" w:hAnsi="仿宋_GB2312" w:eastAsia="仿宋_GB2312" w:cs="仿宋_GB2312"/>
          <w:b w:val="0"/>
          <w:bCs/>
          <w:sz w:val="32"/>
          <w:szCs w:val="32"/>
        </w:rPr>
        <w:t>均无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公务用车购</w:t>
      </w:r>
      <w:r>
        <w:rPr>
          <w:rFonts w:hint="eastAsia" w:ascii="仿宋_GB2312" w:hAnsi="仿宋_GB2312" w:eastAsia="仿宋_GB2312" w:cs="仿宋_GB2312"/>
          <w:b w:val="0"/>
          <w:bCs/>
          <w:sz w:val="32"/>
          <w:szCs w:val="32"/>
          <w:lang w:eastAsia="zh-CN"/>
        </w:rPr>
        <w:t>置”经费支出</w:t>
      </w:r>
      <w:r>
        <w:rPr>
          <w:rFonts w:hint="default" w:ascii="Times New Roman" w:hAnsi="Times New Roman" w:eastAsia="仿宋_GB2312" w:cs="Times New Roman"/>
          <w:color w:val="auto"/>
          <w:kern w:val="2"/>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left"/>
        <w:textAlignment w:val="auto"/>
        <w:rPr>
          <w:rFonts w:hint="default" w:ascii="Times New Roman" w:hAnsi="Times New Roman" w:eastAsia="仿宋_GB2312" w:cs="Times New Roman"/>
          <w:color w:val="auto"/>
          <w:kern w:val="2"/>
          <w:sz w:val="32"/>
          <w:szCs w:val="32"/>
          <w:lang w:val="zh-CN" w:eastAsia="zh-CN" w:bidi="ar-SA"/>
        </w:rPr>
      </w:pPr>
      <w:r>
        <w:rPr>
          <w:rFonts w:hint="default" w:ascii="Times New Roman" w:hAnsi="Times New Roman" w:eastAsia="仿宋_GB2312" w:cs="Times New Roman"/>
          <w:b/>
          <w:sz w:val="32"/>
          <w:szCs w:val="32"/>
        </w:rPr>
        <w:t>公务用车运行维护费支出</w:t>
      </w:r>
      <w:r>
        <w:rPr>
          <w:rFonts w:hint="eastAsia" w:ascii="Times New Roman" w:hAnsi="Times New Roman" w:eastAsia="仿宋_GB2312" w:cs="Times New Roman"/>
          <w:b/>
          <w:sz w:val="32"/>
          <w:szCs w:val="32"/>
          <w:lang w:val="en-US" w:eastAsia="zh-CN"/>
        </w:rPr>
        <w:t>0</w:t>
      </w:r>
      <w:r>
        <w:rPr>
          <w:rFonts w:hint="default" w:ascii="Times New Roman" w:hAnsi="Times New Roman" w:eastAsia="楷体_GB2312" w:cs="Times New Roman"/>
          <w:b/>
          <w:bCs/>
          <w:sz w:val="32"/>
          <w:szCs w:val="32"/>
        </w:rPr>
        <w:t>万元</w:t>
      </w:r>
      <w:r>
        <w:rPr>
          <w:rFonts w:hint="default" w:ascii="Times New Roman" w:hAnsi="Times New Roman" w:eastAsia="仿宋_GB2312" w:cs="Times New Roman"/>
          <w:b/>
          <w:sz w:val="32"/>
          <w:szCs w:val="32"/>
        </w:rPr>
        <w:t>：</w:t>
      </w:r>
      <w:r>
        <w:rPr>
          <w:rFonts w:hint="eastAsia" w:ascii="仿宋_GB2312" w:hAnsi="仿宋_GB2312" w:eastAsia="仿宋_GB2312" w:cs="仿宋_GB2312"/>
          <w:color w:val="auto"/>
          <w:kern w:val="2"/>
          <w:sz w:val="32"/>
          <w:szCs w:val="32"/>
          <w:lang w:val="zh-CN" w:eastAsia="zh-CN" w:bidi="ar-SA"/>
        </w:rPr>
        <w:t>本单位202</w:t>
      </w: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zh-CN" w:eastAsia="zh-CN" w:bidi="ar-SA"/>
        </w:rPr>
        <w:t>年度单位公务用车保有量0辆，发生运行维护费支出0万元。公车运行维护费支出较预算持平，主要是本年度无此项预算并未发生“公务用车运行维护”经费支出；较上年持平，主要是</w:t>
      </w:r>
      <w:r>
        <w:rPr>
          <w:rFonts w:hint="eastAsia" w:ascii="仿宋_GB2312" w:hAnsi="仿宋_GB2312" w:eastAsia="仿宋_GB2312" w:cs="仿宋_GB2312"/>
          <w:color w:val="auto"/>
          <w:kern w:val="2"/>
          <w:sz w:val="32"/>
          <w:szCs w:val="32"/>
          <w:lang w:val="en-US" w:eastAsia="zh-CN" w:bidi="ar-SA"/>
        </w:rPr>
        <w:t>2022年度与2023年度均无“公务用车运行维护”经费支出</w:t>
      </w:r>
      <w:r>
        <w:rPr>
          <w:rFonts w:hint="eastAsia" w:ascii="仿宋_GB2312" w:hAnsi="仿宋_GB2312" w:eastAsia="仿宋_GB2312" w:cs="仿宋_GB2312"/>
          <w:color w:val="auto"/>
          <w:kern w:val="2"/>
          <w:sz w:val="32"/>
          <w:szCs w:val="32"/>
          <w:lang w:val="zh-CN" w:eastAsia="zh-CN" w:bidi="ar-SA"/>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43" w:firstLineChars="200"/>
        <w:jc w:val="left"/>
        <w:textAlignment w:val="auto"/>
        <w:rPr>
          <w:rFonts w:hint="eastAsia" w:ascii="仿宋_GB2312" w:hAnsi="仿宋_GB2312" w:eastAsia="仿宋_GB2312" w:cs="仿宋_GB2312"/>
          <w:color w:val="auto"/>
          <w:kern w:val="2"/>
          <w:sz w:val="32"/>
          <w:szCs w:val="32"/>
          <w:lang w:val="zh-CN" w:eastAsia="zh-CN" w:bidi="ar-SA"/>
        </w:rPr>
      </w:pPr>
      <w:r>
        <w:rPr>
          <w:rFonts w:hint="default" w:ascii="Times New Roman" w:hAnsi="Times New Roman" w:eastAsia="楷体_GB2312" w:cs="Times New Roman"/>
          <w:b/>
          <w:bCs/>
          <w:kern w:val="2"/>
          <w:sz w:val="32"/>
          <w:szCs w:val="32"/>
          <w:lang w:val="en-US" w:eastAsia="zh-CN" w:bidi="ar-SA"/>
        </w:rPr>
        <w:t>3.公务接待费。</w:t>
      </w:r>
      <w:r>
        <w:rPr>
          <w:rFonts w:hint="eastAsia" w:ascii="仿宋_GB2312" w:hAnsi="仿宋_GB2312" w:eastAsia="仿宋_GB2312" w:cs="仿宋_GB2312"/>
          <w:color w:val="auto"/>
          <w:kern w:val="2"/>
          <w:sz w:val="32"/>
          <w:szCs w:val="32"/>
          <w:lang w:val="zh-CN" w:eastAsia="zh-CN" w:bidi="ar-SA"/>
        </w:rPr>
        <w:t>本单位202</w:t>
      </w: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zh-CN" w:eastAsia="zh-CN" w:bidi="ar-SA"/>
        </w:rPr>
        <w:t>年度公务接待费支出预算为0万元，支出决算0万元，完成预算的0%。公务接待费支出较预算持平，主要是本年度无此项预算并未发生“公务接待”经费支出；较上年度持平，主要是</w:t>
      </w:r>
      <w:r>
        <w:rPr>
          <w:rFonts w:hint="eastAsia" w:ascii="仿宋_GB2312" w:hAnsi="仿宋_GB2312" w:eastAsia="仿宋_GB2312" w:cs="仿宋_GB2312"/>
          <w:color w:val="auto"/>
          <w:kern w:val="2"/>
          <w:sz w:val="32"/>
          <w:szCs w:val="32"/>
          <w:lang w:val="en-US" w:eastAsia="zh-CN" w:bidi="ar-SA"/>
        </w:rPr>
        <w:t>2022年度与2023年度均无“公务接待”经费支出</w:t>
      </w:r>
      <w:r>
        <w:rPr>
          <w:rFonts w:hint="eastAsia" w:ascii="仿宋_GB2312" w:hAnsi="仿宋_GB2312" w:eastAsia="仿宋_GB2312" w:cs="仿宋_GB2312"/>
          <w:color w:val="auto"/>
          <w:kern w:val="2"/>
          <w:sz w:val="32"/>
          <w:szCs w:val="32"/>
          <w:lang w:val="zh-CN" w:eastAsia="zh-CN" w:bidi="ar-SA"/>
        </w:rPr>
        <w:t>。本年度共发生公务接待</w:t>
      </w:r>
      <w:r>
        <w:rPr>
          <w:rFonts w:hint="eastAsia" w:ascii="仿宋_GB2312" w:hAnsi="仿宋_GB2312" w:eastAsia="仿宋_GB2312" w:cs="仿宋_GB2312"/>
          <w:color w:val="auto"/>
          <w:kern w:val="2"/>
          <w:sz w:val="32"/>
          <w:szCs w:val="32"/>
          <w:lang w:val="en-US" w:eastAsia="zh-CN" w:bidi="ar-SA"/>
        </w:rPr>
        <w:t>0</w:t>
      </w:r>
      <w:r>
        <w:rPr>
          <w:rFonts w:hint="eastAsia" w:ascii="仿宋_GB2312" w:hAnsi="仿宋_GB2312" w:eastAsia="仿宋_GB2312" w:cs="仿宋_GB2312"/>
          <w:color w:val="auto"/>
          <w:kern w:val="2"/>
          <w:sz w:val="32"/>
          <w:szCs w:val="32"/>
          <w:lang w:val="zh-CN" w:eastAsia="zh-CN" w:bidi="ar-SA"/>
        </w:rPr>
        <w:t>批次、</w:t>
      </w:r>
      <w:r>
        <w:rPr>
          <w:rFonts w:hint="eastAsia" w:ascii="仿宋_GB2312" w:hAnsi="仿宋_GB2312" w:eastAsia="仿宋_GB2312" w:cs="仿宋_GB2312"/>
          <w:color w:val="auto"/>
          <w:kern w:val="2"/>
          <w:sz w:val="32"/>
          <w:szCs w:val="32"/>
          <w:lang w:val="en-US" w:eastAsia="zh-CN" w:bidi="ar-SA"/>
        </w:rPr>
        <w:t>0</w:t>
      </w:r>
      <w:r>
        <w:rPr>
          <w:rFonts w:hint="eastAsia" w:ascii="仿宋_GB2312" w:hAnsi="仿宋_GB2312" w:eastAsia="仿宋_GB2312" w:cs="仿宋_GB2312"/>
          <w:color w:val="auto"/>
          <w:kern w:val="2"/>
          <w:sz w:val="32"/>
          <w:szCs w:val="32"/>
          <w:lang w:val="zh-CN" w:eastAsia="zh-CN" w:bidi="ar-SA"/>
        </w:rPr>
        <w:t>人次。</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60" w:firstLineChars="200"/>
        <w:jc w:val="both"/>
        <w:outlineLvl w:val="1"/>
        <w:rPr>
          <w:rFonts w:hint="default" w:ascii="Times New Roman" w:hAnsi="Times New Roman" w:eastAsia="黑体" w:cs="Times New Roman"/>
          <w:i w:val="0"/>
          <w:iCs w:val="0"/>
          <w:caps w:val="0"/>
          <w:color w:val="333333"/>
          <w:spacing w:val="0"/>
          <w:sz w:val="33"/>
          <w:szCs w:val="33"/>
          <w:highlight w:val="none"/>
          <w:shd w:val="clear" w:fill="FFFFFF"/>
          <w:lang w:eastAsia="zh-CN"/>
        </w:rPr>
      </w:pPr>
      <w:r>
        <w:rPr>
          <w:rFonts w:hint="default" w:ascii="Times New Roman" w:hAnsi="Times New Roman" w:eastAsia="黑体" w:cs="Times New Roman"/>
          <w:i w:val="0"/>
          <w:iCs w:val="0"/>
          <w:caps w:val="0"/>
          <w:color w:val="333333"/>
          <w:spacing w:val="0"/>
          <w:sz w:val="33"/>
          <w:szCs w:val="33"/>
          <w:highlight w:val="none"/>
          <w:shd w:val="clear" w:fill="FFFFFF"/>
        </w:rPr>
        <w:t>六、</w:t>
      </w:r>
      <w:r>
        <w:rPr>
          <w:rFonts w:hint="default" w:ascii="Times New Roman" w:hAnsi="Times New Roman" w:eastAsia="黑体" w:cs="Times New Roman"/>
          <w:sz w:val="32"/>
          <w:szCs w:val="32"/>
        </w:rPr>
        <w:t>机关运行经费支出说明</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_GB2312" w:hAnsi="仿宋_GB2312" w:eastAsia="仿宋_GB2312" w:cs="仿宋_GB2312"/>
          <w:color w:val="auto"/>
          <w:kern w:val="0"/>
          <w:sz w:val="32"/>
          <w:szCs w:val="32"/>
          <w:highlight w:val="none"/>
          <w:lang w:val="en-US" w:eastAsia="zh-CN" w:bidi="ar-SA"/>
        </w:rPr>
      </w:pPr>
      <w:r>
        <w:rPr>
          <w:rFonts w:hint="default" w:ascii="Times New Roman" w:hAnsi="Times New Roman" w:eastAsia="Arial" w:cs="Times New Roman"/>
          <w:i w:val="0"/>
          <w:iCs w:val="0"/>
          <w:caps w:val="0"/>
          <w:color w:val="333333"/>
          <w:spacing w:val="0"/>
          <w:sz w:val="19"/>
          <w:szCs w:val="19"/>
          <w:highlight w:val="none"/>
          <w:shd w:val="clear" w:fill="FFFFFF"/>
        </w:rPr>
        <w:t> </w:t>
      </w:r>
      <w:r>
        <w:rPr>
          <w:rFonts w:hint="default" w:ascii="Times New Roman" w:hAnsi="Times New Roman" w:eastAsia="宋体" w:cs="Times New Roman"/>
          <w:i w:val="0"/>
          <w:iCs w:val="0"/>
          <w:caps w:val="0"/>
          <w:color w:val="333333"/>
          <w:spacing w:val="0"/>
          <w:sz w:val="19"/>
          <w:szCs w:val="19"/>
          <w:highlight w:val="none"/>
          <w:shd w:val="clear" w:fill="FFFFFF"/>
          <w:lang w:val="en-US" w:eastAsia="zh-CN"/>
        </w:rPr>
        <w:t xml:space="preserve">     </w:t>
      </w:r>
      <w:r>
        <w:rPr>
          <w:rFonts w:hint="eastAsia" w:ascii="仿宋_GB2312" w:hAnsi="仿宋_GB2312" w:eastAsia="仿宋_GB2312" w:cs="仿宋_GB2312"/>
          <w:color w:val="auto"/>
          <w:kern w:val="0"/>
          <w:sz w:val="32"/>
          <w:szCs w:val="32"/>
          <w:highlight w:val="none"/>
          <w:lang w:val="en-US" w:eastAsia="zh-CN" w:bidi="ar-SA"/>
        </w:rPr>
        <w:t>本单位2023年度机关运行经费支出0万元，较2022年持平，主要原因是本单位为事业单位，2022年及2023度均无一般公共预算安排的机关运行经费支出。</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仿宋_GB2312" w:cs="Times New Roman"/>
          <w:sz w:val="32"/>
          <w:szCs w:val="32"/>
          <w:highlight w:val="yellow"/>
        </w:rPr>
      </w:pPr>
      <w:r>
        <w:rPr>
          <w:rFonts w:hint="default" w:ascii="Times New Roman" w:hAnsi="Times New Roman" w:eastAsia="仿宋_GB2312" w:cs="Times New Roman"/>
          <w:i w:val="0"/>
          <w:iCs w:val="0"/>
          <w:caps w:val="0"/>
          <w:color w:val="333333"/>
          <w:spacing w:val="0"/>
          <w:sz w:val="33"/>
          <w:szCs w:val="33"/>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lang w:val="en-US" w:eastAsia="zh-CN"/>
        </w:rPr>
        <w:t xml:space="preserve"> </w:t>
      </w:r>
      <w:r>
        <w:rPr>
          <w:rFonts w:hint="default" w:ascii="Times New Roman" w:hAnsi="Times New Roman" w:eastAsia="仿宋_GB2312" w:cs="Times New Roman"/>
          <w:i w:val="0"/>
          <w:iCs w:val="0"/>
          <w:caps w:val="0"/>
          <w:color w:val="333333"/>
          <w:spacing w:val="0"/>
          <w:sz w:val="33"/>
          <w:szCs w:val="33"/>
          <w:highlight w:val="none"/>
          <w:shd w:val="clear" w:fill="FFFFFF"/>
          <w:lang w:eastAsia="zh-CN"/>
        </w:rPr>
        <w:t xml:space="preserve"> </w:t>
      </w:r>
      <w:r>
        <w:rPr>
          <w:rFonts w:hint="default" w:ascii="Times New Roman" w:hAnsi="Times New Roman" w:eastAsia="黑体" w:cs="Times New Roman"/>
          <w:i w:val="0"/>
          <w:iCs w:val="0"/>
          <w:caps w:val="0"/>
          <w:color w:val="333333"/>
          <w:spacing w:val="0"/>
          <w:sz w:val="33"/>
          <w:szCs w:val="33"/>
          <w:highlight w:val="none"/>
          <w:shd w:val="clear" w:fill="FFFFFF"/>
        </w:rPr>
        <w:t>七、</w:t>
      </w:r>
      <w:r>
        <w:rPr>
          <w:rFonts w:hint="default" w:ascii="Times New Roman" w:hAnsi="Times New Roman" w:eastAsia="黑体" w:cs="Times New Roman"/>
          <w:sz w:val="32"/>
          <w:szCs w:val="32"/>
        </w:rPr>
        <w:t>政府采购支出说明</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sz w:val="32"/>
          <w:szCs w:val="32"/>
          <w:highlight w:val="yellow"/>
        </w:rPr>
      </w:pPr>
      <w:r>
        <w:rPr>
          <w:rFonts w:hint="default" w:ascii="Times New Roman" w:hAnsi="Times New Roman" w:eastAsia="Arial" w:cs="Times New Roman"/>
          <w:i w:val="0"/>
          <w:iCs w:val="0"/>
          <w:caps w:val="0"/>
          <w:color w:val="333333"/>
          <w:spacing w:val="0"/>
          <w:sz w:val="19"/>
          <w:szCs w:val="19"/>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lang w:val="en-US" w:eastAsia="zh-CN"/>
        </w:rPr>
        <w:t xml:space="preserve"> </w:t>
      </w:r>
      <w:r>
        <w:rPr>
          <w:rFonts w:hint="default" w:ascii="Times New Roman" w:hAnsi="Times New Roman" w:eastAsia="仿宋_GB2312" w:cs="Times New Roman"/>
          <w:i w:val="0"/>
          <w:iCs w:val="0"/>
          <w:caps w:val="0"/>
          <w:color w:val="333333"/>
          <w:spacing w:val="0"/>
          <w:sz w:val="33"/>
          <w:szCs w:val="33"/>
          <w:highlight w:val="none"/>
          <w:shd w:val="clear" w:fill="FFFFFF"/>
          <w:lang w:eastAsia="zh-CN"/>
        </w:rPr>
        <w:t xml:space="preserve"> </w:t>
      </w:r>
      <w:r>
        <w:rPr>
          <w:rFonts w:hint="eastAsia" w:ascii="仿宋_GB2312" w:hAnsi="仿宋_GB2312" w:eastAsia="仿宋_GB2312" w:cs="仿宋_GB2312"/>
          <w:color w:val="auto"/>
          <w:kern w:val="2"/>
          <w:sz w:val="32"/>
          <w:szCs w:val="32"/>
          <w:lang w:val="zh-CN" w:eastAsia="zh-CN" w:bidi="ar-SA"/>
        </w:rPr>
        <w:t>本单位202</w:t>
      </w: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2"/>
          <w:sz w:val="32"/>
          <w:szCs w:val="32"/>
          <w:lang w:val="zh-CN" w:eastAsia="zh-CN" w:bidi="ar-SA"/>
        </w:rPr>
        <w:t>年度政府采购支出总额0万元，从采购类型来看，政府采购货物支出0万元、政府采购工程支出0万元、政府采购服务支出0万元。授予中小企业</w:t>
      </w:r>
      <w:r>
        <w:rPr>
          <w:rFonts w:hint="eastAsia" w:ascii="仿宋_GB2312" w:hAnsi="仿宋_GB2312" w:eastAsia="仿宋_GB2312" w:cs="仿宋_GB2312"/>
          <w:color w:val="auto"/>
          <w:kern w:val="2"/>
          <w:sz w:val="32"/>
          <w:szCs w:val="32"/>
          <w:lang w:val="en-US" w:eastAsia="zh-CN" w:bidi="ar-SA"/>
        </w:rPr>
        <w:t>合同金额</w:t>
      </w:r>
      <w:r>
        <w:rPr>
          <w:rFonts w:hint="eastAsia" w:ascii="仿宋_GB2312" w:hAnsi="仿宋_GB2312" w:eastAsia="仿宋_GB2312" w:cs="仿宋_GB2312"/>
          <w:color w:val="auto"/>
          <w:kern w:val="2"/>
          <w:sz w:val="32"/>
          <w:szCs w:val="32"/>
          <w:lang w:val="zh-CN" w:eastAsia="zh-CN" w:bidi="ar-SA"/>
        </w:rPr>
        <w:t>0万元，占政府采购支出总额的0%，其中授予小微企业合同金额0万元，占政府采购支出总额的0%。</w:t>
      </w:r>
    </w:p>
    <w:p>
      <w:pPr>
        <w:snapToGrid w:val="0"/>
        <w:spacing w:line="580" w:lineRule="exact"/>
        <w:ind w:firstLine="660" w:firstLineChars="200"/>
        <w:jc w:val="left"/>
        <w:rPr>
          <w:rFonts w:hint="default" w:ascii="Times New Roman" w:hAnsi="Times New Roman" w:eastAsia="仿宋_GB2312" w:cs="Times New Roman"/>
          <w:sz w:val="32"/>
          <w:szCs w:val="32"/>
          <w:highlight w:val="yellow"/>
        </w:rPr>
      </w:pPr>
      <w:r>
        <w:rPr>
          <w:rFonts w:hint="default" w:ascii="Times New Roman" w:hAnsi="Times New Roman" w:eastAsia="黑体" w:cs="Times New Roman"/>
          <w:i w:val="0"/>
          <w:iCs w:val="0"/>
          <w:caps w:val="0"/>
          <w:color w:val="333333"/>
          <w:spacing w:val="0"/>
          <w:sz w:val="33"/>
          <w:szCs w:val="33"/>
          <w:highlight w:val="none"/>
          <w:shd w:val="clear" w:fill="FFFFFF"/>
        </w:rPr>
        <w:t>八、</w:t>
      </w:r>
      <w:r>
        <w:rPr>
          <w:rFonts w:hint="default" w:ascii="Times New Roman" w:hAnsi="Times New Roman" w:eastAsia="黑体" w:cs="Times New Roman"/>
          <w:sz w:val="32"/>
          <w:szCs w:val="32"/>
        </w:rPr>
        <w:t>国有资产占用情况说明</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default" w:ascii="Times New Roman" w:hAnsi="Times New Roman" w:eastAsia="仿宋_GB2312" w:cs="Times New Roman"/>
          <w:color w:val="auto"/>
          <w:kern w:val="2"/>
          <w:sz w:val="32"/>
          <w:szCs w:val="32"/>
          <w:lang w:val="zh-CN" w:eastAsia="zh-CN" w:bidi="ar-SA"/>
        </w:rPr>
      </w:pPr>
      <w:r>
        <w:rPr>
          <w:rFonts w:hint="default" w:ascii="Times New Roman" w:hAnsi="Times New Roman" w:eastAsia="仿宋_GB2312" w:cs="Times New Roman"/>
          <w:i w:val="0"/>
          <w:iCs w:val="0"/>
          <w:caps w:val="0"/>
          <w:color w:val="333333"/>
          <w:spacing w:val="0"/>
          <w:sz w:val="33"/>
          <w:szCs w:val="33"/>
          <w:highlight w:val="none"/>
          <w:shd w:val="clear" w:fill="FFFFFF"/>
        </w:rPr>
        <w:t>  </w:t>
      </w:r>
      <w:r>
        <w:rPr>
          <w:rFonts w:hint="default" w:ascii="Times New Roman" w:hAnsi="Times New Roman" w:eastAsia="仿宋_GB2312" w:cs="Times New Roman"/>
          <w:i w:val="0"/>
          <w:iCs w:val="0"/>
          <w:caps w:val="0"/>
          <w:color w:val="333333"/>
          <w:spacing w:val="0"/>
          <w:sz w:val="33"/>
          <w:szCs w:val="33"/>
          <w:highlight w:val="none"/>
          <w:shd w:val="clear" w:fill="FFFFFF"/>
          <w:lang w:val="en-US" w:eastAsia="zh-CN"/>
        </w:rPr>
        <w:t xml:space="preserve">   </w:t>
      </w:r>
      <w:r>
        <w:rPr>
          <w:rFonts w:hint="default" w:ascii="Times New Roman" w:hAnsi="Times New Roman" w:eastAsia="仿宋_GB2312" w:cs="Times New Roman"/>
          <w:color w:val="auto"/>
          <w:kern w:val="2"/>
          <w:sz w:val="32"/>
          <w:szCs w:val="32"/>
          <w:lang w:val="zh-CN" w:eastAsia="zh-CN" w:bidi="ar-SA"/>
        </w:rPr>
        <w:t>截至202</w:t>
      </w: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仿宋_GB2312" w:cs="Times New Roman"/>
          <w:color w:val="auto"/>
          <w:kern w:val="2"/>
          <w:sz w:val="32"/>
          <w:szCs w:val="32"/>
          <w:lang w:val="zh-CN" w:eastAsia="zh-CN" w:bidi="ar-SA"/>
        </w:rPr>
        <w:t>年12月31日，本单位共有车辆0辆，比上年</w:t>
      </w:r>
      <w:r>
        <w:rPr>
          <w:rFonts w:hint="eastAsia" w:ascii="Times New Roman" w:hAnsi="Times New Roman" w:eastAsia="仿宋_GB2312" w:cs="Times New Roman"/>
          <w:color w:val="auto"/>
          <w:kern w:val="2"/>
          <w:sz w:val="32"/>
          <w:szCs w:val="32"/>
          <w:lang w:val="zh-CN" w:eastAsia="zh-CN" w:bidi="ar-SA"/>
        </w:rPr>
        <w:t>减少0</w:t>
      </w:r>
      <w:r>
        <w:rPr>
          <w:rFonts w:hint="default" w:ascii="Times New Roman" w:hAnsi="Times New Roman" w:eastAsia="仿宋_GB2312" w:cs="Times New Roman"/>
          <w:color w:val="auto"/>
          <w:kern w:val="2"/>
          <w:sz w:val="32"/>
          <w:szCs w:val="32"/>
          <w:lang w:val="zh-CN" w:eastAsia="zh-CN" w:bidi="ar-SA"/>
        </w:rPr>
        <w:t>辆</w:t>
      </w:r>
      <w:r>
        <w:rPr>
          <w:rFonts w:hint="eastAsia" w:ascii="Times New Roman" w:hAnsi="Times New Roman" w:eastAsia="仿宋_GB2312" w:cs="Times New Roman"/>
          <w:color w:val="auto"/>
          <w:kern w:val="2"/>
          <w:sz w:val="32"/>
          <w:szCs w:val="32"/>
          <w:lang w:val="zh-CN" w:eastAsia="zh-CN" w:bidi="ar-SA"/>
        </w:rPr>
        <w:t>，</w:t>
      </w:r>
      <w:r>
        <w:rPr>
          <w:rFonts w:hint="default" w:ascii="Times New Roman" w:hAnsi="Times New Roman" w:eastAsia="仿宋_GB2312" w:cs="Times New Roman"/>
          <w:color w:val="auto"/>
          <w:kern w:val="2"/>
          <w:sz w:val="32"/>
          <w:szCs w:val="32"/>
          <w:lang w:val="zh-CN" w:eastAsia="zh-CN" w:bidi="ar-SA"/>
        </w:rPr>
        <w:t>主要是</w:t>
      </w:r>
      <w:r>
        <w:rPr>
          <w:rFonts w:hint="eastAsia" w:ascii="Times New Roman" w:hAnsi="Times New Roman" w:eastAsia="仿宋_GB2312" w:cs="Times New Roman"/>
          <w:color w:val="auto"/>
          <w:kern w:val="2"/>
          <w:sz w:val="32"/>
          <w:szCs w:val="32"/>
          <w:lang w:val="zh-CN" w:eastAsia="zh-CN" w:bidi="ar-SA"/>
        </w:rPr>
        <w:t>未发生国有资产占用情况</w:t>
      </w:r>
      <w:r>
        <w:rPr>
          <w:rFonts w:hint="default" w:ascii="Times New Roman" w:hAnsi="Times New Roman" w:eastAsia="仿宋_GB2312" w:cs="Times New Roman"/>
          <w:color w:val="auto"/>
          <w:kern w:val="2"/>
          <w:sz w:val="32"/>
          <w:szCs w:val="32"/>
          <w:lang w:val="zh-CN" w:eastAsia="zh-CN" w:bidi="ar-SA"/>
        </w:rPr>
        <w:t>。其中，副部（省）级及以上领导用车0辆，主要</w:t>
      </w:r>
      <w:r>
        <w:rPr>
          <w:rFonts w:hint="default" w:ascii="Times New Roman" w:hAnsi="Times New Roman" w:eastAsia="仿宋_GB2312" w:cs="Times New Roman"/>
          <w:color w:val="auto"/>
          <w:kern w:val="2"/>
          <w:sz w:val="32"/>
          <w:szCs w:val="32"/>
          <w:lang w:val="en-US" w:eastAsia="zh-CN" w:bidi="ar-SA"/>
        </w:rPr>
        <w:t>负责人</w:t>
      </w:r>
      <w:r>
        <w:rPr>
          <w:rFonts w:hint="default" w:ascii="Times New Roman" w:hAnsi="Times New Roman" w:eastAsia="仿宋_GB2312" w:cs="Times New Roman"/>
          <w:color w:val="auto"/>
          <w:kern w:val="2"/>
          <w:sz w:val="32"/>
          <w:szCs w:val="32"/>
          <w:lang w:val="zh-CN" w:eastAsia="zh-CN" w:bidi="ar-SA"/>
        </w:rPr>
        <w:t>用车0辆，机要通信用车0辆，应急保障用车0辆，执法执勤用车0辆，特种专业技术用车0辆，离退休干部用车0辆，其他用车0辆，主要是</w:t>
      </w:r>
      <w:r>
        <w:rPr>
          <w:rFonts w:hint="eastAsia" w:ascii="Times New Roman" w:hAnsi="Times New Roman" w:eastAsia="仿宋_GB2312" w:cs="Times New Roman"/>
          <w:color w:val="auto"/>
          <w:kern w:val="2"/>
          <w:sz w:val="32"/>
          <w:szCs w:val="32"/>
          <w:lang w:val="zh-CN" w:eastAsia="zh-CN" w:bidi="ar-SA"/>
        </w:rPr>
        <w:t>其他用车未发生国有资产占用情况</w:t>
      </w:r>
      <w:r>
        <w:rPr>
          <w:rFonts w:hint="default" w:ascii="Times New Roman" w:hAnsi="Times New Roman" w:eastAsia="仿宋_GB2312" w:cs="Times New Roman"/>
          <w:color w:val="auto"/>
          <w:kern w:val="2"/>
          <w:sz w:val="32"/>
          <w:szCs w:val="32"/>
          <w:lang w:val="zh-CN" w:eastAsia="zh-CN" w:bidi="ar-SA"/>
        </w:rPr>
        <w:t>。单位价值100万元（含）以上设备（不含车辆）0台（套）。</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outlineLvl w:val="1"/>
        <w:rPr>
          <w:rFonts w:hint="default" w:ascii="Times New Roman" w:hAnsi="Times New Roman" w:eastAsia="黑体" w:cs="Times New Roman"/>
          <w:kern w:val="2"/>
          <w:sz w:val="32"/>
          <w:szCs w:val="40"/>
          <w:lang w:val="en-US" w:eastAsia="zh-CN" w:bidi="ar-SA"/>
        </w:rPr>
      </w:pPr>
      <w:r>
        <w:rPr>
          <w:rFonts w:hint="default" w:ascii="Times New Roman" w:hAnsi="Times New Roman" w:eastAsia="黑体" w:cs="Times New Roman"/>
          <w:kern w:val="2"/>
          <w:sz w:val="32"/>
          <w:szCs w:val="40"/>
          <w:lang w:val="en-US" w:eastAsia="zh-CN" w:bidi="ar-SA"/>
        </w:rPr>
        <w:t>九、预算绩效情况说明</w:t>
      </w:r>
    </w:p>
    <w:p>
      <w:pPr>
        <w:adjustRightInd w:val="0"/>
        <w:snapToGrid w:val="0"/>
        <w:spacing w:line="58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（一）预算绩效管理工作开展情况</w:t>
      </w:r>
    </w:p>
    <w:p>
      <w:pPr>
        <w:adjustRightInd w:val="0"/>
        <w:snapToGrid w:val="0"/>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组织对202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年度项目支出全面开展绩效自评，其中，一般公共</w:t>
      </w:r>
      <w:r>
        <w:rPr>
          <w:rFonts w:hint="eastAsia" w:ascii="仿宋_GB2312" w:hAnsi="仿宋_GB2312" w:eastAsia="仿宋_GB2312" w:cs="仿宋_GB2312"/>
          <w:color w:val="000000" w:themeColor="text1"/>
          <w:sz w:val="32"/>
          <w:szCs w:val="32"/>
          <w14:textFill>
            <w14:solidFill>
              <w14:schemeClr w14:val="tx1"/>
            </w14:solidFill>
          </w14:textFill>
        </w:rPr>
        <w:t>预算项目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11</w:t>
      </w:r>
      <w:r>
        <w:rPr>
          <w:rFonts w:hint="eastAsia" w:ascii="仿宋_GB2312" w:hAnsi="仿宋_GB2312" w:eastAsia="仿宋_GB2312" w:cs="仿宋_GB2312"/>
          <w:color w:val="000000" w:themeColor="text1"/>
          <w:sz w:val="32"/>
          <w:szCs w:val="32"/>
          <w14:textFill>
            <w14:solidFill>
              <w14:schemeClr w14:val="tx1"/>
            </w14:solidFill>
          </w14:textFill>
        </w:rPr>
        <w:t>个，共涉</w:t>
      </w:r>
      <w:r>
        <w:rPr>
          <w:rFonts w:hint="eastAsia" w:ascii="仿宋_GB2312" w:hAnsi="仿宋_GB2312" w:eastAsia="仿宋_GB2312" w:cs="仿宋_GB2312"/>
          <w:sz w:val="32"/>
          <w:szCs w:val="32"/>
        </w:rPr>
        <w:t>及资金</w:t>
      </w:r>
      <w:r>
        <w:rPr>
          <w:rFonts w:hint="eastAsia" w:ascii="仿宋_GB2312" w:hAnsi="仿宋_GB2312" w:eastAsia="仿宋_GB2312" w:cs="仿宋_GB2312"/>
          <w:sz w:val="32"/>
          <w:szCs w:val="32"/>
          <w:lang w:val="en-US" w:eastAsia="zh-CN"/>
        </w:rPr>
        <w:t>8782.59</w:t>
      </w:r>
      <w:r>
        <w:rPr>
          <w:rFonts w:hint="eastAsia" w:ascii="仿宋_GB2312" w:hAnsi="仿宋_GB2312" w:eastAsia="仿宋_GB2312" w:cs="仿宋_GB2312"/>
          <w:sz w:val="32"/>
          <w:szCs w:val="32"/>
        </w:rPr>
        <w:t>万元，占一般公共预算项目支出总额的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%；政府性基金预算项目</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个,共涉及资金</w:t>
      </w:r>
      <w:r>
        <w:rPr>
          <w:rFonts w:hint="eastAsia" w:ascii="仿宋_GB2312" w:hAnsi="仿宋_GB2312" w:eastAsia="仿宋_GB2312" w:cs="仿宋_GB2312"/>
          <w:sz w:val="32"/>
          <w:szCs w:val="32"/>
          <w:lang w:val="en-US" w:eastAsia="zh-CN"/>
        </w:rPr>
        <w:t>136.81</w:t>
      </w:r>
      <w:r>
        <w:rPr>
          <w:rFonts w:hint="eastAsia" w:ascii="仿宋_GB2312" w:hAnsi="仿宋_GB2312" w:eastAsia="仿宋_GB2312" w:cs="仿宋_GB2312"/>
          <w:sz w:val="32"/>
          <w:szCs w:val="32"/>
        </w:rPr>
        <w:t>万元，占政府性基金预算项目支出总额的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pPr>
        <w:adjustRightInd w:val="0"/>
        <w:snapToGrid w:val="0"/>
        <w:spacing w:line="60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组织</w:t>
      </w:r>
      <w:r>
        <w:rPr>
          <w:rFonts w:hint="eastAsia" w:ascii="仿宋_GB2312" w:hAnsi="仿宋_GB2312" w:eastAsia="仿宋_GB2312" w:cs="仿宋_GB2312"/>
          <w:color w:val="000000" w:themeColor="text1"/>
          <w:sz w:val="32"/>
          <w:szCs w:val="32"/>
          <w14:textFill>
            <w14:solidFill>
              <w14:schemeClr w14:val="tx1"/>
            </w14:solidFill>
          </w14:textFill>
        </w:rPr>
        <w:t>对“</w:t>
      </w:r>
      <w:r>
        <w:rPr>
          <w:rFonts w:hint="eastAsia" w:ascii="仿宋_GB2312" w:hAnsi="仿宋_GB2312" w:eastAsia="仿宋_GB2312" w:cs="仿宋_GB2312"/>
          <w:sz w:val="32"/>
          <w:szCs w:val="32"/>
          <w:lang w:val="en-US" w:eastAsia="zh-CN"/>
        </w:rPr>
        <w:t>电视台运行经费</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融媒体建设补助</w:t>
      </w:r>
      <w:r>
        <w:rPr>
          <w:rFonts w:hint="eastAsia" w:ascii="仿宋_GB2312" w:hAnsi="仿宋_GB2312" w:eastAsia="仿宋_GB2312" w:cs="仿宋_GB2312"/>
          <w:color w:val="000000" w:themeColor="text1"/>
          <w:sz w:val="32"/>
          <w:szCs w:val="32"/>
          <w14:textFill>
            <w14:solidFill>
              <w14:schemeClr w14:val="tx1"/>
            </w14:solidFill>
          </w14:textFill>
        </w:rPr>
        <w:t>”等项目开展</w:t>
      </w:r>
      <w:r>
        <w:rPr>
          <w:rFonts w:hint="eastAsia" w:ascii="仿宋_GB2312" w:hAnsi="仿宋_GB2312" w:eastAsia="仿宋_GB2312" w:cs="仿宋_GB2312"/>
          <w:color w:val="000000" w:themeColor="text1"/>
          <w:sz w:val="32"/>
          <w:szCs w:val="32"/>
          <w:lang w:eastAsia="zh-CN"/>
          <w14:textFill>
            <w14:solidFill>
              <w14:schemeClr w14:val="tx1"/>
            </w14:solidFill>
          </w14:textFill>
        </w:rPr>
        <w:t>了部门</w:t>
      </w:r>
      <w:r>
        <w:rPr>
          <w:rFonts w:hint="eastAsia" w:ascii="仿宋_GB2312" w:hAnsi="仿宋_GB2312" w:eastAsia="仿宋_GB2312" w:cs="仿宋_GB2312"/>
          <w:color w:val="000000" w:themeColor="text1"/>
          <w:sz w:val="32"/>
          <w:szCs w:val="32"/>
          <w14:textFill>
            <w14:solidFill>
              <w14:schemeClr w14:val="tx1"/>
            </w14:solidFill>
          </w14:textFill>
        </w:rPr>
        <w:t>评价</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涉</w:t>
      </w:r>
      <w:r>
        <w:rPr>
          <w:rFonts w:hint="eastAsia" w:ascii="仿宋_GB2312" w:hAnsi="仿宋_GB2312" w:eastAsia="仿宋_GB2312" w:cs="仿宋_GB2312"/>
          <w:sz w:val="32"/>
          <w:szCs w:val="32"/>
        </w:rPr>
        <w:t>及</w:t>
      </w:r>
      <w:r>
        <w:rPr>
          <w:rFonts w:hint="eastAsia" w:ascii="仿宋_GB2312" w:hAnsi="仿宋_GB2312" w:eastAsia="仿宋_GB2312" w:cs="仿宋_GB2312"/>
          <w:sz w:val="32"/>
          <w:szCs w:val="32"/>
          <w:lang w:eastAsia="zh-CN"/>
        </w:rPr>
        <w:t>一般公共预算支出</w:t>
      </w:r>
      <w:r>
        <w:rPr>
          <w:rFonts w:hint="eastAsia" w:ascii="仿宋_GB2312" w:hAnsi="仿宋_GB2312" w:eastAsia="仿宋_GB2312" w:cs="仿宋_GB2312"/>
          <w:sz w:val="32"/>
          <w:szCs w:val="32"/>
          <w:lang w:val="en-US" w:eastAsia="zh-CN"/>
        </w:rPr>
        <w:t>8782.59</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；政府性基金预算支出</w:t>
      </w:r>
      <w:r>
        <w:rPr>
          <w:rFonts w:hint="eastAsia" w:ascii="仿宋_GB2312" w:hAnsi="仿宋_GB2312" w:eastAsia="仿宋_GB2312" w:cs="仿宋_GB2312"/>
          <w:sz w:val="32"/>
          <w:szCs w:val="32"/>
          <w:lang w:val="en-US" w:eastAsia="zh-CN"/>
        </w:rPr>
        <w:t>136.81万元，国有资本经营预算支出0万元</w:t>
      </w:r>
      <w:r>
        <w:rPr>
          <w:rFonts w:hint="eastAsia" w:ascii="仿宋_GB2312" w:hAnsi="仿宋_GB2312" w:eastAsia="仿宋_GB2312" w:cs="仿宋_GB2312"/>
          <w:color w:val="000000" w:themeColor="text1"/>
          <w:sz w:val="32"/>
          <w:szCs w:val="32"/>
          <w14:textFill>
            <w14:solidFill>
              <w14:schemeClr w14:val="tx1"/>
            </w14:solidFill>
          </w14:textFill>
        </w:rPr>
        <w:t>。从评价情况来看</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根据项目执行情况和项目绩效情况，“</w:t>
      </w:r>
      <w:r>
        <w:rPr>
          <w:rFonts w:hint="eastAsia" w:ascii="仿宋_GB2312" w:hAnsi="仿宋_GB2312" w:eastAsia="仿宋_GB2312" w:cs="仿宋_GB2312"/>
          <w:sz w:val="32"/>
          <w:szCs w:val="32"/>
          <w:lang w:val="en-US" w:eastAsia="zh-CN"/>
        </w:rPr>
        <w:t>电视台运行经费</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和</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融媒体建设补助</w:t>
      </w:r>
      <w:r>
        <w:rPr>
          <w:rFonts w:hint="eastAsia" w:ascii="仿宋_GB2312" w:hAnsi="仿宋_GB2312" w:eastAsia="仿宋_GB2312" w:cs="仿宋_GB2312"/>
          <w:color w:val="000000" w:themeColor="text1"/>
          <w:sz w:val="32"/>
          <w:szCs w:val="32"/>
          <w14:textFill>
            <w14:solidFill>
              <w14:schemeClr w14:val="tx1"/>
            </w14:solidFill>
          </w14:textFill>
        </w:rPr>
        <w:t>”等项目</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绩效评价总得分100分，绩效评价等级为“优秀”。</w:t>
      </w:r>
    </w:p>
    <w:p>
      <w:pPr>
        <w:keepNext w:val="0"/>
        <w:keepLines w:val="0"/>
        <w:pageBreakBefore w:val="0"/>
        <w:widowControl w:val="0"/>
        <w:kinsoku/>
        <w:wordWrap/>
        <w:overflowPunct/>
        <w:topLinePunct w:val="0"/>
        <w:autoSpaceDE/>
        <w:autoSpaceDN/>
        <w:bidi w:val="0"/>
        <w:adjustRightInd/>
        <w:snapToGrid/>
        <w:spacing w:line="560" w:lineRule="exact"/>
        <w:ind w:right="140"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“电视台运行经费”</w:t>
      </w:r>
      <w:r>
        <w:rPr>
          <w:rFonts w:hint="eastAsia" w:ascii="仿宋_GB2312" w:hAnsi="仿宋_GB2312" w:eastAsia="仿宋_GB2312" w:cs="仿宋_GB2312"/>
          <w:color w:val="000000" w:themeColor="text1"/>
          <w:sz w:val="32"/>
          <w:szCs w:val="32"/>
          <w14:textFill>
            <w14:solidFill>
              <w14:schemeClr w14:val="tx1"/>
            </w14:solidFill>
          </w14:textFill>
        </w:rPr>
        <w:t>项目自评综述：根据年初设定的绩效目标，</w:t>
      </w:r>
      <w:r>
        <w:rPr>
          <w:rFonts w:hint="eastAsia" w:ascii="仿宋_GB2312" w:hAnsi="仿宋_GB2312" w:eastAsia="仿宋_GB2312" w:cs="仿宋_GB2312"/>
          <w:color w:val="000000" w:themeColor="text1"/>
          <w:sz w:val="32"/>
          <w:szCs w:val="32"/>
          <w:lang w:eastAsia="zh-CN"/>
          <w14:textFill>
            <w14:solidFill>
              <w14:schemeClr w14:val="tx1"/>
            </w14:solidFill>
          </w14:textFill>
        </w:rPr>
        <w:t>“电视台运行经费”</w:t>
      </w:r>
      <w:r>
        <w:rPr>
          <w:rFonts w:hint="eastAsia" w:ascii="仿宋_GB2312" w:hAnsi="仿宋_GB2312" w:eastAsia="仿宋_GB2312" w:cs="仿宋_GB2312"/>
          <w:color w:val="000000" w:themeColor="text1"/>
          <w:sz w:val="32"/>
          <w:szCs w:val="32"/>
          <w14:textFill>
            <w14:solidFill>
              <w14:schemeClr w14:val="tx1"/>
            </w14:solidFill>
          </w14:textFill>
        </w:rPr>
        <w:t>项目绩效自评得分为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分（绩效自评表附后）。全年预算数为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2000</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2000</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2"/>
        <w:rPr>
          <w:rFonts w:hint="eastAsia"/>
          <w:lang w:eastAsia="zh-CN"/>
        </w:rPr>
      </w:pPr>
    </w:p>
    <w:p>
      <w:pPr>
        <w:numPr>
          <w:ilvl w:val="0"/>
          <w:numId w:val="3"/>
        </w:numPr>
        <w:adjustRightInd w:val="0"/>
        <w:snapToGrid w:val="0"/>
        <w:spacing w:line="580" w:lineRule="exact"/>
        <w:ind w:firstLine="643" w:firstLineChars="2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部门决算中项目绩效自评结果</w:t>
      </w:r>
    </w:p>
    <w:p>
      <w:pPr>
        <w:pStyle w:val="2"/>
        <w:numPr>
          <w:ilvl w:val="0"/>
          <w:numId w:val="0"/>
        </w:numPr>
        <w:rPr>
          <w:rFonts w:hint="default"/>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60" w:firstLineChars="200"/>
        <w:jc w:val="left"/>
        <w:textAlignment w:val="auto"/>
        <w:rPr>
          <w:rFonts w:hint="eastAsia" w:ascii="仿宋_GB2312" w:hAnsi="仿宋_GB2312" w:eastAsia="仿宋_GB2312" w:cs="仿宋_GB2312"/>
          <w:color w:val="auto"/>
          <w:kern w:val="2"/>
          <w:sz w:val="32"/>
          <w:szCs w:val="32"/>
          <w:lang w:val="zh-CN" w:eastAsia="zh-CN" w:bidi="ar-SA"/>
        </w:rPr>
      </w:pPr>
      <w:r>
        <w:rPr>
          <w:rFonts w:hint="default" w:ascii="Times New Roman" w:hAnsi="Times New Roman" w:eastAsia="仿宋_GB2312" w:cs="Times New Roman"/>
          <w:i w:val="0"/>
          <w:iCs w:val="0"/>
          <w:caps w:val="0"/>
          <w:color w:val="333333"/>
          <w:spacing w:val="0"/>
          <w:sz w:val="33"/>
          <w:szCs w:val="33"/>
          <w:highlight w:val="none"/>
          <w:shd w:val="clear" w:fill="FFFFFF"/>
        </w:rPr>
        <w:t> </w:t>
      </w:r>
      <w:r>
        <w:rPr>
          <w:rFonts w:hint="eastAsia" w:ascii="仿宋_GB2312" w:hAnsi="仿宋_GB2312" w:eastAsia="仿宋_GB2312" w:cs="仿宋_GB2312"/>
          <w:color w:val="auto"/>
          <w:kern w:val="2"/>
          <w:sz w:val="32"/>
          <w:szCs w:val="32"/>
          <w:lang w:val="zh-CN" w:eastAsia="zh-CN" w:bidi="ar-SA"/>
        </w:rPr>
        <w:t xml:space="preserve">本单位在今年部门决算公开中反映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电视台运行经费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项目及</w:t>
      </w:r>
      <w:r>
        <w:rPr>
          <w:rFonts w:hint="eastAsia" w:ascii="仿宋_GB2312" w:hAnsi="仿宋_GB2312" w:eastAsia="仿宋_GB2312" w:cs="仿宋_GB2312"/>
          <w:sz w:val="32"/>
          <w:szCs w:val="32"/>
          <w:lang w:eastAsia="zh-CN"/>
        </w:rPr>
        <w:t>“融媒体建设补助</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项目等</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w:t>
      </w:r>
      <w:r>
        <w:rPr>
          <w:rFonts w:hint="eastAsia" w:ascii="仿宋_GB2312" w:hAnsi="仿宋_GB2312" w:eastAsia="仿宋_GB2312" w:cs="仿宋_GB2312"/>
          <w:color w:val="000000" w:themeColor="text1"/>
          <w:sz w:val="32"/>
          <w:szCs w:val="32"/>
          <w14:textFill>
            <w14:solidFill>
              <w14:schemeClr w14:val="tx1"/>
            </w14:solidFill>
          </w14:textFill>
        </w:rPr>
        <w:t>个项目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绩效自评结果。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“电视台运行经费”</w:t>
      </w:r>
      <w:r>
        <w:rPr>
          <w:rFonts w:hint="eastAsia" w:ascii="仿宋_GB2312" w:hAnsi="仿宋_GB2312" w:eastAsia="仿宋_GB2312" w:cs="仿宋_GB2312"/>
          <w:color w:val="000000" w:themeColor="text1"/>
          <w:sz w:val="32"/>
          <w:szCs w:val="32"/>
          <w14:textFill>
            <w14:solidFill>
              <w14:schemeClr w14:val="tx1"/>
            </w14:solidFill>
          </w14:textFill>
        </w:rPr>
        <w:t>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绩效</w:t>
      </w:r>
      <w:r>
        <w:rPr>
          <w:rFonts w:hint="eastAsia" w:ascii="仿宋_GB2312" w:hAnsi="仿宋_GB2312" w:eastAsia="仿宋_GB2312" w:cs="仿宋_GB2312"/>
          <w:color w:val="000000" w:themeColor="text1"/>
          <w:sz w:val="32"/>
          <w:szCs w:val="32"/>
          <w14:textFill>
            <w14:solidFill>
              <w14:schemeClr w14:val="tx1"/>
            </w14:solidFill>
          </w14:textFill>
        </w:rPr>
        <w:t>自评</w:t>
      </w:r>
      <w:r>
        <w:rPr>
          <w:rFonts w:hint="eastAsia" w:ascii="仿宋_GB2312" w:hAnsi="仿宋_GB2312" w:eastAsia="仿宋_GB2312" w:cs="仿宋_GB2312"/>
          <w:color w:val="000000" w:themeColor="text1"/>
          <w:sz w:val="32"/>
          <w:szCs w:val="32"/>
          <w:lang w:eastAsia="zh-CN"/>
          <w14:textFill>
            <w14:solidFill>
              <w14:schemeClr w14:val="tx1"/>
            </w14:solidFill>
          </w14:textFill>
        </w:rPr>
        <w:t>情况</w:t>
      </w:r>
      <w:r>
        <w:rPr>
          <w:rFonts w:hint="eastAsia" w:ascii="仿宋_GB2312" w:hAnsi="仿宋_GB2312" w:eastAsia="仿宋_GB2312" w:cs="仿宋_GB2312"/>
          <w:color w:val="000000" w:themeColor="text1"/>
          <w:sz w:val="32"/>
          <w:szCs w:val="32"/>
          <w14:textFill>
            <w14:solidFill>
              <w14:schemeClr w14:val="tx1"/>
            </w14:solidFill>
          </w14:textFill>
        </w:rPr>
        <w:t>：根据年初设定的绩效目标，</w:t>
      </w:r>
      <w:r>
        <w:rPr>
          <w:rFonts w:hint="eastAsia" w:ascii="仿宋_GB2312" w:hAnsi="仿宋_GB2312" w:eastAsia="仿宋_GB2312" w:cs="仿宋_GB2312"/>
          <w:color w:val="000000" w:themeColor="text1"/>
          <w:sz w:val="32"/>
          <w:szCs w:val="32"/>
          <w:lang w:eastAsia="zh-CN"/>
          <w14:textFill>
            <w14:solidFill>
              <w14:schemeClr w14:val="tx1"/>
            </w14:solidFill>
          </w14:textFill>
        </w:rPr>
        <w:t>“电视台运行经费”</w:t>
      </w:r>
      <w:r>
        <w:rPr>
          <w:rFonts w:hint="eastAsia" w:ascii="仿宋_GB2312" w:hAnsi="仿宋_GB2312" w:eastAsia="仿宋_GB2312" w:cs="仿宋_GB2312"/>
          <w:color w:val="000000" w:themeColor="text1"/>
          <w:sz w:val="32"/>
          <w:szCs w:val="32"/>
          <w14:textFill>
            <w14:solidFill>
              <w14:schemeClr w14:val="tx1"/>
            </w14:solidFill>
          </w14:textFill>
        </w:rPr>
        <w:t>项目绩效自评得分为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分（绩效自评表附后）。全年预算数为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2000</w:t>
      </w:r>
      <w:r>
        <w:rPr>
          <w:rFonts w:hint="eastAsia" w:ascii="仿宋_GB2312" w:hAnsi="仿宋_GB2312" w:eastAsia="仿宋_GB2312" w:cs="仿宋_GB2312"/>
          <w:color w:val="000000" w:themeColor="text1"/>
          <w:sz w:val="32"/>
          <w:szCs w:val="32"/>
          <w14:textFill>
            <w14:solidFill>
              <w14:schemeClr w14:val="tx1"/>
            </w14:solidFill>
          </w14:textFill>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2000</w:t>
      </w:r>
      <w:r>
        <w:rPr>
          <w:rFonts w:hint="eastAsia" w:ascii="仿宋_GB2312" w:hAnsi="仿宋_GB2312" w:eastAsia="仿宋_GB2312" w:cs="仿宋_GB2312"/>
          <w:color w:val="000000" w:themeColor="text1"/>
          <w:sz w:val="32"/>
          <w:szCs w:val="32"/>
          <w14:textFill>
            <w14:solidFill>
              <w14:schemeClr w14:val="tx1"/>
            </w14:solidFill>
          </w14:textFill>
        </w:rPr>
        <w:t>万元，完成预算的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auto"/>
          <w:kern w:val="2"/>
          <w:sz w:val="32"/>
          <w:szCs w:val="32"/>
          <w:lang w:val="zh-CN" w:eastAsia="zh-CN" w:bidi="ar-SA"/>
        </w:rPr>
        <w:t>项目绩效目标完成情况：</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2023</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eastAsia="zh-CN"/>
          <w14:textFill>
            <w14:solidFill>
              <w14:schemeClr w14:val="tx1"/>
            </w14:solidFill>
          </w14:textFill>
        </w:rPr>
        <w:t>是</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全面贯彻党的二十大精神的开局之年，也</w:t>
      </w:r>
      <w:r>
        <w:rPr>
          <w:rFonts w:hint="eastAsia" w:ascii="仿宋_GB2312" w:hAnsi="仿宋_GB2312" w:eastAsia="仿宋_GB2312" w:cs="仿宋_GB2312"/>
          <w:color w:val="000000" w:themeColor="text1"/>
          <w:sz w:val="32"/>
          <w:szCs w:val="32"/>
          <w14:textFill>
            <w14:solidFill>
              <w14:schemeClr w14:val="tx1"/>
            </w14:solidFill>
          </w14:textFill>
        </w:rPr>
        <w:t>是我市推动经济总量过万亿、实现弯道超车的“跃升之年、展示之年”</w:t>
      </w:r>
      <w:r>
        <w:rPr>
          <w:rFonts w:hint="eastAsia" w:ascii="仿宋_GB2312" w:hAnsi="仿宋_GB2312" w:eastAsia="仿宋_GB2312" w:cs="仿宋_GB2312"/>
          <w:color w:val="000000" w:themeColor="text1"/>
          <w:sz w:val="32"/>
          <w:szCs w:val="32"/>
          <w:lang w:eastAsia="zh-CN"/>
          <w14:textFill>
            <w14:solidFill>
              <w14:schemeClr w14:val="tx1"/>
            </w14:solidFill>
          </w14:textFill>
        </w:rPr>
        <w:t>，新闻频道在台党委的坚强领导下，</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继续提高政治站位，拉升工作标杆，全力聚焦新闻主业、经营创收等重点领域，攻坚克难，开拓创新，</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围绕中心，服务大局，积极投身跃升之年展示之年的火热实践。</w:t>
      </w:r>
    </w:p>
    <w:p>
      <w:pPr>
        <w:numPr>
          <w:ilvl w:val="0"/>
          <w:numId w:val="0"/>
        </w:numPr>
        <w:ind w:firstLine="643" w:firstLineChars="200"/>
        <w:jc w:val="left"/>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聚焦市委、市政府中心工作，精心谋划选题，持续营造加快建设现代化、国际化美丽省会城市的浓厚舆论氛围。</w:t>
      </w:r>
      <w:r>
        <w:rPr>
          <w:rFonts w:hint="eastAsia" w:ascii="仿宋_GB2312" w:hAnsi="仿宋_GB2312" w:eastAsia="仿宋_GB2312" w:cs="仿宋_GB2312"/>
          <w:b w:val="0"/>
          <w:bCs w:val="0"/>
          <w:sz w:val="32"/>
          <w:szCs w:val="32"/>
          <w:lang w:val="en-US" w:eastAsia="zh-CN"/>
        </w:rPr>
        <w:t>《石家庄新闻》</w:t>
      </w:r>
      <w:r>
        <w:rPr>
          <w:rFonts w:hint="eastAsia" w:ascii="仿宋_GB2312" w:hAnsi="仿宋_GB2312" w:eastAsia="仿宋_GB2312" w:cs="仿宋_GB2312"/>
          <w:sz w:val="32"/>
          <w:szCs w:val="32"/>
          <w:lang w:val="en-US" w:eastAsia="zh-CN"/>
        </w:rPr>
        <w:t>开设“全面深入学习宣传贯彻党的二十大精神”“新时代新征程新伟业”“撸起袖子加油干 风雨无阻向前行”“新跃升 新展示”“石家庄在行动”“大力优化营商环境”“权威发布”“聚焦民生实事”、“走近农特优品”等专题专栏，《民生关注》推出了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践行社会主义核心价值观</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城市文明大</w:t>
      </w:r>
      <w:r>
        <w:rPr>
          <w:rFonts w:hint="eastAsia" w:ascii="仿宋_GB2312" w:hAnsi="仿宋_GB2312" w:eastAsia="仿宋_GB2312" w:cs="仿宋_GB2312"/>
          <w:sz w:val="32"/>
          <w:szCs w:val="32"/>
        </w:rPr>
        <w:t>行动》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文化石家庄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、《聚焦2023年民生十件实事》、《</w:t>
      </w:r>
      <w:r>
        <w:rPr>
          <w:rFonts w:hint="eastAsia" w:ascii="仿宋_GB2312" w:hAnsi="仿宋_GB2312" w:eastAsia="仿宋_GB2312" w:cs="仿宋_GB2312"/>
          <w:sz w:val="32"/>
          <w:szCs w:val="32"/>
          <w:lang w:val="en-US" w:eastAsia="zh-CN"/>
        </w:rPr>
        <w:t>我是文明市民要为城市争光 我是燕赵儿女要为河北争气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等一系列电视专题专栏，</w:t>
      </w:r>
      <w:r>
        <w:rPr>
          <w:rFonts w:hint="eastAsia" w:ascii="仿宋_GB2312" w:hAnsi="仿宋_GB2312" w:eastAsia="仿宋_GB2312" w:cs="仿宋_GB2312"/>
          <w:b w:val="0"/>
          <w:bCs w:val="0"/>
          <w:sz w:val="32"/>
          <w:szCs w:val="32"/>
          <w:lang w:val="en-US" w:eastAsia="zh-CN"/>
        </w:rPr>
        <w:t>聚焦我市落实习近平</w:t>
      </w:r>
      <w:bookmarkStart w:id="0" w:name="_GoBack"/>
      <w:bookmarkEnd w:id="0"/>
      <w:r>
        <w:rPr>
          <w:rFonts w:hint="eastAsia" w:ascii="仿宋_GB2312" w:hAnsi="仿宋_GB2312" w:eastAsia="仿宋_GB2312" w:cs="仿宋_GB2312"/>
          <w:b w:val="0"/>
          <w:bCs w:val="0"/>
          <w:sz w:val="32"/>
          <w:szCs w:val="32"/>
          <w:lang w:val="en-US" w:eastAsia="zh-CN"/>
        </w:rPr>
        <w:t>总书记视察河北、视察石家庄时的重要讲话和重要指示精神，以及落实省委十届四次全会、市委十一届五次全会精神，围绕京津冀协同发展、经济总量过万亿、加快打造五个以上千亿级产业集群特别是推动生物医药和新一代电子信息两大产业率先突破、“6+2+2”等城市更新重点项目建设、优化营商环境、人才强市战略、乡村振兴等方面最新亮点成效，</w:t>
      </w:r>
      <w:r>
        <w:rPr>
          <w:rFonts w:hint="eastAsia" w:ascii="仿宋_GB2312" w:hAnsi="仿宋_GB2312" w:eastAsia="仿宋_GB2312" w:cs="仿宋_GB2312"/>
          <w:sz w:val="32"/>
          <w:szCs w:val="32"/>
          <w:lang w:val="en-US" w:eastAsia="zh-CN"/>
        </w:rPr>
        <w:t>推出了一大批有分量、有力度、有温度的重头新闻报道，唱响了主旋律，凝聚了正能量。</w:t>
      </w:r>
    </w:p>
    <w:p>
      <w:pPr>
        <w:numPr>
          <w:ilvl w:val="0"/>
          <w:numId w:val="0"/>
        </w:numPr>
        <w:ind w:firstLine="643" w:firstLineChars="200"/>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持续推进采访报道创新创优，建立规范新闻采编全流程的《新闻管理手册》，“准确安全、高质高效、融合传播、创新创优”做好新闻报道。</w:t>
      </w:r>
      <w:r>
        <w:rPr>
          <w:rFonts w:hint="eastAsia" w:ascii="仿宋_GB2312" w:hAnsi="仿宋_GB2312" w:eastAsia="仿宋_GB2312" w:cs="仿宋_GB2312"/>
          <w:b w:val="0"/>
          <w:bCs w:val="0"/>
          <w:sz w:val="32"/>
          <w:szCs w:val="32"/>
          <w:lang w:val="en-US" w:eastAsia="zh-CN"/>
        </w:rPr>
        <w:t>频道以《石家庄新闻》栏目为试点，编制完成</w:t>
      </w:r>
      <w:r>
        <w:rPr>
          <w:rFonts w:hint="eastAsia" w:ascii="仿宋_GB2312" w:hAnsi="仿宋_GB2312" w:eastAsia="仿宋_GB2312" w:cs="仿宋_GB2312"/>
          <w:sz w:val="32"/>
          <w:szCs w:val="32"/>
          <w:lang w:val="en-US" w:eastAsia="zh-CN"/>
        </w:rPr>
        <w:t>《石家庄新闻管理手册（2023试行版）》，涵盖了栏目运行各方面、各环节，包含新闻三级审签制度，栏目各岗位职责、管理细则、奖惩措施，以及节目模板等，为新闻模块化生产建立了标准化路径，为采编人员的新闻采制工作提供了直观的可操作的模板，提升了时政新闻报道的质效水平。尤其是针对“两会”“市委全会”等重大会议，创新报道形式，及时播发动态和参会代表的反响，增强了传播力、引导力、影响力。在市委主要领导调研活动、市委市政府重大决策等重要报道上，以新闻侧记、新闻链接的形式，及时跟进专题报道，出色的完成了一批时间紧、任务重、要求高的重点命题，同时全面提升了骨干团队的采编、加工综合能力。</w:t>
      </w:r>
    </w:p>
    <w:p>
      <w:pPr>
        <w:keepNext w:val="0"/>
        <w:keepLines w:val="0"/>
        <w:pageBreakBefore w:val="0"/>
        <w:widowControl w:val="0"/>
        <w:kinsoku/>
        <w:wordWrap/>
        <w:overflowPunct/>
        <w:topLinePunct w:val="0"/>
        <w:bidi w:val="0"/>
        <w:snapToGrid/>
        <w:spacing w:line="600" w:lineRule="exact"/>
        <w:ind w:firstLine="643" w:firstLineChars="200"/>
        <w:jc w:val="left"/>
        <w:textAlignment w:val="auto"/>
        <w:rPr>
          <w:rFonts w:hint="eastAsia" w:ascii="仿宋_GB2312" w:hAnsi="仿宋_GB2312" w:eastAsia="仿宋_GB2312" w:cs="仿宋_GB2312"/>
          <w:b/>
          <w:bCs/>
          <w:color w:val="auto"/>
          <w:kern w:val="2"/>
          <w:sz w:val="32"/>
          <w:szCs w:val="32"/>
          <w:lang w:val="en-US" w:eastAsia="zh-CN" w:bidi="ar-SA"/>
        </w:rPr>
      </w:pPr>
      <w:r>
        <w:rPr>
          <w:rFonts w:hint="eastAsia" w:ascii="楷体" w:hAnsi="楷体" w:eastAsia="楷体" w:cs="楷体"/>
          <w:b/>
          <w:bCs/>
          <w:sz w:val="32"/>
          <w:szCs w:val="32"/>
          <w:lang w:val="en-US" w:eastAsia="zh-CN"/>
        </w:rPr>
        <w:t>树立精品意识，打造精品力作，组织多角度、多层次、多形式的融媒报道，节目形态和传播效果令人耳目一新。</w:t>
      </w:r>
      <w:r>
        <w:rPr>
          <w:rStyle w:val="16"/>
          <w:rFonts w:hint="eastAsia" w:ascii="仿宋_GB2312" w:hAnsi="仿宋_GB2312" w:eastAsia="仿宋_GB2312" w:cs="仿宋_GB2312"/>
          <w:b w:val="0"/>
          <w:bCs/>
          <w:sz w:val="32"/>
          <w:szCs w:val="32"/>
          <w:shd w:val="clear" w:color="auto" w:fill="FFFFFF"/>
          <w:lang w:eastAsia="zh-CN"/>
        </w:rPr>
        <w:t>倾频道之力，打造</w:t>
      </w:r>
      <w:r>
        <w:rPr>
          <w:rStyle w:val="16"/>
          <w:rFonts w:hint="eastAsia" w:ascii="仿宋_GB2312" w:hAnsi="仿宋_GB2312" w:eastAsia="仿宋_GB2312" w:cs="仿宋_GB2312"/>
          <w:b w:val="0"/>
          <w:bCs/>
          <w:sz w:val="32"/>
          <w:szCs w:val="32"/>
          <w:shd w:val="clear" w:color="auto" w:fill="FFFFFF"/>
        </w:rPr>
        <w:t>现象级文化品牌</w:t>
      </w:r>
      <w:r>
        <w:rPr>
          <w:rStyle w:val="16"/>
          <w:rFonts w:hint="eastAsia" w:ascii="仿宋_GB2312" w:hAnsi="仿宋_GB2312" w:eastAsia="仿宋_GB2312" w:cs="仿宋_GB2312"/>
          <w:b w:val="0"/>
          <w:bCs/>
          <w:sz w:val="32"/>
          <w:szCs w:val="32"/>
          <w:shd w:val="clear" w:color="auto" w:fill="FFFFFF"/>
          <w:lang w:val="en-US" w:eastAsia="zh-CN"/>
        </w:rPr>
        <w:t>--</w:t>
      </w:r>
      <w:r>
        <w:rPr>
          <w:rStyle w:val="16"/>
          <w:rFonts w:hint="eastAsia" w:ascii="仿宋_GB2312" w:hAnsi="仿宋_GB2312" w:eastAsia="仿宋_GB2312" w:cs="仿宋_GB2312"/>
          <w:b w:val="0"/>
          <w:bCs/>
          <w:sz w:val="32"/>
          <w:szCs w:val="32"/>
          <w:shd w:val="clear" w:color="auto" w:fill="FFFFFF"/>
          <w:lang w:eastAsia="zh-CN"/>
        </w:rPr>
        <w:t>《遇见石家庄》</w:t>
      </w:r>
      <w:r>
        <w:rPr>
          <w:rStyle w:val="16"/>
          <w:rFonts w:hint="eastAsia" w:ascii="仿宋_GB2312" w:hAnsi="仿宋_GB2312" w:eastAsia="仿宋_GB2312" w:cs="仿宋_GB2312"/>
          <w:b w:val="0"/>
          <w:bCs/>
          <w:sz w:val="32"/>
          <w:szCs w:val="32"/>
          <w:shd w:val="clear" w:color="auto" w:fill="FFFFFF"/>
        </w:rPr>
        <w:t>，</w:t>
      </w:r>
      <w:r>
        <w:rPr>
          <w:rFonts w:hint="eastAsia" w:ascii="仿宋_GB2312" w:hAnsi="仿宋_GB2312" w:eastAsia="仿宋_GB2312" w:cs="仿宋_GB2312"/>
          <w:sz w:val="32"/>
          <w:szCs w:val="32"/>
        </w:rPr>
        <w:t>以“文化+揭秘+互动+纪实”手法，</w:t>
      </w:r>
      <w:r>
        <w:rPr>
          <w:rFonts w:hint="eastAsia" w:ascii="仿宋_GB2312" w:hAnsi="仿宋_GB2312" w:eastAsia="仿宋_GB2312" w:cs="仿宋_GB2312"/>
          <w:sz w:val="32"/>
          <w:szCs w:val="32"/>
          <w:lang w:val="en-US" w:eastAsia="zh-CN"/>
        </w:rPr>
        <w:t>让</w:t>
      </w:r>
      <w:r>
        <w:rPr>
          <w:rFonts w:hint="eastAsia" w:ascii="仿宋_GB2312" w:hAnsi="仿宋_GB2312" w:eastAsia="仿宋_GB2312" w:cs="仿宋_GB2312"/>
          <w:sz w:val="32"/>
          <w:szCs w:val="32"/>
        </w:rPr>
        <w:t>“文化</w:t>
      </w:r>
      <w:r>
        <w:rPr>
          <w:rFonts w:hint="eastAsia" w:ascii="仿宋_GB2312" w:hAnsi="仿宋_GB2312" w:eastAsia="仿宋_GB2312" w:cs="仿宋_GB2312"/>
          <w:sz w:val="32"/>
          <w:szCs w:val="32"/>
          <w:lang w:val="en-US" w:eastAsia="zh-CN"/>
        </w:rPr>
        <w:t>推广</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爆款</w:t>
      </w:r>
      <w:r>
        <w:rPr>
          <w:rFonts w:hint="eastAsia" w:ascii="仿宋_GB2312" w:hAnsi="仿宋_GB2312" w:eastAsia="仿宋_GB2312" w:cs="仿宋_GB2312"/>
          <w:sz w:val="32"/>
          <w:szCs w:val="32"/>
        </w:rPr>
        <w:t>传播”相得益彰。</w:t>
      </w:r>
      <w:r>
        <w:rPr>
          <w:rFonts w:hint="eastAsia" w:ascii="仿宋_GB2312" w:hAnsi="仿宋_GB2312" w:eastAsia="仿宋_GB2312" w:cs="仿宋_GB2312"/>
          <w:bCs/>
          <w:sz w:val="32"/>
          <w:szCs w:val="32"/>
          <w:lang w:eastAsia="zh-CN"/>
        </w:rPr>
        <w:t>年内完成首季十期节目的制作播出，取得良好的社会效果</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扣紧时代脉搏，创新方式方法，精品力作迭出。其中，《河北首针！从70万到3.3万 5岁罕见病男童重获“新生”》获得河北省新闻奖一等奖；《民生热点面对面——电视问政》获得河北广播电视推优活动栏目类一等奖；《问政·“12345”马上办》入选“TV地标2023电视和网络视听年度城市台优秀节目”；《“云顶”护绿人——戎喜民》获得河北广播电视推优活动段纪录片类一等奖；</w:t>
      </w:r>
      <w:r>
        <w:rPr>
          <w:rFonts w:hint="eastAsia" w:ascii="仿宋_GB2312" w:hAnsi="仿宋_GB2312" w:eastAsia="仿宋_GB2312" w:cs="仿宋_GB2312"/>
          <w:sz w:val="32"/>
          <w:szCs w:val="32"/>
        </w:rPr>
        <w:t>《霞光铺满象泉河-一走近河北省第九批(石家庄)支援阿里地区札达县工作组》</w:t>
      </w:r>
      <w:r>
        <w:rPr>
          <w:rFonts w:hint="eastAsia" w:ascii="仿宋_GB2312" w:hAnsi="仿宋_GB2312" w:eastAsia="仿宋_GB2312" w:cs="仿宋_GB2312"/>
          <w:sz w:val="32"/>
          <w:szCs w:val="32"/>
          <w:lang w:val="en-US" w:eastAsia="zh-CN"/>
        </w:rPr>
        <w:t>河北广播电视推优活动（2022年度）评选中获壹等奖。</w:t>
      </w:r>
    </w:p>
    <w:p>
      <w:pPr>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发力短视频，《遇见石家庄·Vlog｜央视主播王宁回家！是重逢 ，也是初见》</w:t>
      </w:r>
      <w:r>
        <w:rPr>
          <w:rFonts w:hint="eastAsia" w:ascii="仿宋_GB2312" w:hAnsi="仿宋_GB2312" w:eastAsia="仿宋_GB2312" w:cs="仿宋_GB2312"/>
          <w:sz w:val="32"/>
          <w:szCs w:val="32"/>
          <w:lang w:eastAsia="zh-CN"/>
        </w:rPr>
        <w:t>荣获“我爱石家庄”主题短视频展播评优活动一等奖，</w:t>
      </w:r>
      <w:r>
        <w:rPr>
          <w:rFonts w:hint="eastAsia" w:ascii="仿宋_GB2312" w:hAnsi="仿宋_GB2312" w:eastAsia="仿宋_GB2312" w:cs="仿宋_GB2312"/>
          <w:color w:val="auto"/>
          <w:kern w:val="2"/>
          <w:sz w:val="32"/>
          <w:szCs w:val="32"/>
          <w:lang w:val="en-US" w:eastAsia="zh-CN" w:bidi="ar-SA"/>
        </w:rPr>
        <w:t>得到市委主要领导高度评价。</w:t>
      </w:r>
      <w:r>
        <w:rPr>
          <w:rFonts w:hint="eastAsia" w:ascii="仿宋_GB2312" w:hAnsi="仿宋_GB2312" w:eastAsia="仿宋_GB2312" w:cs="仿宋_GB2312"/>
          <w:sz w:val="32"/>
          <w:szCs w:val="32"/>
          <w:lang w:eastAsia="zh-CN"/>
        </w:rPr>
        <w:t>频道</w:t>
      </w:r>
      <w:r>
        <w:rPr>
          <w:rFonts w:hint="eastAsia" w:ascii="仿宋_GB2312" w:hAnsi="仿宋_GB2312" w:eastAsia="仿宋_GB2312" w:cs="仿宋_GB2312"/>
          <w:color w:val="auto"/>
          <w:kern w:val="2"/>
          <w:sz w:val="32"/>
          <w:szCs w:val="32"/>
          <w:lang w:val="en-US" w:eastAsia="zh-CN" w:bidi="ar-SA"/>
        </w:rPr>
        <w:t>承接制作的《石家庄旅游宣传片》被确定为2023年“5.19中国旅游日”河北主会场活动主宣传片。同时，由“问政·12345马上办”节目衍生的短视频、专题视频，通过无线石家庄APP、快手号、抖音号等平台传播,得到了市民的广泛关注，点击量近4000万人次。</w:t>
      </w:r>
    </w:p>
    <w:p>
      <w:pPr>
        <w:pStyle w:val="2"/>
        <w:rPr>
          <w:rFonts w:hint="eastAsia" w:ascii="仿宋" w:hAnsi="仿宋" w:eastAsia="仿宋" w:cs="仿宋"/>
          <w:i w:val="0"/>
          <w:iCs w:val="0"/>
          <w:caps w:val="0"/>
          <w:color w:val="000000"/>
          <w:spacing w:val="0"/>
          <w:sz w:val="32"/>
          <w:szCs w:val="32"/>
          <w:shd w:val="clear" w:color="auto" w:fill="FFFFFF"/>
        </w:rPr>
      </w:pPr>
      <w:r>
        <w:rPr>
          <w:rFonts w:hint="eastAsia" w:ascii="楷体" w:hAnsi="楷体" w:eastAsia="楷体" w:cs="楷体"/>
          <w:b/>
          <w:bCs/>
          <w:color w:val="auto"/>
          <w:kern w:val="2"/>
          <w:sz w:val="32"/>
          <w:szCs w:val="32"/>
          <w:lang w:val="en-US" w:eastAsia="zh-CN" w:bidi="ar-SA"/>
        </w:rPr>
        <w:t>策划重点项目，提供实战平台，打造全媒体采编播一体化队伍</w:t>
      </w:r>
      <w:r>
        <w:rPr>
          <w:rFonts w:hint="eastAsia" w:ascii="仿宋_GB2312" w:hAnsi="仿宋_GB2312" w:eastAsia="仿宋_GB2312" w:cs="仿宋_GB2312"/>
          <w:color w:val="auto"/>
          <w:kern w:val="2"/>
          <w:sz w:val="32"/>
          <w:szCs w:val="32"/>
          <w:lang w:val="en-US" w:eastAsia="zh-CN" w:bidi="ar-SA"/>
        </w:rPr>
        <w:t>。今年先后推出《走近农特优品》、《遇见石家庄》等融媒互动体验重点项目，鼓励一批年轻采编力量担担子，扛大梁，</w:t>
      </w:r>
      <w:r>
        <w:rPr>
          <w:rFonts w:hint="eastAsia" w:ascii="仿宋_GB2312" w:hAnsi="仿宋_GB2312" w:eastAsia="仿宋_GB2312" w:cs="仿宋_GB2312"/>
          <w:i w:val="0"/>
          <w:iCs w:val="0"/>
          <w:caps w:val="0"/>
          <w:color w:val="000000"/>
          <w:spacing w:val="0"/>
          <w:sz w:val="32"/>
          <w:szCs w:val="32"/>
          <w:shd w:val="clear" w:color="auto" w:fill="FFFFFF"/>
        </w:rPr>
        <w:t>让</w:t>
      </w:r>
      <w:r>
        <w:rPr>
          <w:rFonts w:hint="eastAsia" w:ascii="仿宋_GB2312" w:hAnsi="仿宋_GB2312" w:eastAsia="仿宋_GB2312" w:cs="仿宋_GB2312"/>
          <w:i w:val="0"/>
          <w:iCs w:val="0"/>
          <w:caps w:val="0"/>
          <w:color w:val="000000"/>
          <w:spacing w:val="0"/>
          <w:sz w:val="32"/>
          <w:szCs w:val="32"/>
          <w:shd w:val="clear" w:color="auto" w:fill="FFFFFF"/>
          <w:lang w:eastAsia="zh-CN"/>
        </w:rPr>
        <w:t>这些年轻人</w:t>
      </w:r>
      <w:r>
        <w:rPr>
          <w:rFonts w:hint="eastAsia" w:ascii="仿宋_GB2312" w:hAnsi="仿宋_GB2312" w:eastAsia="仿宋_GB2312" w:cs="仿宋_GB2312"/>
          <w:i w:val="0"/>
          <w:iCs w:val="0"/>
          <w:caps w:val="0"/>
          <w:color w:val="000000"/>
          <w:spacing w:val="0"/>
          <w:sz w:val="32"/>
          <w:szCs w:val="32"/>
          <w:shd w:val="clear" w:color="auto" w:fill="FFFFFF"/>
        </w:rPr>
        <w:t>迅速成长为坐得了主播台、下得了一线采访、进得去机房采编的全能主播，</w:t>
      </w:r>
      <w:r>
        <w:rPr>
          <w:rFonts w:hint="eastAsia" w:ascii="仿宋_GB2312" w:hAnsi="仿宋_GB2312" w:eastAsia="仿宋_GB2312" w:cs="仿宋_GB2312"/>
          <w:i w:val="0"/>
          <w:iCs w:val="0"/>
          <w:caps w:val="0"/>
          <w:color w:val="000000"/>
          <w:spacing w:val="0"/>
          <w:sz w:val="32"/>
          <w:szCs w:val="32"/>
          <w:shd w:val="clear" w:color="auto" w:fill="FFFFFF"/>
          <w:lang w:eastAsia="zh-CN"/>
        </w:rPr>
        <w:t>尤其是</w:t>
      </w:r>
      <w:r>
        <w:rPr>
          <w:rFonts w:hint="eastAsia" w:ascii="仿宋_GB2312" w:hAnsi="仿宋_GB2312" w:eastAsia="仿宋_GB2312" w:cs="仿宋_GB2312"/>
          <w:i w:val="0"/>
          <w:iCs w:val="0"/>
          <w:caps w:val="0"/>
          <w:color w:val="000000"/>
          <w:spacing w:val="0"/>
          <w:sz w:val="32"/>
          <w:szCs w:val="32"/>
          <w:shd w:val="clear" w:color="auto" w:fill="FFFFFF"/>
        </w:rPr>
        <w:t>频道的优秀新闻主播杨旭一路披荆斩棘、勇摘中央广播电视总台2023主持人大赛桂冠。</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楷体" w:hAnsi="楷体" w:eastAsia="楷体" w:cs="楷体"/>
          <w:b/>
          <w:bCs/>
          <w:sz w:val="32"/>
          <w:szCs w:val="32"/>
          <w:lang w:val="en-US" w:eastAsia="zh-CN"/>
        </w:rPr>
        <w:t>发挥新闻频道平台优势和视频生产优势，问政+县区双轮驱动，频道“政务朋友圈”不断扩容</w:t>
      </w:r>
      <w:r>
        <w:rPr>
          <w:rFonts w:hint="eastAsia" w:ascii="楷体" w:hAnsi="楷体" w:eastAsia="楷体" w:cs="楷体"/>
          <w:sz w:val="32"/>
          <w:szCs w:val="32"/>
          <w:lang w:val="en-US" w:eastAsia="zh-CN"/>
        </w:rPr>
        <w:t>。</w:t>
      </w:r>
      <w:r>
        <w:rPr>
          <w:rFonts w:hint="eastAsia" w:ascii="仿宋_GB2312" w:hAnsi="仿宋_GB2312" w:eastAsia="仿宋_GB2312" w:cs="仿宋_GB2312"/>
          <w:sz w:val="32"/>
          <w:szCs w:val="32"/>
          <w:lang w:val="en-US" w:eastAsia="zh-CN"/>
        </w:rPr>
        <w:t>《电视问政》</w:t>
      </w:r>
      <w:r>
        <w:rPr>
          <w:rFonts w:hint="eastAsia" w:ascii="仿宋_GB2312" w:hAnsi="仿宋_GB2312" w:eastAsia="仿宋_GB2312" w:cs="仿宋_GB2312"/>
          <w:sz w:val="32"/>
          <w:szCs w:val="32"/>
        </w:rPr>
        <w:t>在原有演播室问政的基础上拓展形式和内容，开设“问政·12345马上办”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auto"/>
          <w:kern w:val="2"/>
          <w:sz w:val="32"/>
          <w:szCs w:val="32"/>
          <w:lang w:val="en-US" w:eastAsia="zh-CN" w:bidi="ar-SA"/>
        </w:rPr>
        <w:t>目前已经播出48期，拖欠工资、延期交房、上学难、办证难、出行难等70余件群众急难愁盼问题得到解决，</w:t>
      </w:r>
      <w:r>
        <w:rPr>
          <w:rFonts w:hint="eastAsia" w:ascii="仿宋_GB2312" w:hAnsi="仿宋_GB2312" w:eastAsia="仿宋_GB2312" w:cs="仿宋_GB2312"/>
          <w:sz w:val="32"/>
          <w:szCs w:val="32"/>
        </w:rPr>
        <w:t>真正实现了百姓与官员“零距离”、“面对面”沟通。</w:t>
      </w:r>
      <w:r>
        <w:rPr>
          <w:rFonts w:hint="eastAsia" w:ascii="仿宋_GB2312" w:hAnsi="仿宋_GB2312" w:eastAsia="仿宋_GB2312" w:cs="仿宋_GB2312"/>
          <w:sz w:val="32"/>
          <w:szCs w:val="32"/>
          <w:lang w:eastAsia="zh-CN"/>
        </w:rPr>
        <w:t>《县区进行时》加大县域政务资源的拓展，新达成与元氏的合作，矿区实现增量投放。几大品牌栏目各自发挥优势，</w:t>
      </w:r>
      <w:r>
        <w:rPr>
          <w:rFonts w:hint="eastAsia" w:ascii="仿宋_GB2312" w:hAnsi="仿宋_GB2312" w:eastAsia="仿宋_GB2312" w:cs="仿宋_GB2312"/>
          <w:b w:val="0"/>
          <w:bCs w:val="0"/>
          <w:sz w:val="32"/>
          <w:szCs w:val="32"/>
          <w:lang w:val="en-US" w:eastAsia="zh-CN"/>
        </w:rPr>
        <w:t>承制播出了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燕赵山海·公益检查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代表建议进行时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健康新主张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走进红十字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开往春天的地铁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等专栏专题，</w:t>
      </w:r>
      <w:r>
        <w:rPr>
          <w:rFonts w:hint="eastAsia" w:ascii="仿宋_GB2312" w:hAnsi="仿宋_GB2312" w:eastAsia="仿宋_GB2312" w:cs="仿宋_GB2312"/>
          <w:sz w:val="32"/>
          <w:szCs w:val="32"/>
          <w:lang w:eastAsia="zh-CN"/>
        </w:rPr>
        <w:t>频道的“朋友圈”不断实现扩容增容。</w:t>
      </w:r>
      <w:r>
        <w:rPr>
          <w:rFonts w:hint="eastAsia" w:ascii="仿宋_GB2312" w:hAnsi="仿宋_GB2312" w:eastAsia="仿宋_GB2312" w:cs="仿宋_GB2312"/>
          <w:sz w:val="32"/>
          <w:szCs w:val="32"/>
          <w:lang w:val="en-US" w:eastAsia="zh-CN"/>
        </w:rPr>
        <w:t>拓展了市检察院、市法院、市政法委、市司法局、市残联、城市更新中心、市企协、经开区、市城管局、市行政审批局、市数字资源局、市农业局、福彩、轨道集团等职能单位的合作，稳固了生态环境局、市发改委、石家庄警备区、市林业局、桥西区等一批客户的关系。</w:t>
      </w:r>
    </w:p>
    <w:p>
      <w:pPr>
        <w:keepNext w:val="0"/>
        <w:keepLines w:val="0"/>
        <w:pageBreakBefore w:val="0"/>
        <w:widowControl w:val="0"/>
        <w:kinsoku/>
        <w:wordWrap/>
        <w:overflowPunct/>
        <w:topLinePunct w:val="0"/>
        <w:autoSpaceDE/>
        <w:autoSpaceDN/>
        <w:bidi w:val="0"/>
        <w:adjustRightInd/>
        <w:snapToGrid/>
        <w:spacing w:line="240" w:lineRule="auto"/>
        <w:ind w:right="14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sz w:val="32"/>
          <w:szCs w:val="32"/>
          <w:lang w:val="en-US" w:eastAsia="zh-CN"/>
        </w:rPr>
        <w:t>新闻宣传守正创新，围绕党的二十大、习近平总书记视察河北视察石家庄等重大主题做好宣传报道。</w:t>
      </w:r>
      <w:r>
        <w:rPr>
          <w:rFonts w:hint="eastAsia" w:ascii="仿宋_GB2312" w:hAnsi="仿宋_GB2312" w:eastAsia="仿宋_GB2312" w:cs="仿宋_GB2312"/>
          <w:sz w:val="32"/>
          <w:szCs w:val="32"/>
          <w:lang w:val="en-US" w:eastAsia="zh-CN"/>
        </w:rPr>
        <w:t>紧紧围绕市委、市政府中心工作，按照台党委的部署，突出全面贯彻党的二十大这条主线，紧扣加快建设现代化、国际化美丽省会城市这一主题，重点围绕“6+1”专项行动、5大千亿级产业集群、“6+2+2”城市更新、乡村振兴等内容，加强主题策划，创新宣传形式和内容，全力做好“新时代 新征程 新伟业”、“撸起袖子加油干 风雨无阻向前行”专栏，为省会高质量发展营造浓厚舆论氛围。继续强化移动端，发挥新闻频率在新媒体端快、灵、活的特点，短视频产品和直播更加精致，推出了石家庄地理标识农产品系列直播等，新闻882传播力、影响力、引导力再上新台阶。</w:t>
      </w:r>
    </w:p>
    <w:p>
      <w:pPr>
        <w:keepNext w:val="0"/>
        <w:keepLines w:val="0"/>
        <w:pageBreakBefore w:val="0"/>
        <w:widowControl w:val="0"/>
        <w:kinsoku/>
        <w:wordWrap/>
        <w:overflowPunct/>
        <w:topLinePunct w:val="0"/>
        <w:autoSpaceDE/>
        <w:autoSpaceDN/>
        <w:bidi w:val="0"/>
        <w:adjustRightInd/>
        <w:snapToGrid/>
        <w:spacing w:line="560" w:lineRule="exact"/>
        <w:ind w:right="140"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 w:hAnsi="仿宋" w:eastAsia="仿宋" w:cs="仿宋"/>
          <w:b/>
          <w:bCs/>
          <w:sz w:val="32"/>
          <w:szCs w:val="32"/>
          <w:lang w:val="en-US" w:eastAsia="zh-CN"/>
        </w:rPr>
        <w:t>强化节目创新力，提升品牌节目活力和影响力。</w:t>
      </w:r>
      <w:r>
        <w:rPr>
          <w:rFonts w:hint="eastAsia" w:ascii="仿宋_GB2312" w:hAnsi="仿宋_GB2312" w:eastAsia="仿宋_GB2312" w:cs="仿宋_GB2312"/>
          <w:sz w:val="32"/>
          <w:szCs w:val="32"/>
          <w:lang w:val="en-US" w:eastAsia="zh-CN"/>
        </w:rPr>
        <w:t>《市长面对面》邀请每位副市长做客直播间2次，每期节目通过广播端和新媒体端收听收看平均40万人次，同时节目增加了《问题落实回头看》专题，将市民线上反映的问题落实情况，一一进行梳理，节目形式和效果受到市长马宇骏的充分肯定。《都市精英》对话人物200多位，先后推出“文化会客厅”、“巾帼建功”、“最美劳动者”、“石家庄工匠”、“聆听-对话民营企业家”、“双创青年行”等系列访谈，提升了新闻频率格调。《银发少年》节目打破原有的嘉宾访谈形式，关注老年人生活当中遇到各种困难、麻烦和疑问，提升了节目在老年群体的影响力，同时尝试组织惠老团购，获得听众认可，为下一步开拓产业打下基础。</w:t>
      </w:r>
    </w:p>
    <w:p>
      <w:pPr>
        <w:keepNext w:val="0"/>
        <w:keepLines w:val="0"/>
        <w:pageBreakBefore w:val="0"/>
        <w:widowControl w:val="0"/>
        <w:kinsoku/>
        <w:wordWrap/>
        <w:overflowPunct/>
        <w:topLinePunct w:val="0"/>
        <w:autoSpaceDE/>
        <w:autoSpaceDN/>
        <w:bidi w:val="0"/>
        <w:adjustRightInd/>
        <w:snapToGrid/>
        <w:spacing w:line="560" w:lineRule="exact"/>
        <w:ind w:right="140" w:firstLine="643" w:firstLineChars="200"/>
        <w:jc w:val="both"/>
        <w:textAlignment w:val="auto"/>
        <w:rPr>
          <w:rFonts w:hint="default" w:ascii="仿宋" w:hAnsi="仿宋" w:eastAsia="仿宋" w:cs="仿宋"/>
          <w:b/>
          <w:bCs/>
          <w:sz w:val="32"/>
          <w:szCs w:val="32"/>
          <w:lang w:val="en-US" w:eastAsia="zh-CN"/>
        </w:rPr>
      </w:pPr>
      <w:r>
        <w:rPr>
          <w:rFonts w:hint="eastAsia" w:ascii="仿宋" w:hAnsi="仿宋" w:eastAsia="仿宋" w:cs="仿宋"/>
          <w:b/>
          <w:bCs/>
          <w:sz w:val="32"/>
          <w:szCs w:val="32"/>
          <w:lang w:val="en-US" w:eastAsia="zh-CN"/>
        </w:rPr>
        <w:t>强化品牌活动影响力</w:t>
      </w:r>
    </w:p>
    <w:p>
      <w:pPr>
        <w:keepNext w:val="0"/>
        <w:keepLines w:val="0"/>
        <w:pageBreakBefore w:val="0"/>
        <w:widowControl w:val="0"/>
        <w:kinsoku/>
        <w:wordWrap/>
        <w:overflowPunct/>
        <w:topLinePunct w:val="0"/>
        <w:autoSpaceDE/>
        <w:autoSpaceDN/>
        <w:bidi w:val="0"/>
        <w:adjustRightInd/>
        <w:snapToGrid/>
        <w:spacing w:line="560" w:lineRule="exact"/>
        <w:ind w:right="14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4月“文化石家庄”中小学生主题知识竞赛的重启，及线下所有比赛。比赛设计题型3000多组，涵盖中国优秀传统文化知识、红色历史文化知识、中国共产党百年奋斗史、石家庄的历史文化知识和现代城市文化知识五个方面，并与石家庄学院历史学院师生达成深度合作。比赛经过初赛至决赛，全市18个县市区组队报名参赛，完成比赛8场，最终产生中小学组各6支代表队获奖。</w:t>
      </w:r>
    </w:p>
    <w:p>
      <w:pPr>
        <w:keepNext w:val="0"/>
        <w:keepLines w:val="0"/>
        <w:pageBreakBefore w:val="0"/>
        <w:widowControl w:val="0"/>
        <w:kinsoku/>
        <w:wordWrap/>
        <w:overflowPunct/>
        <w:topLinePunct w:val="0"/>
        <w:autoSpaceDE/>
        <w:autoSpaceDN/>
        <w:bidi w:val="0"/>
        <w:adjustRightInd/>
        <w:snapToGrid/>
        <w:spacing w:line="560" w:lineRule="exact"/>
        <w:ind w:right="14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月至6月，完成了“少年说·追梦新时代”石家庄市第六届青少年经典诵读比赛的策划招商、启动仪式、视频选拔、初赛、复赛、决赛等。1个多月，来自全市200多所中小学校的7400多名学生近2000个诵读作品参赛，开辟长安、桥西、新华、裕华、高新五大赛区赛场，经过初赛、复赛、决赛呈现出网络及现场共计60余场经典诵读盛会。历届比赛中规模最大，赛程最紧，获奖选手最多。</w:t>
      </w:r>
    </w:p>
    <w:p>
      <w:pPr>
        <w:keepNext w:val="0"/>
        <w:keepLines w:val="0"/>
        <w:pageBreakBefore w:val="0"/>
        <w:widowControl w:val="0"/>
        <w:kinsoku/>
        <w:wordWrap/>
        <w:overflowPunct/>
        <w:topLinePunct w:val="0"/>
        <w:autoSpaceDE/>
        <w:autoSpaceDN/>
        <w:bidi w:val="0"/>
        <w:adjustRightInd/>
        <w:snapToGrid/>
        <w:spacing w:line="560" w:lineRule="exact"/>
        <w:ind w:right="14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9-10月与文广旅联合推出“传承非遗 感悟匠心——石家庄长城沿线非遗体验游”，邀请亲子、退休、环卫、旅行社、大学生等百余人一起走进鹿泉、井陉、平山、正定、灵寿等非遗传承人，近距离感受非遗，为非遗传播添彩。同时开设直播和短视频，短视频传播再创新高，受到广大市民和非遗传承人的一致欢迎，进一步提高了新闻广播的美誉度。</w:t>
      </w:r>
    </w:p>
    <w:p>
      <w:pPr>
        <w:keepNext w:val="0"/>
        <w:keepLines w:val="0"/>
        <w:pageBreakBefore w:val="0"/>
        <w:widowControl w:val="0"/>
        <w:kinsoku/>
        <w:wordWrap/>
        <w:overflowPunct/>
        <w:topLinePunct w:val="0"/>
        <w:autoSpaceDE/>
        <w:autoSpaceDN/>
        <w:bidi w:val="0"/>
        <w:adjustRightInd/>
        <w:snapToGrid/>
        <w:spacing w:line="560" w:lineRule="exact"/>
        <w:ind w:right="14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月-11月“遇见石家庄”传统文化进校园项目，最后五场进校园活动，每周一场，走进金马小学、新石小学、育才小学、自强小学、范西路小学。线下开展经典诵读+名师讲堂活动，全程网络视频直播，获得参与小学肯定。</w:t>
      </w:r>
    </w:p>
    <w:p>
      <w:pPr>
        <w:keepNext w:val="0"/>
        <w:keepLines w:val="0"/>
        <w:pageBreakBefore w:val="0"/>
        <w:widowControl w:val="0"/>
        <w:kinsoku/>
        <w:wordWrap/>
        <w:overflowPunct/>
        <w:topLinePunct w:val="0"/>
        <w:autoSpaceDE/>
        <w:autoSpaceDN/>
        <w:bidi w:val="0"/>
        <w:adjustRightInd/>
        <w:snapToGrid/>
        <w:spacing w:line="560" w:lineRule="exact"/>
        <w:ind w:right="14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月至12月，完成“双争有我”石家庄第二届校园课本剧大赛，全市共170多个中小学幼儿园报名提交了200多组剧目参赛，从初赛到决赛，历时12天24场次。同时新媒体端大量发力，发布短视频精剪6条，微信推文4条，其中2条短视频及推文除新闻广播外，同步在交通广播、长城新媒体发布。现场同步录像制作复赛各剧目精彩90秒短视频，视频号发布获得参赛学校一致认可，新增评论180多条，增粉近100人。</w:t>
      </w: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hint="eastAsia" w:ascii="华文仿宋" w:hAnsi="华文仿宋" w:eastAsia="华文仿宋" w:cs="华文仿宋"/>
          <w:color w:val="FF0000"/>
          <w:sz w:val="32"/>
          <w:szCs w:val="32"/>
        </w:rPr>
      </w:pPr>
    </w:p>
    <w:p>
      <w:pPr>
        <w:keepNext w:val="0"/>
        <w:keepLines w:val="0"/>
        <w:pageBreakBefore w:val="0"/>
        <w:widowControl w:val="0"/>
        <w:kinsoku/>
        <w:wordWrap/>
        <w:overflowPunct/>
        <w:topLinePunct w:val="0"/>
        <w:autoSpaceDE/>
        <w:autoSpaceDN/>
        <w:bidi w:val="0"/>
        <w:spacing w:line="600" w:lineRule="exact"/>
        <w:ind w:firstLine="640" w:firstLineChars="200"/>
        <w:textAlignment w:val="auto"/>
        <w:rPr>
          <w:rFonts w:ascii="仿宋_GB2312" w:eastAsia="仿宋_GB2312"/>
          <w:sz w:val="32"/>
          <w:szCs w:val="32"/>
        </w:rPr>
      </w:pPr>
    </w:p>
    <w:p>
      <w:pPr>
        <w:numPr>
          <w:ilvl w:val="0"/>
          <w:numId w:val="0"/>
        </w:numPr>
        <w:adjustRightInd w:val="0"/>
        <w:snapToGrid w:val="0"/>
        <w:spacing w:line="580" w:lineRule="exact"/>
        <w:rPr>
          <w:rFonts w:hint="eastAsia" w:ascii="仿宋_GB2312" w:hAnsi="仿宋_GB2312" w:eastAsia="仿宋_GB2312" w:cs="仿宋_GB2312"/>
          <w:sz w:val="32"/>
          <w:szCs w:val="32"/>
        </w:rPr>
      </w:pPr>
    </w:p>
    <w:p>
      <w:pPr>
        <w:widowControl w:val="0"/>
        <w:numPr>
          <w:ilvl w:val="0"/>
          <w:numId w:val="0"/>
        </w:numPr>
        <w:adjustRightInd w:val="0"/>
        <w:snapToGrid w:val="0"/>
        <w:spacing w:line="580" w:lineRule="exact"/>
        <w:jc w:val="both"/>
        <w:rPr>
          <w:rFonts w:hint="eastAsia" w:ascii="仿宋_GB2312" w:hAnsi="仿宋_GB2312" w:eastAsia="仿宋_GB2312" w:cs="仿宋_GB2312"/>
          <w:sz w:val="32"/>
          <w:szCs w:val="32"/>
        </w:rPr>
      </w:pPr>
    </w:p>
    <w:tbl>
      <w:tblPr>
        <w:tblStyle w:val="13"/>
        <w:tblW w:w="93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
        <w:gridCol w:w="1029"/>
        <w:gridCol w:w="1148"/>
        <w:gridCol w:w="671"/>
        <w:gridCol w:w="656"/>
        <w:gridCol w:w="103"/>
        <w:gridCol w:w="836"/>
        <w:gridCol w:w="381"/>
        <w:gridCol w:w="418"/>
        <w:gridCol w:w="670"/>
        <w:gridCol w:w="371"/>
        <w:gridCol w:w="1076"/>
        <w:gridCol w:w="975"/>
        <w:gridCol w:w="809"/>
        <w:gridCol w:w="2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540" w:hRule="atLeast"/>
        </w:trPr>
        <w:tc>
          <w:tcPr>
            <w:tcW w:w="9384" w:type="dxa"/>
            <w:gridSpan w:val="1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themeColor="text1"/>
                <w:kern w:val="0"/>
                <w:sz w:val="40"/>
                <w:szCs w:val="40"/>
                <w:u w:val="none"/>
                <w:lang w:val="en-US" w:eastAsia="zh-CN" w:bidi="ar"/>
                <w14:textFill>
                  <w14:solidFill>
                    <w14:schemeClr w14:val="tx1"/>
                  </w14:solidFill>
                </w14:textFill>
              </w:rPr>
              <w:t>市级单位预算项目绩效自评表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315" w:hRule="atLeast"/>
        </w:trPr>
        <w:tc>
          <w:tcPr>
            <w:tcW w:w="9384" w:type="dxa"/>
            <w:gridSpan w:val="14"/>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360" w:hRule="atLeast"/>
        </w:trPr>
        <w:tc>
          <w:tcPr>
            <w:tcW w:w="1029"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填报单位：</w:t>
            </w:r>
          </w:p>
        </w:tc>
        <w:tc>
          <w:tcPr>
            <w:tcW w:w="1148"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石家庄广播电视台</w:t>
            </w:r>
          </w:p>
        </w:tc>
        <w:tc>
          <w:tcPr>
            <w:tcW w:w="1327"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320" w:type="dxa"/>
            <w:gridSpan w:val="3"/>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88"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447" w:type="dxa"/>
            <w:gridSpan w:val="2"/>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975"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1050" w:type="dxa"/>
            <w:gridSpan w:val="2"/>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375" w:hRule="atLeast"/>
        </w:trPr>
        <w:tc>
          <w:tcPr>
            <w:tcW w:w="102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基本情况</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26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sz w:val="20"/>
                <w:szCs w:val="20"/>
                <w:lang w:val="en-US" w:eastAsia="zh-CN"/>
              </w:rPr>
              <w:t>电视台运行经费</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实施(主管）单位</w:t>
            </w:r>
          </w:p>
        </w:tc>
        <w:tc>
          <w:tcPr>
            <w:tcW w:w="34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石家庄广播电视台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420" w:hRule="atLeast"/>
        </w:trPr>
        <w:tc>
          <w:tcPr>
            <w:tcW w:w="10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二、预算执行情况</w:t>
            </w:r>
          </w:p>
        </w:tc>
        <w:tc>
          <w:tcPr>
            <w:tcW w:w="24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预算安排情况（调整后）</w:t>
            </w:r>
          </w:p>
        </w:tc>
        <w:tc>
          <w:tcPr>
            <w:tcW w:w="24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资金到位情况</w:t>
            </w:r>
          </w:p>
        </w:tc>
        <w:tc>
          <w:tcPr>
            <w:tcW w:w="24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资金执行情况</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420" w:hRule="atLeast"/>
        </w:trPr>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预算数：</w:t>
            </w:r>
          </w:p>
        </w:tc>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到位数：</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Calibri" w:hAnsi="Calibri" w:eastAsia="宋体" w:cs="Calibri"/>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2000</w:t>
            </w:r>
          </w:p>
        </w:tc>
        <w:tc>
          <w:tcPr>
            <w:tcW w:w="10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（=执行数/预算数*100%）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500" w:hRule="atLeast"/>
        </w:trPr>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2000</w:t>
            </w:r>
          </w:p>
        </w:tc>
        <w:tc>
          <w:tcPr>
            <w:tcW w:w="1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2000</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其中：                     财政资金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2000</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280" w:hRule="atLeast"/>
        </w:trPr>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Calibri" w:hAnsi="Calibri" w:eastAsia="宋体" w:cs="Calibri"/>
                <w:i w:val="0"/>
                <w:iCs w:val="0"/>
                <w:color w:val="000000"/>
                <w:sz w:val="20"/>
                <w:szCs w:val="20"/>
                <w:u w:val="none"/>
              </w:rPr>
            </w:pPr>
          </w:p>
        </w:tc>
        <w:tc>
          <w:tcPr>
            <w:tcW w:w="132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其他</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465" w:hRule="atLeast"/>
        </w:trPr>
        <w:tc>
          <w:tcPr>
            <w:tcW w:w="10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三、目标完成情况</w:t>
            </w:r>
          </w:p>
        </w:tc>
        <w:tc>
          <w:tcPr>
            <w:tcW w:w="379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年度预期目标</w:t>
            </w:r>
          </w:p>
        </w:tc>
        <w:tc>
          <w:tcPr>
            <w:tcW w:w="351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具体完成情况</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总体完成率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120" w:hRule="atLeast"/>
        </w:trPr>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95"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全部完成</w:t>
            </w:r>
          </w:p>
        </w:tc>
        <w:tc>
          <w:tcPr>
            <w:tcW w:w="351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全部完成</w:t>
            </w:r>
          </w:p>
        </w:tc>
        <w:tc>
          <w:tcPr>
            <w:tcW w:w="10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210" w:hRule="atLeast"/>
        </w:trPr>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9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1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30" w:hRule="atLeast"/>
        </w:trPr>
        <w:tc>
          <w:tcPr>
            <w:tcW w:w="10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795"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51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420" w:hRule="atLeast"/>
        </w:trPr>
        <w:tc>
          <w:tcPr>
            <w:tcW w:w="1029"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年度绩效指标完成情况</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一级指标</w:t>
            </w:r>
          </w:p>
        </w:tc>
        <w:tc>
          <w:tcPr>
            <w:tcW w:w="13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4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预期指标值</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实际完成值</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54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产出指标（40）</w:t>
            </w:r>
          </w:p>
        </w:tc>
        <w:tc>
          <w:tcPr>
            <w:tcW w:w="1327" w:type="dxa"/>
            <w:gridSpan w:val="2"/>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数量指标（10分）</w:t>
            </w:r>
          </w:p>
        </w:tc>
        <w:tc>
          <w:tcPr>
            <w:tcW w:w="24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节目时长（5分）</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2000分钟以上</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30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开设专栏数（5分）</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8</w:t>
            </w:r>
            <w:r>
              <w:rPr>
                <w:rFonts w:hint="eastAsia" w:ascii="宋体" w:hAnsi="宋体" w:eastAsia="宋体" w:cs="宋体"/>
                <w:i w:val="0"/>
                <w:iCs w:val="0"/>
                <w:color w:val="000000"/>
                <w:kern w:val="0"/>
                <w:sz w:val="20"/>
                <w:szCs w:val="20"/>
                <w:u w:val="none"/>
                <w:lang w:val="en-US" w:eastAsia="zh-CN" w:bidi="ar"/>
              </w:rPr>
              <w:t>个以上</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40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质量指标（10分）</w:t>
            </w:r>
          </w:p>
        </w:tc>
        <w:tc>
          <w:tcPr>
            <w:tcW w:w="24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收视率（5分）</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平均</w:t>
            </w:r>
            <w:r>
              <w:rPr>
                <w:rStyle w:val="27"/>
                <w:rFonts w:eastAsia="宋体"/>
                <w:lang w:val="en-US" w:eastAsia="zh-CN" w:bidi="ar"/>
              </w:rPr>
              <w:t>0.3</w:t>
            </w:r>
            <w:r>
              <w:rPr>
                <w:rFonts w:hint="eastAsia" w:ascii="宋体" w:hAnsi="宋体" w:eastAsia="宋体" w:cs="宋体"/>
                <w:i w:val="0"/>
                <w:iCs w:val="0"/>
                <w:color w:val="000000"/>
                <w:kern w:val="0"/>
                <w:sz w:val="20"/>
                <w:szCs w:val="20"/>
                <w:u w:val="none"/>
                <w:lang w:val="en-US" w:eastAsia="zh-CN" w:bidi="ar"/>
              </w:rPr>
              <w:t>以上</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27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收视份额（5分）</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平均</w:t>
            </w:r>
            <w:r>
              <w:rPr>
                <w:rStyle w:val="27"/>
                <w:rFonts w:eastAsia="宋体"/>
                <w:lang w:val="en-US" w:eastAsia="zh-CN" w:bidi="ar"/>
              </w:rPr>
              <w:t>1</w:t>
            </w:r>
            <w:r>
              <w:rPr>
                <w:rFonts w:hint="eastAsia" w:ascii="宋体" w:hAnsi="宋体" w:eastAsia="宋体" w:cs="宋体"/>
                <w:i w:val="0"/>
                <w:iCs w:val="0"/>
                <w:color w:val="000000"/>
                <w:kern w:val="0"/>
                <w:sz w:val="20"/>
                <w:szCs w:val="20"/>
                <w:u w:val="none"/>
                <w:lang w:val="en-US" w:eastAsia="zh-CN" w:bidi="ar"/>
              </w:rPr>
              <w:t>以上</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27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时效指标（10分）</w:t>
            </w:r>
          </w:p>
        </w:tc>
        <w:tc>
          <w:tcPr>
            <w:tcW w:w="240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根据市委市政府重点工作开展，年度内完成宣传任务（10分）</w:t>
            </w:r>
          </w:p>
        </w:tc>
        <w:tc>
          <w:tcPr>
            <w:tcW w:w="144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紧跟工作部署和宣传安排</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27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0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4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27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成本指标（10分）</w:t>
            </w:r>
          </w:p>
        </w:tc>
        <w:tc>
          <w:tcPr>
            <w:tcW w:w="240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软硬件成本、人力成本等支出。（10分）</w:t>
            </w:r>
          </w:p>
        </w:tc>
        <w:tc>
          <w:tcPr>
            <w:tcW w:w="144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不超出预算</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30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0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4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70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1327" w:type="dxa"/>
            <w:gridSpan w:val="2"/>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预算执行率（10分）</w:t>
            </w:r>
          </w:p>
        </w:tc>
        <w:tc>
          <w:tcPr>
            <w:tcW w:w="24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按合同进度支付款项</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支付合同额的95%</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27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效益指标（40）</w:t>
            </w:r>
          </w:p>
        </w:tc>
        <w:tc>
          <w:tcPr>
            <w:tcW w:w="1327" w:type="dxa"/>
            <w:gridSpan w:val="2"/>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经济效益指标（10分）</w:t>
            </w:r>
          </w:p>
        </w:tc>
        <w:tc>
          <w:tcPr>
            <w:tcW w:w="240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保证收支平衡不超支（10分）</w:t>
            </w:r>
          </w:p>
        </w:tc>
        <w:tc>
          <w:tcPr>
            <w:tcW w:w="144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不超支保证节目效果</w:t>
            </w:r>
          </w:p>
        </w:tc>
        <w:tc>
          <w:tcPr>
            <w:tcW w:w="9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27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0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14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76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社会效益指标（10分）</w:t>
            </w:r>
          </w:p>
        </w:tc>
        <w:tc>
          <w:tcPr>
            <w:tcW w:w="24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实现良好宣传效果，提升市民对市委市政府重点工作关注和支持（5分）</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吸引市民关注</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80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借助多种平台传播石家庄正能量，好声音提升城市外宣美誉度（5分）</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多渠道实现国内外传播</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5</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84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生态效益指标（10分）</w:t>
            </w:r>
          </w:p>
        </w:tc>
        <w:tc>
          <w:tcPr>
            <w:tcW w:w="2408" w:type="dxa"/>
            <w:gridSpan w:val="5"/>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助力打造让本地人自豪、外地人向往的魅力之城，凝聚城市向心力和吸引力（10分）</w:t>
            </w:r>
          </w:p>
        </w:tc>
        <w:tc>
          <w:tcPr>
            <w:tcW w:w="1447"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形成城市宣传的良好氛围</w:t>
            </w:r>
          </w:p>
        </w:tc>
        <w:tc>
          <w:tcPr>
            <w:tcW w:w="97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60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vMerge w:val="restart"/>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可持续影响指标（20分）</w:t>
            </w:r>
          </w:p>
        </w:tc>
        <w:tc>
          <w:tcPr>
            <w:tcW w:w="24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记录城市更新蝶变过程，留存城市变迁影像档案（10分）</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全部录入媒资库保存</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56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27" w:type="dxa"/>
            <w:gridSpan w:val="2"/>
            <w:vMerge w:val="continue"/>
            <w:tcBorders>
              <w:top w:val="single" w:color="000000" w:sz="4" w:space="0"/>
              <w:left w:val="nil"/>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4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全媒体平台发布，形成持续的传播力、影响力（10分）</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节目与短视频同步传播</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w:t>
            </w:r>
            <w:r>
              <w:rPr>
                <w:rFonts w:hint="eastAsia" w:ascii="宋体" w:hAnsi="宋体" w:eastAsia="宋体" w:cs="宋体"/>
                <w:i w:val="0"/>
                <w:iCs w:val="0"/>
                <w:color w:val="000000"/>
                <w:kern w:val="0"/>
                <w:sz w:val="20"/>
                <w:szCs w:val="20"/>
                <w:u w:val="none"/>
                <w:lang w:val="en-US" w:eastAsia="zh-CN" w:bidi="ar"/>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51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（10分）</w:t>
            </w:r>
          </w:p>
        </w:tc>
        <w:tc>
          <w:tcPr>
            <w:tcW w:w="1327" w:type="dxa"/>
            <w:gridSpan w:val="2"/>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满意度指标（10分）</w:t>
            </w:r>
          </w:p>
        </w:tc>
        <w:tc>
          <w:tcPr>
            <w:tcW w:w="240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因调查难度较大分值调入其他项</w:t>
            </w:r>
          </w:p>
        </w:tc>
        <w:tc>
          <w:tcPr>
            <w:tcW w:w="14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Calibri" w:hAnsi="Calibri" w:eastAsia="宋体" w:cs="Calibri"/>
                <w:i w:val="0"/>
                <w:iCs w:val="0"/>
                <w:color w:val="000000"/>
                <w:sz w:val="20"/>
                <w:szCs w:val="20"/>
                <w:u w:val="none"/>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540" w:hRule="atLeast"/>
        </w:trPr>
        <w:tc>
          <w:tcPr>
            <w:tcW w:w="1029"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0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780" w:hRule="atLeast"/>
        </w:trPr>
        <w:tc>
          <w:tcPr>
            <w:tcW w:w="1029"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w:t>
            </w:r>
            <w:r>
              <w:rPr>
                <w:rFonts w:ascii="Calibri" w:hAnsi="Calibri" w:eastAsia="宋体" w:cs="Calibri"/>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t>存在问题、原因及下一步整改措施</w:t>
            </w:r>
          </w:p>
        </w:tc>
        <w:tc>
          <w:tcPr>
            <w:tcW w:w="8355"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因节目品质要求较高，成本把控比较困难，故出现超支情况。今后将进一步强化精细化运作和环节管控，加强流程把控，尽量压缩开支保持效果。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41" w:type="dxa"/>
          <w:trHeight w:val="604" w:hRule="atLeast"/>
        </w:trPr>
        <w:tc>
          <w:tcPr>
            <w:tcW w:w="2855" w:type="dxa"/>
            <w:gridSpan w:val="4"/>
            <w:tcBorders>
              <w:top w:val="nil"/>
              <w:left w:val="nil"/>
              <w:bottom w:val="nil"/>
              <w:right w:val="nil"/>
            </w:tcBorders>
            <w:shd w:val="clear" w:color="auto" w:fill="auto"/>
            <w:noWrap/>
            <w:tcMar>
              <w:top w:w="15" w:type="dxa"/>
              <w:left w:w="15" w:type="dxa"/>
              <w:right w:w="15" w:type="dxa"/>
            </w:tcMar>
            <w:vAlign w:val="center"/>
          </w:tcPr>
          <w:p>
            <w:pPr>
              <w:ind w:firstLine="600" w:firstLineChars="300"/>
              <w:jc w:val="both"/>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填报人：邵猛</w:t>
            </w:r>
          </w:p>
        </w:tc>
        <w:tc>
          <w:tcPr>
            <w:tcW w:w="759" w:type="dxa"/>
            <w:gridSpan w:val="2"/>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36" w:type="dxa"/>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99" w:type="dxa"/>
            <w:gridSpan w:val="2"/>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041" w:type="dxa"/>
            <w:gridSpan w:val="2"/>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860" w:type="dxa"/>
            <w:gridSpan w:val="3"/>
            <w:tcBorders>
              <w:top w:val="nil"/>
              <w:left w:val="nil"/>
              <w:bottom w:val="nil"/>
              <w:right w:val="nil"/>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联系电话：13831192777</w:t>
            </w:r>
          </w:p>
        </w:tc>
      </w:tr>
    </w:tbl>
    <w:p>
      <w:pPr>
        <w:adjustRightInd w:val="0"/>
        <w:snapToGrid w:val="0"/>
        <w:spacing w:after="156" w:afterLines="50"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val="0"/>
          <w:bCs w:val="0"/>
          <w:sz w:val="32"/>
          <w:szCs w:val="32"/>
          <w:lang w:val="en-US" w:eastAsia="zh-CN"/>
        </w:rPr>
        <w:t>2、“融媒体建设补助”项目</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color w:val="000000" w:themeColor="text1"/>
          <w:sz w:val="32"/>
          <w:szCs w:val="32"/>
          <w14:textFill>
            <w14:solidFill>
              <w14:schemeClr w14:val="tx1"/>
            </w14:solidFill>
          </w14:textFill>
        </w:rPr>
        <w:t>建成融媒体中心技术平台，为实现石家庄广播电视台广播、电视、新媒体业务的深度融合提供平台制作和发布技术支撑</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为实现媒体深度融合，广电媒体挺进互联网主阵地，实现移动优先提供技术引领和支撑</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为实现所有电视频道高清化搭建技术平台</w:t>
      </w:r>
      <w:r>
        <w:rPr>
          <w:rFonts w:hint="eastAsia" w:ascii="仿宋_GB2312" w:hAnsi="仿宋_GB2312" w:eastAsia="仿宋_GB2312" w:cs="仿宋_GB2312"/>
          <w:color w:val="000000" w:themeColor="text1"/>
          <w:sz w:val="32"/>
          <w:szCs w:val="32"/>
          <w:lang w:eastAsia="zh-CN"/>
          <w14:textFill>
            <w14:solidFill>
              <w14:schemeClr w14:val="tx1"/>
            </w14:solidFill>
          </w14:textFill>
        </w:rPr>
        <w:t>；为</w:t>
      </w:r>
      <w:r>
        <w:rPr>
          <w:rFonts w:hint="eastAsia" w:ascii="仿宋_GB2312" w:hAnsi="仿宋_GB2312" w:eastAsia="仿宋_GB2312" w:cs="仿宋_GB2312"/>
          <w:color w:val="000000" w:themeColor="text1"/>
          <w:sz w:val="32"/>
          <w:szCs w:val="32"/>
          <w14:textFill>
            <w14:solidFill>
              <w14:schemeClr w14:val="tx1"/>
            </w14:solidFill>
          </w14:textFill>
        </w:rPr>
        <w:t>完成1号综艺演播大厅为主的部分演播室的大屏及附属设施建设，提升大型活动节目录制质量和增加创收能力打好基础</w:t>
      </w:r>
      <w:r>
        <w:rPr>
          <w:rFonts w:hint="eastAsia" w:ascii="仿宋_GB2312" w:hAnsi="仿宋_GB2312" w:eastAsia="仿宋_GB2312" w:cs="仿宋_GB2312"/>
          <w:color w:val="000000" w:themeColor="text1"/>
          <w:sz w:val="32"/>
          <w:szCs w:val="32"/>
          <w:lang w:eastAsia="zh-CN"/>
          <w14:textFill>
            <w14:solidFill>
              <w14:schemeClr w14:val="tx1"/>
            </w14:solidFill>
          </w14:textFill>
        </w:rPr>
        <w:t>，并为</w:t>
      </w:r>
      <w:r>
        <w:rPr>
          <w:rFonts w:hint="eastAsia" w:ascii="仿宋_GB2312" w:hAnsi="仿宋_GB2312" w:eastAsia="仿宋_GB2312" w:cs="仿宋_GB2312"/>
          <w:color w:val="000000" w:themeColor="text1"/>
          <w:sz w:val="32"/>
          <w:szCs w:val="32"/>
          <w14:textFill>
            <w14:solidFill>
              <w14:schemeClr w14:val="tx1"/>
            </w14:solidFill>
          </w14:textFill>
        </w:rPr>
        <w:t>进一步完善现有的广播电视技术</w:t>
      </w:r>
      <w:r>
        <w:rPr>
          <w:rFonts w:hint="eastAsia" w:ascii="仿宋_GB2312" w:hAnsi="仿宋_GB2312" w:eastAsia="仿宋_GB2312" w:cs="仿宋_GB2312"/>
          <w:color w:val="000000" w:themeColor="text1"/>
          <w:sz w:val="32"/>
          <w:szCs w:val="32"/>
          <w:lang w:eastAsia="zh-CN"/>
          <w14:textFill>
            <w14:solidFill>
              <w14:schemeClr w14:val="tx1"/>
            </w14:solidFill>
          </w14:textFill>
        </w:rPr>
        <w:t>提供强大</w:t>
      </w:r>
      <w:r>
        <w:rPr>
          <w:rFonts w:hint="eastAsia" w:ascii="仿宋_GB2312" w:hAnsi="仿宋_GB2312" w:eastAsia="仿宋_GB2312" w:cs="仿宋_GB2312"/>
          <w:color w:val="000000" w:themeColor="text1"/>
          <w:sz w:val="32"/>
          <w:szCs w:val="32"/>
          <w14:textFill>
            <w14:solidFill>
              <w14:schemeClr w14:val="tx1"/>
            </w14:solidFill>
          </w14:textFill>
        </w:rPr>
        <w:t>保障措施。</w:t>
      </w:r>
    </w:p>
    <w:tbl>
      <w:tblPr>
        <w:tblStyle w:val="13"/>
        <w:tblpPr w:leftFromText="180" w:rightFromText="180" w:vertAnchor="text" w:horzAnchor="page" w:tblpX="1567" w:tblpY="97"/>
        <w:tblOverlap w:val="never"/>
        <w:tblW w:w="860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22"/>
        <w:gridCol w:w="1496"/>
        <w:gridCol w:w="852"/>
        <w:gridCol w:w="973"/>
        <w:gridCol w:w="917"/>
        <w:gridCol w:w="934"/>
        <w:gridCol w:w="1016"/>
        <w:gridCol w:w="1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8602"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小标宋_GBK" w:hAnsi="方正小标宋_GBK" w:eastAsia="方正小标宋_GBK" w:cs="方正小标宋_GBK"/>
                <w:i w:val="0"/>
                <w:iCs w:val="0"/>
                <w:color w:val="000000"/>
                <w:sz w:val="40"/>
                <w:szCs w:val="40"/>
                <w:u w:val="none"/>
              </w:rPr>
            </w:pPr>
            <w:r>
              <w:rPr>
                <w:rFonts w:hint="eastAsia" w:ascii="方正小标宋_GBK" w:hAnsi="方正小标宋_GBK" w:eastAsia="方正小标宋_GBK" w:cs="方正小标宋_GBK"/>
                <w:i w:val="0"/>
                <w:iCs w:val="0"/>
                <w:color w:val="000000" w:themeColor="text1"/>
                <w:kern w:val="0"/>
                <w:sz w:val="40"/>
                <w:szCs w:val="40"/>
                <w:u w:val="none"/>
                <w:lang w:val="en-US" w:eastAsia="zh-CN" w:bidi="ar"/>
                <w14:textFill>
                  <w14:solidFill>
                    <w14:schemeClr w14:val="tx1"/>
                  </w14:solidFill>
                </w14:textFill>
              </w:rPr>
              <w:t>市级单位预算项目绩效自评表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8602" w:type="dxa"/>
            <w:gridSpan w:val="8"/>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2023 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填报单位：</w:t>
            </w:r>
          </w:p>
        </w:tc>
        <w:tc>
          <w:tcPr>
            <w:tcW w:w="149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石家庄广播电视台</w:t>
            </w:r>
          </w:p>
        </w:tc>
        <w:tc>
          <w:tcPr>
            <w:tcW w:w="852"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73"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1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3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016"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3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2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Style w:val="28"/>
                <w:lang w:val="en-US" w:eastAsia="zh-CN" w:bidi="ar"/>
              </w:rPr>
              <w:t>一、</w:t>
            </w:r>
            <w:r>
              <w:rPr>
                <w:rFonts w:ascii="Calibri" w:hAnsi="Calibri" w:eastAsia="宋体" w:cs="Calibri"/>
                <w:i w:val="0"/>
                <w:iCs w:val="0"/>
                <w:color w:val="000000"/>
                <w:kern w:val="0"/>
                <w:sz w:val="16"/>
                <w:szCs w:val="16"/>
                <w:u w:val="none"/>
                <w:lang w:val="en-US" w:eastAsia="zh-CN" w:bidi="ar"/>
              </w:rPr>
              <w:t xml:space="preserve"> </w:t>
            </w:r>
            <w:r>
              <w:rPr>
                <w:rStyle w:val="28"/>
                <w:lang w:val="en-US" w:eastAsia="zh-CN" w:bidi="ar"/>
              </w:rPr>
              <w:t>基本情况</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项目名称</w:t>
            </w:r>
          </w:p>
        </w:tc>
        <w:tc>
          <w:tcPr>
            <w:tcW w:w="1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融媒体建设补助资金</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实施(主管）单位</w:t>
            </w:r>
          </w:p>
        </w:tc>
        <w:tc>
          <w:tcPr>
            <w:tcW w:w="33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石家庄广播电视台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二、预算执行情况</w:t>
            </w:r>
          </w:p>
        </w:tc>
        <w:tc>
          <w:tcPr>
            <w:tcW w:w="23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预算安排情况（调整后）</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资金到位情况</w:t>
            </w:r>
          </w:p>
        </w:tc>
        <w:tc>
          <w:tcPr>
            <w:tcW w:w="19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资金执行情况</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预算执行进度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预算数：</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800</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到位数：</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执行数：</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800</w:t>
            </w:r>
          </w:p>
        </w:tc>
        <w:tc>
          <w:tcPr>
            <w:tcW w:w="13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（=执行数/预算数*100%）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其中：财政资金</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800</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其中：财政资金</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800</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其中：财政资金</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800</w:t>
            </w:r>
          </w:p>
        </w:tc>
        <w:tc>
          <w:tcPr>
            <w:tcW w:w="13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Calibri" w:hAnsi="Calibri" w:eastAsia="宋体" w:cs="Calibri"/>
                <w:i w:val="0"/>
                <w:iCs w:val="0"/>
                <w:color w:val="000000"/>
                <w:sz w:val="21"/>
                <w:szCs w:val="21"/>
                <w:u w:val="none"/>
              </w:rPr>
            </w:pP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w:t>
            </w:r>
          </w:p>
        </w:tc>
        <w:tc>
          <w:tcPr>
            <w:tcW w:w="91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其他</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6"/>
                <w:szCs w:val="16"/>
                <w:u w:val="none"/>
              </w:rPr>
            </w:pPr>
          </w:p>
        </w:tc>
        <w:tc>
          <w:tcPr>
            <w:tcW w:w="13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三、目标完成情况</w:t>
            </w:r>
          </w:p>
        </w:tc>
        <w:tc>
          <w:tcPr>
            <w:tcW w:w="332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年度预期目标</w:t>
            </w:r>
          </w:p>
        </w:tc>
        <w:tc>
          <w:tcPr>
            <w:tcW w:w="28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具体完成情况</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总体完成率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32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建成融媒体中心技术平台，为实现石家庄广播电视台广播、电视、新媒体业务的深度融合，提供平台制作和发布技术支撑。</w:t>
            </w:r>
          </w:p>
        </w:tc>
        <w:tc>
          <w:tcPr>
            <w:tcW w:w="28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项目进展顺利，已全部建设完成。</w:t>
            </w:r>
          </w:p>
        </w:tc>
        <w:tc>
          <w:tcPr>
            <w:tcW w:w="13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32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8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3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332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28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3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022"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Style w:val="28"/>
                <w:lang w:val="en-US" w:eastAsia="zh-CN" w:bidi="ar"/>
              </w:rPr>
              <w:t>四、</w:t>
            </w:r>
            <w:r>
              <w:rPr>
                <w:rFonts w:ascii="Calibri" w:hAnsi="Calibri" w:eastAsia="宋体" w:cs="Calibri"/>
                <w:i w:val="0"/>
                <w:iCs w:val="0"/>
                <w:color w:val="000000"/>
                <w:kern w:val="0"/>
                <w:sz w:val="16"/>
                <w:szCs w:val="16"/>
                <w:u w:val="none"/>
                <w:lang w:val="en-US" w:eastAsia="zh-CN" w:bidi="ar"/>
              </w:rPr>
              <w:t xml:space="preserve"> </w:t>
            </w:r>
            <w:r>
              <w:rPr>
                <w:rStyle w:val="28"/>
                <w:lang w:val="en-US" w:eastAsia="zh-CN" w:bidi="ar"/>
              </w:rPr>
              <w:t>年度绩效指标完成情况</w:t>
            </w: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一级指标</w:t>
            </w: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二级指标</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三级指标</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预期指标值</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实际完成值</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自评得分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2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产出指标（40）</w:t>
            </w:r>
          </w:p>
        </w:tc>
        <w:tc>
          <w:tcPr>
            <w:tcW w:w="85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数量指标</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建成软件和硬件设备数量</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已完成</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02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质量指标</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先进性</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已完成</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2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时效指标</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一年内完成</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已完成</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02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成本指标</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预算内</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已完成</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102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预算执行率指标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（10分）</w:t>
            </w:r>
          </w:p>
        </w:tc>
        <w:tc>
          <w:tcPr>
            <w:tcW w:w="852"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预算执行率</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按合同进度支付</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已完成</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2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vMerge w:val="restart"/>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效益指标（40）</w:t>
            </w:r>
          </w:p>
        </w:tc>
        <w:tc>
          <w:tcPr>
            <w:tcW w:w="85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经济效益指标</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提高收入</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已完成</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02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社会效益指标</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提升美誉度</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已完成</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102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生态效益指标</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台内技术系统</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已完成</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02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vMerge w:val="continue"/>
            <w:tcBorders>
              <w:top w:val="nil"/>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85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可持续影响指标</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提升媒体满意度</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已完成</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2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14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（10分）</w:t>
            </w:r>
          </w:p>
        </w:tc>
        <w:tc>
          <w:tcPr>
            <w:tcW w:w="852"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满意度指标</w:t>
            </w:r>
          </w:p>
        </w:tc>
        <w:tc>
          <w:tcPr>
            <w:tcW w:w="18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满意度</w:t>
            </w:r>
          </w:p>
        </w:tc>
        <w:tc>
          <w:tcPr>
            <w:tcW w:w="9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≥95%</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已完成</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022" w:type="dxa"/>
            <w:vMerge w:val="continue"/>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宋体" w:hAnsi="宋体" w:eastAsia="宋体" w:cs="宋体"/>
                <w:i w:val="0"/>
                <w:iCs w:val="0"/>
                <w:color w:val="000000"/>
                <w:sz w:val="16"/>
                <w:szCs w:val="16"/>
                <w:u w:val="none"/>
              </w:rPr>
            </w:pPr>
          </w:p>
        </w:tc>
        <w:tc>
          <w:tcPr>
            <w:tcW w:w="618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总分</w:t>
            </w:r>
          </w:p>
        </w:tc>
        <w:tc>
          <w:tcPr>
            <w:tcW w:w="13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102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五、</w:t>
            </w:r>
            <w:r>
              <w:rPr>
                <w:rFonts w:ascii="Calibri" w:hAnsi="Calibri" w:eastAsia="宋体" w:cs="Calibri"/>
                <w:i w:val="0"/>
                <w:iCs w:val="0"/>
                <w:color w:val="000000"/>
                <w:kern w:val="0"/>
                <w:sz w:val="16"/>
                <w:szCs w:val="16"/>
                <w:u w:val="none"/>
                <w:lang w:val="en-US" w:eastAsia="zh-CN" w:bidi="ar"/>
              </w:rPr>
              <w:t xml:space="preserve"> </w:t>
            </w:r>
            <w:r>
              <w:rPr>
                <w:rStyle w:val="28"/>
                <w:lang w:val="en-US" w:eastAsia="zh-CN" w:bidi="ar"/>
              </w:rPr>
              <w:t>存在问题、原因及下一步整改措施</w:t>
            </w:r>
          </w:p>
        </w:tc>
        <w:tc>
          <w:tcPr>
            <w:tcW w:w="758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媒体融合基础设施提升改造项目为石家庄广播电视台媒体融合转型提供了技术支撑，但是，从全国各地广播电视台的大形势看，媒体转型初期，经济效益和社会效益见效较慢，一方面除了基础的技术支撑之外，媒体运营中新媒体产品的发展需要时间，在发展初期影响力需要逐步提高，经济效益中的提高收入和社会效益中的提升石家庄美誉度也需要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22"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填报人：</w:t>
            </w:r>
          </w:p>
        </w:tc>
        <w:tc>
          <w:tcPr>
            <w:tcW w:w="1496"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聂刚</w:t>
            </w:r>
          </w:p>
        </w:tc>
        <w:tc>
          <w:tcPr>
            <w:tcW w:w="852"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73"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17"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934" w:type="dxa"/>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16"/>
                <w:szCs w:val="16"/>
                <w:u w:val="none"/>
              </w:rPr>
            </w:pPr>
          </w:p>
        </w:tc>
        <w:tc>
          <w:tcPr>
            <w:tcW w:w="1016" w:type="dxa"/>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联系电话：</w:t>
            </w:r>
          </w:p>
        </w:tc>
        <w:tc>
          <w:tcPr>
            <w:tcW w:w="1392" w:type="dxa"/>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81586960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22"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49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852"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973"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917"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934"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016"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c>
          <w:tcPr>
            <w:tcW w:w="1392" w:type="dxa"/>
            <w:tcBorders>
              <w:top w:val="nil"/>
              <w:left w:val="nil"/>
              <w:bottom w:val="nil"/>
              <w:right w:val="nil"/>
            </w:tcBorders>
            <w:shd w:val="clear" w:color="auto" w:fill="auto"/>
            <w:noWrap/>
            <w:vAlign w:val="bottom"/>
          </w:tcPr>
          <w:p>
            <w:pPr>
              <w:rPr>
                <w:rFonts w:hint="eastAsia" w:ascii="宋体" w:hAnsi="宋体" w:eastAsia="宋体" w:cs="宋体"/>
                <w:i w:val="0"/>
                <w:iCs w:val="0"/>
                <w:color w:val="000000"/>
                <w:sz w:val="22"/>
                <w:szCs w:val="22"/>
                <w:u w:val="none"/>
              </w:rPr>
            </w:pPr>
          </w:p>
        </w:tc>
      </w:tr>
    </w:tbl>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0" w:firstLineChars="200"/>
        <w:jc w:val="left"/>
        <w:textAlignment w:val="auto"/>
        <w:rPr>
          <w:rFonts w:hint="default" w:ascii="Times New Roman" w:hAnsi="Times New Roman" w:eastAsia="仿宋_GB2312" w:cs="Times New Roman"/>
          <w:color w:val="auto"/>
          <w:kern w:val="2"/>
          <w:sz w:val="32"/>
          <w:szCs w:val="32"/>
          <w:highlight w:val="yellow"/>
          <w:lang w:val="zh-CN" w:eastAsia="zh-CN" w:bidi="ar-SA"/>
        </w:rPr>
      </w:pP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0" w:beforeAutospacing="0" w:after="0" w:afterAutospacing="0"/>
        <w:ind w:left="0" w:right="0" w:firstLine="640" w:firstLineChars="20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color w:val="auto"/>
          <w:kern w:val="0"/>
          <w:sz w:val="32"/>
          <w:szCs w:val="32"/>
          <w:highlight w:val="none"/>
          <w:lang w:val="en-US" w:eastAsia="zh-CN" w:bidi="ar-SA"/>
        </w:rPr>
        <w:t>本单位2023年度通过项目实施，完成了年初设定的各项绩效目标，完成率为100%，未发现问题。</w:t>
      </w:r>
    </w:p>
    <w:p>
      <w:pPr>
        <w:numPr>
          <w:ilvl w:val="0"/>
          <w:numId w:val="4"/>
        </w:numPr>
        <w:adjustRightInd w:val="0"/>
        <w:snapToGrid w:val="0"/>
        <w:spacing w:line="580" w:lineRule="exact"/>
        <w:ind w:left="480" w:leftChars="200" w:firstLine="321" w:firstLineChars="100"/>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部门评价项目绩效评价结果</w:t>
      </w:r>
    </w:p>
    <w:p>
      <w:pPr>
        <w:keepNext/>
        <w:keepLines/>
        <w:numPr>
          <w:ilvl w:val="0"/>
          <w:numId w:val="0"/>
        </w:numPr>
        <w:snapToGrid w:val="0"/>
        <w:spacing w:line="580" w:lineRule="exact"/>
        <w:ind w:firstLine="480" w:firstLineChars="200"/>
        <w:outlineLvl w:val="1"/>
        <w:rPr>
          <w:rFonts w:hint="eastAsia" w:ascii="华文仿宋" w:hAnsi="华文仿宋" w:eastAsia="华文仿宋" w:cs="华文仿宋"/>
        </w:rPr>
      </w:pPr>
      <w:r>
        <w:rPr>
          <w:rFonts w:hint="eastAsia"/>
          <w:lang w:val="en-US" w:eastAsia="zh-CN"/>
        </w:rPr>
        <w:t xml:space="preserve"> </w:t>
      </w:r>
      <w:r>
        <w:rPr>
          <w:rFonts w:hint="eastAsia" w:ascii="仿宋_GB2312" w:hAnsi="仿宋_GB2312" w:eastAsia="仿宋_GB2312" w:cs="仿宋_GB2312"/>
          <w:b w:val="0"/>
          <w:bCs w:val="0"/>
          <w:sz w:val="32"/>
          <w:szCs w:val="32"/>
          <w:lang w:val="en-US" w:eastAsia="zh-CN"/>
        </w:rPr>
        <w:t>本单位综合绩效评价等级为优秀。</w:t>
      </w:r>
    </w:p>
    <w:p>
      <w:pPr>
        <w:pStyle w:val="2"/>
        <w:numPr>
          <w:ilvl w:val="0"/>
          <w:numId w:val="0"/>
        </w:numPr>
        <w:rPr>
          <w:rFonts w:hint="default" w:eastAsiaTheme="minorEastAsia"/>
          <w:lang w:val="en-US" w:eastAsia="zh-CN"/>
        </w:rPr>
      </w:pPr>
      <w:r>
        <w:rPr>
          <w:rFonts w:hint="eastAsia"/>
          <w:lang w:val="en-US" w:eastAsia="zh-CN"/>
        </w:rPr>
        <w:t xml:space="preserve"> </w:t>
      </w:r>
    </w:p>
    <w:p>
      <w:pPr>
        <w:adjustRightInd w:val="0"/>
        <w:snapToGrid w:val="0"/>
        <w:spacing w:line="580" w:lineRule="exact"/>
        <w:ind w:firstLine="640" w:firstLineChars="200"/>
        <w:rPr>
          <w:rFonts w:hint="default" w:ascii="Times New Roman" w:hAnsi="Times New Roman" w:eastAsia="楷体_GB2312" w:cs="Times New Roman"/>
          <w:b/>
          <w:bCs/>
          <w:sz w:val="32"/>
          <w:szCs w:val="32"/>
        </w:rPr>
      </w:pPr>
      <w:r>
        <w:rPr>
          <w:rFonts w:hint="default" w:ascii="Times New Roman" w:hAnsi="Times New Roman" w:eastAsia="黑体" w:cs="Times New Roman"/>
          <w:sz w:val="32"/>
          <w:szCs w:val="32"/>
        </w:rPr>
        <w:t>十、其他需要说明的情况</w:t>
      </w:r>
    </w:p>
    <w:p>
      <w:pPr>
        <w:adjustRightInd w:val="0"/>
        <w:snapToGrid w:val="0"/>
        <w:spacing w:line="600"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 xml:space="preserve">1. </w:t>
      </w:r>
      <w:r>
        <w:rPr>
          <w:rFonts w:hint="eastAsia" w:ascii="仿宋_GB2312" w:hAnsi="仿宋_GB2312" w:eastAsia="仿宋_GB2312" w:cs="仿宋_GB2312"/>
          <w:sz w:val="32"/>
          <w:szCs w:val="32"/>
        </w:rPr>
        <w:t>本部门2023年度</w:t>
      </w:r>
      <w:r>
        <w:rPr>
          <w:rFonts w:hint="eastAsia" w:ascii="仿宋_GB2312" w:hAnsi="仿宋_GB2312" w:eastAsia="仿宋_GB2312" w:cs="仿宋_GB2312"/>
          <w:sz w:val="32"/>
          <w:szCs w:val="32"/>
          <w:lang w:eastAsia="zh-CN"/>
        </w:rPr>
        <w:t>一般公共预算财政拨款基本支出决算表，一般公共预算财政拨款“三公”经费支出决算表，国有资本经营预算财政拨款支出决算表</w:t>
      </w:r>
      <w:r>
        <w:rPr>
          <w:rFonts w:hint="eastAsia" w:ascii="仿宋_GB2312" w:hAnsi="仿宋_GB2312" w:eastAsia="仿宋_GB2312" w:cs="仿宋_GB2312"/>
          <w:sz w:val="32"/>
          <w:szCs w:val="32"/>
        </w:rPr>
        <w:t>无收支及结转结余情况，故</w:t>
      </w:r>
      <w:r>
        <w:rPr>
          <w:rFonts w:hint="eastAsia" w:ascii="仿宋_GB2312" w:hAnsi="仿宋_GB2312" w:eastAsia="仿宋_GB2312" w:cs="仿宋_GB2312"/>
          <w:sz w:val="32"/>
          <w:szCs w:val="32"/>
          <w:lang w:eastAsia="zh-CN"/>
        </w:rPr>
        <w:t>一般公共预算财政拨款基本支出决算表，一般公共预算财政拨款“三公”经费支出决算表，国有资本经营预算财政拨款支出决算</w:t>
      </w:r>
      <w:r>
        <w:rPr>
          <w:rFonts w:hint="eastAsia" w:ascii="仿宋_GB2312" w:hAnsi="仿宋_GB2312" w:eastAsia="仿宋_GB2312" w:cs="仿宋_GB2312"/>
          <w:sz w:val="32"/>
          <w:szCs w:val="32"/>
        </w:rPr>
        <w:t>表以空表列示。</w:t>
      </w:r>
    </w:p>
    <w:p>
      <w:pPr>
        <w:adjustRightInd w:val="0"/>
        <w:snapToGrid w:val="0"/>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由于决算公开表格中金额数值应当保留两位小数，公开数据为四舍五入计算结果，个别数据合计项与分项之和存在小数点后差额，特此说明。</w:t>
      </w:r>
    </w:p>
    <w:p>
      <w:pP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br w:type="page"/>
      </w:r>
    </w:p>
    <w:p>
      <w:pPr>
        <w:widowControl/>
        <w:spacing w:line="580" w:lineRule="exact"/>
        <w:ind w:firstLine="883" w:firstLineChars="200"/>
        <w:jc w:val="left"/>
        <w:rPr>
          <w:rFonts w:hint="default" w:ascii="Times New Roman" w:hAnsi="Times New Roman" w:eastAsia="宋体" w:cs="Times New Roman"/>
          <w:b/>
          <w:bCs/>
          <w:kern w:val="0"/>
          <w:sz w:val="44"/>
          <w:szCs w:val="44"/>
        </w:rPr>
      </w:pPr>
    </w:p>
    <w:p>
      <w:pPr>
        <w:rPr>
          <w:rFonts w:hint="default" w:ascii="Times New Roman" w:hAnsi="Times New Roman" w:eastAsia="仿宋_GB2312" w:cs="Times New Roman"/>
          <w:sz w:val="32"/>
          <w:szCs w:val="32"/>
        </w:rPr>
      </w:pPr>
    </w:p>
    <w:p>
      <w:pPr>
        <w:widowControl/>
        <w:jc w:val="cente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p>
    <w:p>
      <w:pPr>
        <w:widowControl/>
        <w:jc w:val="cente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t>第四部分 相关名词解释</w:t>
      </w:r>
    </w:p>
    <w:p>
      <w:pP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pPr>
      <w:r>
        <w:rPr>
          <w:rFonts w:hint="default" w:ascii="Times New Roman" w:hAnsi="Times New Roman" w:eastAsia="黑体" w:cs="Times New Roman"/>
          <w:color w:val="000000" w:themeColor="text1"/>
          <w:sz w:val="44"/>
          <w:szCs w:val="44"/>
          <w14:shadow w14:blurRad="38100" w14:dist="22860" w14:dir="5400000" w14:sx="100000" w14:sy="100000" w14:kx="0" w14:ky="0" w14:algn="tl">
            <w14:srgbClr w14:val="000000">
              <w14:alpha w14:val="70000"/>
            </w14:srgbClr>
          </w14:shadow>
          <w14:textFill>
            <w14:solidFill>
              <w14:schemeClr w14:val="tx1"/>
            </w14:solidFill>
          </w14:textFill>
          <w14:props3d w14:extrusionH="0" w14:contourW="0" w14:prstMaterial="clear"/>
        </w:rPr>
        <w:br w:type="page"/>
      </w:r>
    </w:p>
    <w:p>
      <w:pPr>
        <w:rPr>
          <w:rFonts w:hint="default" w:ascii="Times New Roman" w:hAnsi="Times New Roman" w:eastAsia="仿宋_GB2312" w:cs="Times New Roman"/>
          <w:sz w:val="32"/>
          <w:szCs w:val="32"/>
        </w:rPr>
      </w:pPr>
    </w:p>
    <w:p>
      <w:pPr>
        <w:numPr>
          <w:ilvl w:val="0"/>
          <w:numId w:val="0"/>
        </w:numPr>
        <w:spacing w:line="580" w:lineRule="exact"/>
        <w:ind w:firstLine="643" w:firstLineChars="200"/>
        <w:rPr>
          <w:rFonts w:hint="default" w:ascii="Times New Roman" w:hAnsi="Times New Roman" w:eastAsia="仿宋_GB2312" w:cs="Times New Roman"/>
          <w:bCs/>
          <w:color w:val="000000"/>
          <w:kern w:val="0"/>
          <w:sz w:val="32"/>
          <w:szCs w:val="32"/>
        </w:rPr>
      </w:pPr>
      <w:r>
        <w:rPr>
          <w:rFonts w:hint="eastAsia" w:ascii="Times New Roman" w:hAnsi="Times New Roman" w:eastAsia="仿宋_GB2312" w:cs="Times New Roman"/>
          <w:b/>
          <w:bCs/>
          <w:color w:val="000000"/>
          <w:kern w:val="0"/>
          <w:sz w:val="32"/>
          <w:szCs w:val="32"/>
          <w:lang w:val="en-US" w:eastAsia="zh-CN"/>
        </w:rPr>
        <w:t>一、</w:t>
      </w:r>
      <w:r>
        <w:rPr>
          <w:rFonts w:hint="default" w:ascii="Times New Roman" w:hAnsi="Times New Roman" w:eastAsia="仿宋_GB2312" w:cs="Times New Roman"/>
          <w:b/>
          <w:bCs/>
          <w:color w:val="000000"/>
          <w:kern w:val="0"/>
          <w:sz w:val="32"/>
          <w:szCs w:val="32"/>
        </w:rPr>
        <w:t>财政拨款收入：</w:t>
      </w:r>
      <w:r>
        <w:rPr>
          <w:rFonts w:hint="default" w:ascii="Times New Roman" w:hAnsi="Times New Roman" w:eastAsia="仿宋_GB2312" w:cs="Times New Roman"/>
          <w:bCs/>
          <w:color w:val="000000"/>
          <w:kern w:val="0"/>
          <w:sz w:val="32"/>
          <w:szCs w:val="32"/>
        </w:rPr>
        <w:t>指单位从同级财政部门取得的财政预算资金。</w:t>
      </w:r>
    </w:p>
    <w:p>
      <w:pPr>
        <w:numPr>
          <w:ilvl w:val="0"/>
          <w:numId w:val="0"/>
        </w:numPr>
        <w:spacing w:line="580" w:lineRule="exact"/>
        <w:ind w:firstLine="643" w:firstLineChars="200"/>
        <w:rPr>
          <w:rFonts w:hint="default" w:ascii="Times New Roman" w:hAnsi="Times New Roman" w:eastAsia="仿宋_GB2312" w:cs="Times New Roman"/>
          <w:bCs/>
          <w:color w:val="000000"/>
          <w:kern w:val="0"/>
          <w:sz w:val="32"/>
          <w:szCs w:val="32"/>
        </w:rPr>
      </w:pPr>
      <w:r>
        <w:rPr>
          <w:rFonts w:hint="eastAsia" w:ascii="Times New Roman" w:hAnsi="Times New Roman" w:eastAsia="仿宋_GB2312" w:cs="Times New Roman"/>
          <w:b/>
          <w:bCs/>
          <w:color w:val="000000"/>
          <w:kern w:val="0"/>
          <w:sz w:val="32"/>
          <w:szCs w:val="32"/>
          <w:lang w:val="en-US" w:eastAsia="zh-CN"/>
        </w:rPr>
        <w:t>二、</w:t>
      </w:r>
      <w:r>
        <w:rPr>
          <w:rFonts w:hint="default" w:ascii="Times New Roman" w:hAnsi="Times New Roman" w:eastAsia="仿宋_GB2312" w:cs="Times New Roman"/>
          <w:b/>
          <w:bCs/>
          <w:color w:val="000000"/>
          <w:kern w:val="0"/>
          <w:sz w:val="32"/>
          <w:szCs w:val="32"/>
        </w:rPr>
        <w:t>事业收入：</w:t>
      </w:r>
      <w:r>
        <w:rPr>
          <w:rFonts w:hint="default" w:ascii="Times New Roman" w:hAnsi="Times New Roman" w:eastAsia="仿宋_GB2312" w:cs="Times New Roman"/>
          <w:bCs/>
          <w:color w:val="000000"/>
          <w:kern w:val="0"/>
          <w:sz w:val="32"/>
          <w:szCs w:val="32"/>
        </w:rPr>
        <w:t>指事业单位开展专业业务活动及辅助活动取得的收入。</w:t>
      </w:r>
    </w:p>
    <w:p>
      <w:pPr>
        <w:numPr>
          <w:ilvl w:val="0"/>
          <w:numId w:val="0"/>
        </w:numPr>
        <w:spacing w:line="580" w:lineRule="exact"/>
        <w:ind w:firstLine="643" w:firstLineChars="200"/>
        <w:rPr>
          <w:rFonts w:hint="default" w:ascii="Times New Roman" w:hAnsi="Times New Roman" w:eastAsia="仿宋_GB2312" w:cs="Times New Roman"/>
          <w:bCs/>
          <w:color w:val="000000"/>
          <w:kern w:val="0"/>
          <w:sz w:val="32"/>
          <w:szCs w:val="32"/>
        </w:rPr>
      </w:pPr>
      <w:r>
        <w:rPr>
          <w:rFonts w:hint="eastAsia" w:ascii="Times New Roman" w:hAnsi="Times New Roman" w:eastAsia="仿宋_GB2312" w:cs="Times New Roman"/>
          <w:b/>
          <w:bCs/>
          <w:color w:val="000000"/>
          <w:kern w:val="0"/>
          <w:sz w:val="32"/>
          <w:szCs w:val="32"/>
          <w:lang w:val="en-US" w:eastAsia="zh-CN"/>
        </w:rPr>
        <w:t>三、</w:t>
      </w:r>
      <w:r>
        <w:rPr>
          <w:rFonts w:hint="default" w:ascii="Times New Roman" w:hAnsi="Times New Roman" w:eastAsia="仿宋_GB2312" w:cs="Times New Roman"/>
          <w:b/>
          <w:bCs/>
          <w:color w:val="000000"/>
          <w:kern w:val="0"/>
          <w:sz w:val="32"/>
          <w:szCs w:val="32"/>
        </w:rPr>
        <w:t>经营收入：</w:t>
      </w:r>
      <w:r>
        <w:rPr>
          <w:rFonts w:hint="default" w:ascii="Times New Roman" w:hAnsi="Times New Roman" w:eastAsia="仿宋_GB2312" w:cs="Times New Roman"/>
          <w:bCs/>
          <w:color w:val="000000"/>
          <w:kern w:val="0"/>
          <w:sz w:val="32"/>
          <w:szCs w:val="32"/>
        </w:rPr>
        <w:t>指事业单位在专业业务活动及其辅助活动之外开展非独立核算经营活动取得的收入。</w:t>
      </w:r>
    </w:p>
    <w:p>
      <w:pPr>
        <w:numPr>
          <w:ilvl w:val="0"/>
          <w:numId w:val="0"/>
        </w:numPr>
        <w:spacing w:line="580" w:lineRule="exact"/>
        <w:ind w:firstLine="643" w:firstLineChars="200"/>
        <w:rPr>
          <w:rFonts w:hint="default" w:ascii="Times New Roman" w:hAnsi="Times New Roman" w:eastAsia="仿宋_GB2312" w:cs="Times New Roman"/>
          <w:bCs/>
          <w:color w:val="000000"/>
          <w:kern w:val="0"/>
          <w:sz w:val="32"/>
          <w:szCs w:val="32"/>
        </w:rPr>
      </w:pPr>
      <w:r>
        <w:rPr>
          <w:rFonts w:hint="eastAsia" w:ascii="Times New Roman" w:hAnsi="Times New Roman" w:eastAsia="仿宋_GB2312" w:cs="Times New Roman"/>
          <w:b/>
          <w:bCs/>
          <w:color w:val="000000"/>
          <w:kern w:val="0"/>
          <w:sz w:val="32"/>
          <w:szCs w:val="32"/>
          <w:lang w:val="en-US" w:eastAsia="zh-CN"/>
        </w:rPr>
        <w:t>四、</w:t>
      </w:r>
      <w:r>
        <w:rPr>
          <w:rFonts w:hint="default" w:ascii="Times New Roman" w:hAnsi="Times New Roman" w:eastAsia="仿宋_GB2312" w:cs="Times New Roman"/>
          <w:b/>
          <w:bCs/>
          <w:color w:val="000000"/>
          <w:kern w:val="0"/>
          <w:sz w:val="32"/>
          <w:szCs w:val="32"/>
        </w:rPr>
        <w:t>其他收入：</w:t>
      </w:r>
      <w:r>
        <w:rPr>
          <w:rFonts w:hint="default" w:ascii="Times New Roman" w:hAnsi="Times New Roman" w:eastAsia="仿宋_GB2312" w:cs="Times New Roman"/>
          <w:bCs/>
          <w:color w:val="000000"/>
          <w:kern w:val="0"/>
          <w:sz w:val="32"/>
          <w:szCs w:val="32"/>
        </w:rPr>
        <w:t>指单位取得的除上述收入以外的各项收</w:t>
      </w:r>
    </w:p>
    <w:p>
      <w:pPr>
        <w:spacing w:line="580" w:lineRule="exact"/>
        <w:rPr>
          <w:rFonts w:hint="default" w:ascii="Times New Roman" w:hAnsi="Times New Roman" w:eastAsia="仿宋_GB2312" w:cs="Times New Roman"/>
          <w:b/>
          <w:bCs/>
          <w:color w:val="000000"/>
          <w:kern w:val="0"/>
          <w:sz w:val="32"/>
          <w:szCs w:val="32"/>
        </w:rPr>
      </w:pPr>
      <w:r>
        <w:rPr>
          <w:rFonts w:hint="default" w:ascii="Times New Roman" w:hAnsi="Times New Roman" w:eastAsia="仿宋_GB2312" w:cs="Times New Roman"/>
          <w:bCs/>
          <w:color w:val="000000"/>
          <w:kern w:val="0"/>
          <w:sz w:val="32"/>
          <w:szCs w:val="32"/>
        </w:rPr>
        <w:t>入。主要是事业单位固定资产出租收入、存款利息收入等。</w:t>
      </w:r>
    </w:p>
    <w:p>
      <w:pPr>
        <w:spacing w:line="580" w:lineRule="exact"/>
        <w:ind w:firstLine="643" w:firstLineChars="200"/>
        <w:rPr>
          <w:rFonts w:hint="default" w:ascii="Times New Roman" w:hAnsi="Times New Roman" w:eastAsia="仿宋_GB2312" w:cs="Times New Roman"/>
          <w:bCs/>
          <w:color w:val="000000"/>
          <w:kern w:val="0"/>
          <w:sz w:val="32"/>
          <w:szCs w:val="32"/>
        </w:rPr>
      </w:pPr>
      <w:r>
        <w:rPr>
          <w:rFonts w:hint="eastAsia" w:ascii="Times New Roman" w:hAnsi="Times New Roman" w:eastAsia="仿宋_GB2312" w:cs="Times New Roman"/>
          <w:b/>
          <w:bCs/>
          <w:color w:val="000000"/>
          <w:kern w:val="0"/>
          <w:sz w:val="32"/>
          <w:szCs w:val="32"/>
          <w:lang w:val="en-US" w:eastAsia="zh-CN"/>
        </w:rPr>
        <w:t>五、</w:t>
      </w:r>
      <w:r>
        <w:rPr>
          <w:rFonts w:hint="default" w:ascii="Times New Roman" w:hAnsi="Times New Roman" w:eastAsia="仿宋_GB2312" w:cs="Times New Roman"/>
          <w:b/>
          <w:bCs/>
          <w:color w:val="000000"/>
          <w:kern w:val="0"/>
          <w:sz w:val="32"/>
          <w:szCs w:val="32"/>
        </w:rPr>
        <w:t>使用非财政拨款结余（含专用结余）：</w:t>
      </w:r>
      <w:r>
        <w:rPr>
          <w:rFonts w:hint="default" w:ascii="Times New Roman" w:hAnsi="Times New Roman" w:eastAsia="仿宋_GB2312" w:cs="Times New Roman"/>
          <w:bCs/>
          <w:color w:val="000000"/>
          <w:kern w:val="0"/>
          <w:sz w:val="32"/>
          <w:szCs w:val="32"/>
        </w:rPr>
        <w:t>指事业单位按照预算管理要求使用非财政拨款结余弥补收支差额的金额，以及使用专用结余安排支出的金额。</w:t>
      </w:r>
    </w:p>
    <w:p>
      <w:pPr>
        <w:numPr>
          <w:ilvl w:val="0"/>
          <w:numId w:val="0"/>
        </w:numPr>
        <w:spacing w:line="580" w:lineRule="exact"/>
        <w:ind w:firstLine="643" w:firstLineChars="200"/>
        <w:rPr>
          <w:rFonts w:hint="default" w:ascii="Times New Roman" w:hAnsi="Times New Roman" w:eastAsia="仿宋_GB2312" w:cs="Times New Roman"/>
          <w:bCs/>
          <w:color w:val="000000"/>
          <w:kern w:val="0"/>
          <w:sz w:val="32"/>
          <w:szCs w:val="32"/>
        </w:rPr>
      </w:pPr>
      <w:r>
        <w:rPr>
          <w:rFonts w:hint="eastAsia" w:ascii="Times New Roman" w:hAnsi="Times New Roman" w:eastAsia="仿宋_GB2312" w:cs="Times New Roman"/>
          <w:b/>
          <w:bCs/>
          <w:color w:val="000000"/>
          <w:kern w:val="0"/>
          <w:sz w:val="32"/>
          <w:szCs w:val="32"/>
          <w:lang w:val="en-US" w:eastAsia="zh-CN"/>
        </w:rPr>
        <w:t>六、</w:t>
      </w:r>
      <w:r>
        <w:rPr>
          <w:rFonts w:hint="default" w:ascii="Times New Roman" w:hAnsi="Times New Roman" w:eastAsia="仿宋_GB2312" w:cs="Times New Roman"/>
          <w:b/>
          <w:bCs/>
          <w:color w:val="000000"/>
          <w:kern w:val="0"/>
          <w:sz w:val="32"/>
          <w:szCs w:val="32"/>
        </w:rPr>
        <w:t>年初结转和结余：</w:t>
      </w:r>
      <w:r>
        <w:rPr>
          <w:rFonts w:hint="default" w:ascii="Times New Roman" w:hAnsi="Times New Roman" w:eastAsia="仿宋_GB2312" w:cs="Times New Roman"/>
          <w:bCs/>
          <w:color w:val="000000"/>
          <w:kern w:val="0"/>
          <w:sz w:val="32"/>
          <w:szCs w:val="32"/>
        </w:rPr>
        <w:t>指单位以前年度尚未完成、结转到本年仍按原规定用途继续使用的资金，或项目已完成等产生的结余资金。</w:t>
      </w:r>
    </w:p>
    <w:p>
      <w:pPr>
        <w:numPr>
          <w:ilvl w:val="0"/>
          <w:numId w:val="0"/>
        </w:numPr>
        <w:spacing w:line="580" w:lineRule="exact"/>
        <w:ind w:firstLine="643" w:firstLineChars="200"/>
        <w:rPr>
          <w:rFonts w:hint="default" w:ascii="Times New Roman" w:hAnsi="Times New Roman" w:eastAsia="仿宋_GB2312" w:cs="Times New Roman"/>
          <w:bCs/>
          <w:color w:val="000000"/>
          <w:kern w:val="0"/>
          <w:sz w:val="32"/>
          <w:szCs w:val="32"/>
        </w:rPr>
      </w:pPr>
      <w:r>
        <w:rPr>
          <w:rFonts w:hint="eastAsia" w:ascii="Times New Roman" w:hAnsi="Times New Roman" w:eastAsia="仿宋_GB2312" w:cs="Times New Roman"/>
          <w:b/>
          <w:bCs/>
          <w:color w:val="000000"/>
          <w:kern w:val="0"/>
          <w:sz w:val="32"/>
          <w:szCs w:val="32"/>
          <w:lang w:val="en-US" w:eastAsia="zh-CN"/>
        </w:rPr>
        <w:t>七、</w:t>
      </w:r>
      <w:r>
        <w:rPr>
          <w:rFonts w:hint="default" w:ascii="Times New Roman" w:hAnsi="Times New Roman" w:eastAsia="仿宋_GB2312" w:cs="Times New Roman"/>
          <w:b/>
          <w:bCs/>
          <w:color w:val="000000"/>
          <w:kern w:val="0"/>
          <w:sz w:val="32"/>
          <w:szCs w:val="32"/>
        </w:rPr>
        <w:t>结余分配：</w:t>
      </w:r>
      <w:r>
        <w:rPr>
          <w:rFonts w:hint="default" w:ascii="Times New Roman" w:hAnsi="Times New Roman" w:eastAsia="仿宋_GB2312" w:cs="Times New Roman"/>
          <w:bCs/>
          <w:color w:val="000000"/>
          <w:kern w:val="0"/>
          <w:sz w:val="32"/>
          <w:szCs w:val="32"/>
        </w:rPr>
        <w:t>指事业单位按照会计制度规定缴纳的所得税、提取的专用结余以及转入非财政拨款结余的金额等。</w:t>
      </w:r>
    </w:p>
    <w:p>
      <w:pPr>
        <w:numPr>
          <w:ilvl w:val="0"/>
          <w:numId w:val="0"/>
        </w:numPr>
        <w:spacing w:line="580" w:lineRule="exact"/>
        <w:ind w:firstLine="643" w:firstLineChars="200"/>
        <w:rPr>
          <w:rFonts w:hint="default" w:ascii="Times New Roman" w:hAnsi="Times New Roman" w:eastAsia="仿宋_GB2312" w:cs="Times New Roman"/>
          <w:bCs/>
          <w:color w:val="000000"/>
          <w:kern w:val="0"/>
          <w:sz w:val="32"/>
          <w:szCs w:val="32"/>
        </w:rPr>
      </w:pPr>
      <w:r>
        <w:rPr>
          <w:rFonts w:hint="eastAsia" w:ascii="Times New Roman" w:hAnsi="Times New Roman" w:eastAsia="仿宋_GB2312" w:cs="Times New Roman"/>
          <w:b/>
          <w:bCs/>
          <w:color w:val="000000"/>
          <w:kern w:val="0"/>
          <w:sz w:val="32"/>
          <w:szCs w:val="32"/>
          <w:lang w:val="en-US" w:eastAsia="zh-CN"/>
        </w:rPr>
        <w:t>八、</w:t>
      </w:r>
      <w:r>
        <w:rPr>
          <w:rFonts w:hint="default" w:ascii="Times New Roman" w:hAnsi="Times New Roman" w:eastAsia="仿宋_GB2312" w:cs="Times New Roman"/>
          <w:b/>
          <w:bCs/>
          <w:color w:val="000000"/>
          <w:kern w:val="0"/>
          <w:sz w:val="32"/>
          <w:szCs w:val="32"/>
        </w:rPr>
        <w:t>年末结转和结余：</w:t>
      </w:r>
      <w:r>
        <w:rPr>
          <w:rFonts w:hint="default" w:ascii="Times New Roman" w:hAnsi="Times New Roman" w:eastAsia="仿宋_GB2312" w:cs="Times New Roman"/>
          <w:bCs/>
          <w:color w:val="000000"/>
          <w:kern w:val="0"/>
          <w:sz w:val="32"/>
          <w:szCs w:val="32"/>
        </w:rPr>
        <w:t>指单位按有关规定结转到下年或以后年度继续使用的资金，或项目已完成等产生的结余资金。</w:t>
      </w:r>
    </w:p>
    <w:p>
      <w:pPr>
        <w:numPr>
          <w:ilvl w:val="0"/>
          <w:numId w:val="0"/>
        </w:numPr>
        <w:spacing w:line="580" w:lineRule="exact"/>
        <w:ind w:firstLine="643" w:firstLineChars="200"/>
        <w:rPr>
          <w:rFonts w:hint="default" w:ascii="Times New Roman" w:hAnsi="Times New Roman" w:eastAsia="仿宋_GB2312" w:cs="Times New Roman"/>
          <w:bCs/>
          <w:color w:val="000000"/>
          <w:kern w:val="0"/>
          <w:sz w:val="32"/>
          <w:szCs w:val="32"/>
        </w:rPr>
      </w:pPr>
      <w:r>
        <w:rPr>
          <w:rFonts w:hint="eastAsia" w:ascii="Times New Roman" w:hAnsi="Times New Roman" w:eastAsia="仿宋_GB2312" w:cs="Times New Roman"/>
          <w:b/>
          <w:bCs/>
          <w:color w:val="000000"/>
          <w:kern w:val="0"/>
          <w:sz w:val="32"/>
          <w:szCs w:val="32"/>
          <w:lang w:val="en-US" w:eastAsia="zh-CN"/>
        </w:rPr>
        <w:t>九、</w:t>
      </w:r>
      <w:r>
        <w:rPr>
          <w:rFonts w:hint="default" w:ascii="Times New Roman" w:hAnsi="Times New Roman" w:eastAsia="仿宋_GB2312" w:cs="Times New Roman"/>
          <w:b/>
          <w:bCs/>
          <w:color w:val="000000"/>
          <w:kern w:val="0"/>
          <w:sz w:val="32"/>
          <w:szCs w:val="32"/>
        </w:rPr>
        <w:t>基本支出：</w:t>
      </w:r>
      <w:r>
        <w:rPr>
          <w:rFonts w:hint="default" w:ascii="Times New Roman" w:hAnsi="Times New Roman" w:eastAsia="仿宋_GB2312" w:cs="Times New Roman"/>
          <w:bCs/>
          <w:color w:val="000000"/>
          <w:kern w:val="0"/>
          <w:sz w:val="32"/>
          <w:szCs w:val="32"/>
        </w:rPr>
        <w:t>指为保障机构正常运转、完成日常工作任务而发生的人员支出和公用支出。</w:t>
      </w:r>
    </w:p>
    <w:p>
      <w:pPr>
        <w:widowControl/>
        <w:spacing w:line="560" w:lineRule="exact"/>
        <w:ind w:firstLine="643" w:firstLineChars="200"/>
        <w:rPr>
          <w:rFonts w:hint="default" w:ascii="Times New Roman" w:hAnsi="Times New Roman" w:eastAsia="仿宋_GB2312" w:cs="Times New Roman"/>
          <w:color w:val="000000"/>
          <w:kern w:val="0"/>
          <w:sz w:val="32"/>
          <w:szCs w:val="32"/>
        </w:rPr>
      </w:pPr>
      <w:r>
        <w:rPr>
          <w:rFonts w:hint="eastAsia" w:ascii="Times New Roman" w:hAnsi="Times New Roman" w:eastAsia="仿宋_GB2312" w:cs="Times New Roman"/>
          <w:b/>
          <w:bCs/>
          <w:color w:val="000000"/>
          <w:kern w:val="0"/>
          <w:sz w:val="32"/>
          <w:szCs w:val="32"/>
          <w:lang w:val="en-US" w:eastAsia="zh-CN"/>
        </w:rPr>
        <w:t>十、</w:t>
      </w:r>
      <w:r>
        <w:rPr>
          <w:rFonts w:hint="default" w:ascii="Times New Roman" w:hAnsi="Times New Roman" w:eastAsia="仿宋_GB2312" w:cs="Times New Roman"/>
          <w:b/>
          <w:bCs/>
          <w:color w:val="000000"/>
          <w:kern w:val="0"/>
          <w:sz w:val="32"/>
          <w:szCs w:val="32"/>
        </w:rPr>
        <w:t>项目支出：</w:t>
      </w:r>
      <w:r>
        <w:rPr>
          <w:rFonts w:hint="default" w:ascii="Times New Roman" w:hAnsi="Times New Roman" w:eastAsia="仿宋_GB2312" w:cs="Times New Roman"/>
          <w:color w:val="000000"/>
          <w:kern w:val="0"/>
          <w:sz w:val="32"/>
          <w:szCs w:val="32"/>
        </w:rPr>
        <w:t>指在基本支出之外为完成特定行政任务和事业发展目标所发生的支出。</w:t>
      </w:r>
    </w:p>
    <w:p>
      <w:pPr>
        <w:widowControl/>
        <w:spacing w:line="560" w:lineRule="exact"/>
        <w:ind w:firstLine="643" w:firstLineChars="200"/>
        <w:rPr>
          <w:rFonts w:hint="default" w:ascii="Times New Roman" w:hAnsi="Times New Roman" w:eastAsia="仿宋_GB2312" w:cs="Times New Roman"/>
          <w:color w:val="000000"/>
          <w:kern w:val="0"/>
          <w:sz w:val="32"/>
          <w:szCs w:val="32"/>
        </w:rPr>
      </w:pPr>
      <w:r>
        <w:rPr>
          <w:rFonts w:hint="eastAsia" w:ascii="Times New Roman" w:hAnsi="Times New Roman" w:eastAsia="仿宋_GB2312" w:cs="Times New Roman"/>
          <w:b/>
          <w:bCs/>
          <w:color w:val="000000"/>
          <w:kern w:val="0"/>
          <w:sz w:val="32"/>
          <w:szCs w:val="32"/>
          <w:lang w:val="en-US" w:eastAsia="zh-CN"/>
        </w:rPr>
        <w:t>十一、</w:t>
      </w:r>
      <w:r>
        <w:rPr>
          <w:rFonts w:hint="default" w:ascii="Times New Roman" w:hAnsi="Times New Roman" w:eastAsia="仿宋_GB2312" w:cs="Times New Roman"/>
          <w:b/>
          <w:bCs/>
          <w:color w:val="000000"/>
          <w:kern w:val="0"/>
          <w:sz w:val="32"/>
          <w:szCs w:val="32"/>
        </w:rPr>
        <w:t>经营支出 ：</w:t>
      </w:r>
      <w:r>
        <w:rPr>
          <w:rFonts w:hint="default" w:ascii="Times New Roman" w:hAnsi="Times New Roman" w:eastAsia="仿宋_GB2312" w:cs="Times New Roman"/>
          <w:color w:val="000000"/>
          <w:kern w:val="0"/>
          <w:sz w:val="32"/>
          <w:szCs w:val="32"/>
        </w:rPr>
        <w:t>指事业单位在专业业务活动及其辅助活动之外开展非独立核算经营活动发生的支出。</w:t>
      </w:r>
    </w:p>
    <w:p>
      <w:pPr>
        <w:widowControl/>
        <w:spacing w:line="560" w:lineRule="exact"/>
        <w:ind w:firstLine="643" w:firstLineChars="200"/>
        <w:rPr>
          <w:rFonts w:hint="default" w:ascii="Times New Roman" w:hAnsi="Times New Roman" w:eastAsia="仿宋_GB2312" w:cs="Times New Roman"/>
          <w:color w:val="000000"/>
          <w:kern w:val="0"/>
          <w:sz w:val="32"/>
          <w:szCs w:val="32"/>
        </w:rPr>
      </w:pPr>
      <w:r>
        <w:rPr>
          <w:rFonts w:hint="eastAsia" w:ascii="Times New Roman" w:hAnsi="Times New Roman" w:eastAsia="仿宋_GB2312" w:cs="Times New Roman"/>
          <w:b/>
          <w:bCs/>
          <w:color w:val="000000"/>
          <w:kern w:val="0"/>
          <w:sz w:val="32"/>
          <w:szCs w:val="32"/>
          <w:lang w:val="en-US" w:eastAsia="zh-CN"/>
        </w:rPr>
        <w:t>十二、</w:t>
      </w:r>
      <w:r>
        <w:rPr>
          <w:rFonts w:hint="default" w:ascii="Times New Roman" w:hAnsi="Times New Roman" w:eastAsia="仿宋_GB2312" w:cs="Times New Roman"/>
          <w:b/>
          <w:bCs/>
          <w:color w:val="000000"/>
          <w:kern w:val="0"/>
          <w:sz w:val="32"/>
          <w:szCs w:val="32"/>
        </w:rPr>
        <w:t>基本建设支出：</w:t>
      </w:r>
      <w:r>
        <w:rPr>
          <w:rFonts w:hint="default" w:ascii="Times New Roman" w:hAnsi="Times New Roman" w:eastAsia="仿宋_GB2312" w:cs="Times New Roman"/>
          <w:color w:val="000000"/>
          <w:kern w:val="0"/>
          <w:sz w:val="32"/>
          <w:szCs w:val="32"/>
        </w:rPr>
        <w:t>填列由本级发展与改革部门集中安排的用于购置固定资产、战略性和应急性储备、土地和无形资产，以及购建基础设施、大型修缮所发生的一般公共预算财政拨款支出，不包括政府性基金、财政专户管理资金以及各类拼盘自筹资金等。</w:t>
      </w:r>
    </w:p>
    <w:p>
      <w:pPr>
        <w:widowControl/>
        <w:spacing w:line="560" w:lineRule="exact"/>
        <w:ind w:firstLine="643" w:firstLineChars="200"/>
        <w:rPr>
          <w:rFonts w:hint="default" w:ascii="Times New Roman" w:hAnsi="Times New Roman" w:eastAsia="仿宋_GB2312" w:cs="Times New Roman"/>
          <w:b/>
          <w:bCs/>
          <w:color w:val="000000"/>
          <w:kern w:val="0"/>
          <w:sz w:val="32"/>
          <w:szCs w:val="32"/>
        </w:rPr>
      </w:pPr>
      <w:r>
        <w:rPr>
          <w:rFonts w:hint="eastAsia" w:ascii="Times New Roman" w:hAnsi="Times New Roman" w:eastAsia="仿宋_GB2312" w:cs="Times New Roman"/>
          <w:b/>
          <w:bCs/>
          <w:color w:val="000000"/>
          <w:kern w:val="0"/>
          <w:sz w:val="32"/>
          <w:szCs w:val="32"/>
          <w:lang w:val="en-US" w:eastAsia="zh-CN"/>
        </w:rPr>
        <w:t>十三、</w:t>
      </w:r>
      <w:r>
        <w:rPr>
          <w:rFonts w:hint="default" w:ascii="Times New Roman" w:hAnsi="Times New Roman" w:eastAsia="仿宋_GB2312" w:cs="Times New Roman"/>
          <w:b/>
          <w:bCs/>
          <w:color w:val="000000"/>
          <w:kern w:val="0"/>
          <w:sz w:val="32"/>
          <w:szCs w:val="32"/>
        </w:rPr>
        <w:t>其他资本性支出：</w:t>
      </w:r>
      <w:r>
        <w:rPr>
          <w:rFonts w:hint="default" w:ascii="Times New Roman" w:hAnsi="Times New Roman" w:eastAsia="仿宋_GB2312" w:cs="Times New Roman"/>
          <w:color w:val="000000"/>
          <w:kern w:val="0"/>
          <w:sz w:val="32"/>
          <w:szCs w:val="32"/>
        </w:rPr>
        <w:t>填列由各级非发展与改革部门集中安排的用于购置固定资产、战备性和应急性储备、土地和无形资产，以及购建基础设施、大型修缮和财政支持企业更新改造所发生的支出。</w:t>
      </w:r>
    </w:p>
    <w:p>
      <w:pPr>
        <w:snapToGrid w:val="0"/>
        <w:spacing w:line="560" w:lineRule="exact"/>
        <w:ind w:firstLine="643" w:firstLineChars="200"/>
        <w:rPr>
          <w:rFonts w:hint="default" w:ascii="Times New Roman" w:hAnsi="Times New Roman" w:eastAsia="仿宋_GB2312" w:cs="Times New Roman"/>
          <w:color w:val="000000"/>
          <w:kern w:val="0"/>
          <w:sz w:val="32"/>
          <w:szCs w:val="32"/>
        </w:rPr>
      </w:pPr>
      <w:r>
        <w:rPr>
          <w:rFonts w:hint="eastAsia" w:ascii="Times New Roman" w:hAnsi="Times New Roman" w:eastAsia="仿宋_GB2312" w:cs="Times New Roman"/>
          <w:b/>
          <w:bCs/>
          <w:color w:val="000000"/>
          <w:kern w:val="0"/>
          <w:sz w:val="32"/>
          <w:szCs w:val="32"/>
          <w:lang w:val="en-US" w:eastAsia="zh-CN"/>
        </w:rPr>
        <w:t>十四、</w:t>
      </w:r>
      <w:r>
        <w:rPr>
          <w:rFonts w:hint="default" w:ascii="Times New Roman" w:hAnsi="Times New Roman" w:eastAsia="仿宋_GB2312" w:cs="Times New Roman"/>
          <w:b/>
          <w:bCs/>
          <w:color w:val="000000"/>
          <w:kern w:val="0"/>
          <w:sz w:val="32"/>
          <w:szCs w:val="32"/>
        </w:rPr>
        <w:t>“三公”经费：</w:t>
      </w:r>
      <w:r>
        <w:rPr>
          <w:rFonts w:hint="default" w:ascii="Times New Roman" w:hAnsi="Times New Roman" w:eastAsia="仿宋_GB2312" w:cs="Times New Roman"/>
          <w:color w:val="000000"/>
          <w:kern w:val="0"/>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按规定保留的公务用车燃料费、维修费、过桥过路费、保险费、安全奖励费用等支出；公务接待费反映单位按规定开支的各类公务接待（含外宾接待）支出。</w:t>
      </w:r>
    </w:p>
    <w:p>
      <w:pPr>
        <w:snapToGrid w:val="0"/>
        <w:spacing w:line="560" w:lineRule="exact"/>
        <w:ind w:firstLine="643" w:firstLineChars="200"/>
        <w:rPr>
          <w:rFonts w:hint="default" w:ascii="Times New Roman" w:hAnsi="Times New Roman" w:eastAsia="仿宋_GB2312" w:cs="Times New Roman"/>
          <w:color w:val="000000"/>
          <w:kern w:val="0"/>
          <w:sz w:val="32"/>
          <w:szCs w:val="32"/>
        </w:rPr>
      </w:pPr>
      <w:r>
        <w:rPr>
          <w:rFonts w:hint="eastAsia" w:ascii="Times New Roman" w:hAnsi="Times New Roman" w:eastAsia="仿宋_GB2312" w:cs="Times New Roman"/>
          <w:b/>
          <w:bCs/>
          <w:color w:val="000000"/>
          <w:kern w:val="0"/>
          <w:sz w:val="32"/>
          <w:szCs w:val="32"/>
          <w:lang w:val="en-US" w:eastAsia="zh-CN"/>
        </w:rPr>
        <w:t>十五、</w:t>
      </w:r>
      <w:r>
        <w:rPr>
          <w:rFonts w:hint="default" w:ascii="Times New Roman" w:hAnsi="Times New Roman" w:eastAsia="仿宋_GB2312" w:cs="Times New Roman"/>
          <w:b/>
          <w:bCs/>
          <w:color w:val="000000"/>
          <w:kern w:val="0"/>
          <w:sz w:val="32"/>
          <w:szCs w:val="32"/>
        </w:rPr>
        <w:t>其他交通费用：</w:t>
      </w:r>
      <w:r>
        <w:rPr>
          <w:rFonts w:hint="default" w:ascii="Times New Roman" w:hAnsi="Times New Roman" w:eastAsia="仿宋_GB2312" w:cs="Times New Roman"/>
          <w:color w:val="000000"/>
          <w:kern w:val="0"/>
          <w:sz w:val="32"/>
          <w:szCs w:val="32"/>
        </w:rPr>
        <w:t>填列单位除公务用车运行维护费以外的其他交通费用。如公务交通补贴、租车费用、出租车费用，飞机、船舶等燃料费、维修费、保险费等。</w:t>
      </w:r>
    </w:p>
    <w:p>
      <w:pPr>
        <w:widowControl/>
        <w:spacing w:line="560" w:lineRule="exact"/>
        <w:ind w:firstLine="643" w:firstLineChars="200"/>
        <w:rPr>
          <w:rFonts w:hint="default" w:ascii="Times New Roman" w:hAnsi="Times New Roman" w:eastAsia="仿宋_GB2312" w:cs="Times New Roman"/>
          <w:color w:val="000000"/>
          <w:kern w:val="0"/>
          <w:sz w:val="32"/>
          <w:szCs w:val="32"/>
        </w:rPr>
      </w:pPr>
      <w:r>
        <w:rPr>
          <w:rFonts w:hint="eastAsia" w:ascii="Times New Roman" w:hAnsi="Times New Roman" w:eastAsia="仿宋_GB2312" w:cs="Times New Roman"/>
          <w:b/>
          <w:bCs/>
          <w:color w:val="000000"/>
          <w:kern w:val="0"/>
          <w:sz w:val="32"/>
          <w:szCs w:val="32"/>
          <w:lang w:val="en-US" w:eastAsia="zh-CN"/>
        </w:rPr>
        <w:t>十六、</w:t>
      </w:r>
      <w:r>
        <w:rPr>
          <w:rFonts w:hint="default" w:ascii="Times New Roman" w:hAnsi="Times New Roman" w:eastAsia="仿宋_GB2312" w:cs="Times New Roman"/>
          <w:b/>
          <w:bCs/>
          <w:color w:val="000000"/>
          <w:kern w:val="0"/>
          <w:sz w:val="32"/>
          <w:szCs w:val="32"/>
        </w:rPr>
        <w:t>公务用车购置：</w:t>
      </w:r>
      <w:r>
        <w:rPr>
          <w:rFonts w:hint="default" w:ascii="Times New Roman" w:hAnsi="Times New Roman" w:eastAsia="仿宋_GB2312" w:cs="Times New Roman"/>
          <w:color w:val="000000"/>
          <w:kern w:val="0"/>
          <w:sz w:val="32"/>
          <w:szCs w:val="32"/>
        </w:rPr>
        <w:t>填列单位公务用车车辆购置支出（含车辆购置税、牌照费）。</w:t>
      </w:r>
    </w:p>
    <w:p>
      <w:pPr>
        <w:widowControl/>
        <w:spacing w:line="560" w:lineRule="exact"/>
        <w:ind w:firstLine="643" w:firstLineChars="200"/>
        <w:rPr>
          <w:rFonts w:hint="default" w:ascii="Times New Roman" w:hAnsi="Times New Roman" w:eastAsia="仿宋_GB2312" w:cs="Times New Roman"/>
          <w:color w:val="000000"/>
          <w:kern w:val="0"/>
          <w:sz w:val="32"/>
          <w:szCs w:val="32"/>
        </w:rPr>
      </w:pPr>
      <w:r>
        <w:rPr>
          <w:rFonts w:hint="eastAsia" w:ascii="Times New Roman" w:hAnsi="Times New Roman" w:eastAsia="仿宋_GB2312" w:cs="Times New Roman"/>
          <w:b/>
          <w:bCs/>
          <w:color w:val="000000"/>
          <w:kern w:val="0"/>
          <w:sz w:val="32"/>
          <w:szCs w:val="32"/>
          <w:lang w:val="en-US" w:eastAsia="zh-CN"/>
        </w:rPr>
        <w:t>十七、</w:t>
      </w:r>
      <w:r>
        <w:rPr>
          <w:rFonts w:hint="default" w:ascii="Times New Roman" w:hAnsi="Times New Roman" w:eastAsia="仿宋_GB2312" w:cs="Times New Roman"/>
          <w:b/>
          <w:bCs/>
          <w:color w:val="000000"/>
          <w:kern w:val="0"/>
          <w:sz w:val="32"/>
          <w:szCs w:val="32"/>
        </w:rPr>
        <w:t>其他交通工具购置：</w:t>
      </w:r>
      <w:r>
        <w:rPr>
          <w:rFonts w:hint="default" w:ascii="Times New Roman" w:hAnsi="Times New Roman" w:eastAsia="仿宋_GB2312" w:cs="Times New Roman"/>
          <w:color w:val="000000"/>
          <w:kern w:val="0"/>
          <w:sz w:val="32"/>
          <w:szCs w:val="32"/>
        </w:rPr>
        <w:t>填列单位除公务用车外的其他各类交通工具（如船舶、飞机等）购置支出（含车辆购置税、牌照费）。</w:t>
      </w:r>
    </w:p>
    <w:p>
      <w:pPr>
        <w:widowControl/>
        <w:spacing w:line="560" w:lineRule="exact"/>
        <w:ind w:firstLine="643" w:firstLineChars="200"/>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b/>
          <w:bCs/>
          <w:color w:val="000000"/>
          <w:kern w:val="0"/>
          <w:sz w:val="32"/>
          <w:szCs w:val="32"/>
        </w:rPr>
        <w:t>十八、机关运行经费：</w:t>
      </w:r>
      <w:r>
        <w:rPr>
          <w:rFonts w:hint="default" w:ascii="Times New Roman" w:hAnsi="Times New Roman" w:eastAsia="仿宋_GB2312" w:cs="Times New Roman"/>
          <w:color w:val="000000"/>
          <w:kern w:val="0"/>
          <w:sz w:val="32"/>
          <w:szCs w:val="32"/>
        </w:rPr>
        <w:t>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pPr>
        <w:tabs>
          <w:tab w:val="left" w:pos="235"/>
        </w:tabs>
        <w:ind w:firstLine="643" w:firstLineChars="200"/>
        <w:jc w:val="left"/>
        <w:rPr>
          <w:rFonts w:hint="eastAsia" w:ascii="Times New Roman" w:hAnsi="Times New Roman" w:eastAsia="仿宋_GB2312" w:cs="Times New Roman"/>
          <w:kern w:val="0"/>
          <w:sz w:val="32"/>
          <w:szCs w:val="32"/>
          <w:lang w:eastAsia="zh-CN"/>
        </w:rPr>
      </w:pPr>
      <w:r>
        <w:rPr>
          <w:rFonts w:hint="default" w:ascii="Times New Roman" w:hAnsi="Times New Roman" w:eastAsia="仿宋_GB2312" w:cs="Times New Roman"/>
          <w:b/>
          <w:bCs/>
          <w:color w:val="000000"/>
          <w:kern w:val="0"/>
          <w:sz w:val="32"/>
          <w:szCs w:val="32"/>
        </w:rPr>
        <w:t>十九、经费形式:</w:t>
      </w:r>
      <w:r>
        <w:rPr>
          <w:rFonts w:hint="default" w:ascii="Times New Roman" w:hAnsi="Times New Roman" w:eastAsia="仿宋_GB2312" w:cs="Times New Roman"/>
          <w:color w:val="000000"/>
          <w:kern w:val="0"/>
          <w:sz w:val="32"/>
          <w:szCs w:val="32"/>
        </w:rPr>
        <w:t>按照经费来源，</w:t>
      </w:r>
      <w:r>
        <w:rPr>
          <w:rFonts w:hint="default" w:ascii="Times New Roman" w:hAnsi="Times New Roman" w:eastAsia="仿宋_GB2312" w:cs="Times New Roman"/>
          <w:kern w:val="0"/>
          <w:sz w:val="32"/>
          <w:szCs w:val="32"/>
        </w:rPr>
        <w:t>可分为财政拨款、财政性资金基本保证、财政性资金定额或定项补助、财政性资金零补助四类</w:t>
      </w:r>
      <w:r>
        <w:rPr>
          <w:rFonts w:hint="eastAsia" w:ascii="Times New Roman" w:hAnsi="Times New Roman" w:eastAsia="仿宋_GB2312" w:cs="Times New Roman"/>
          <w:kern w:val="0"/>
          <w:sz w:val="32"/>
          <w:szCs w:val="32"/>
          <w:lang w:eastAsia="zh-CN"/>
        </w:rPr>
        <w:t>。</w:t>
      </w:r>
    </w:p>
    <w:p>
      <w:pPr>
        <w:rPr>
          <w:rFonts w:hint="default" w:ascii="Times New Roman" w:hAnsi="Times New Roman" w:cs="Times New Roman"/>
        </w:rPr>
      </w:pP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仿宋_GB2312" w:cs="Times New Roman"/>
          <w:i w:val="0"/>
          <w:iCs w:val="0"/>
          <w:caps w:val="0"/>
          <w:color w:val="333333"/>
          <w:spacing w:val="0"/>
          <w:sz w:val="33"/>
          <w:szCs w:val="33"/>
          <w:highlight w:val="none"/>
          <w:shd w:val="clear" w:fill="FFFFFF"/>
        </w:rPr>
      </w:pPr>
    </w:p>
    <w:p>
      <w:pPr>
        <w:rPr>
          <w:rFonts w:hint="default" w:ascii="Times New Roman" w:hAnsi="Times New Roman" w:eastAsia="仿宋_GB2312" w:cs="Times New Roman"/>
          <w:i w:val="0"/>
          <w:iCs w:val="0"/>
          <w:caps w:val="0"/>
          <w:color w:val="333333"/>
          <w:spacing w:val="0"/>
          <w:sz w:val="33"/>
          <w:szCs w:val="33"/>
          <w:highlight w:val="none"/>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9324D95A-BEFD-4808-B16F-7106FB95EC68}"/>
  </w:font>
  <w:font w:name="黑体">
    <w:panose1 w:val="02010609060101010101"/>
    <w:charset w:val="86"/>
    <w:family w:val="auto"/>
    <w:pitch w:val="default"/>
    <w:sig w:usb0="800002BF" w:usb1="38CF7CFA" w:usb2="00000016" w:usb3="00000000" w:csb0="00040001" w:csb1="00000000"/>
    <w:embedRegular r:id="rId2" w:fontKey="{A4C864FF-FDD0-4256-B62C-FC9E86ECAA5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3" w:fontKey="{F48001DF-9632-4904-A431-62E47C963707}"/>
  </w:font>
  <w:font w:name="仿宋">
    <w:panose1 w:val="02010609060101010101"/>
    <w:charset w:val="86"/>
    <w:family w:val="modern"/>
    <w:pitch w:val="default"/>
    <w:sig w:usb0="800002BF" w:usb1="38CF7CFA" w:usb2="00000016" w:usb3="00000000" w:csb0="00040001" w:csb1="00000000"/>
    <w:embedRegular r:id="rId4" w:fontKey="{20C42731-5175-45CA-A533-D05CED7D5FAF}"/>
  </w:font>
  <w:font w:name="Calibri Light">
    <w:altName w:val="Calibri"/>
    <w:panose1 w:val="020F0302020204030204"/>
    <w:charset w:val="00"/>
    <w:family w:val="auto"/>
    <w:pitch w:val="default"/>
    <w:sig w:usb0="00000000" w:usb1="00000000"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魏碑简体">
    <w:panose1 w:val="02000000000000000000"/>
    <w:charset w:val="86"/>
    <w:family w:val="auto"/>
    <w:pitch w:val="default"/>
    <w:sig w:usb0="A00002BF" w:usb1="184F6CFA" w:usb2="00000012" w:usb3="00000000" w:csb0="00040001" w:csb1="00000000"/>
    <w:embedRegular r:id="rId5" w:fontKey="{3EAFDF96-0D07-4927-A1EC-BB5CAABEF971}"/>
  </w:font>
  <w:font w:name="思源黑体 CN Heavy">
    <w:altName w:val="黑体"/>
    <w:panose1 w:val="00000000000000000000"/>
    <w:charset w:val="86"/>
    <w:family w:val="swiss"/>
    <w:pitch w:val="default"/>
    <w:sig w:usb0="00000000" w:usb1="00000000" w:usb2="00000016" w:usb3="00000000" w:csb0="00060107" w:csb1="00000000"/>
    <w:embedRegular r:id="rId6" w:fontKey="{1D0CFBBF-46B8-41D3-8334-1277737713A2}"/>
  </w:font>
  <w:font w:name="楷体_GB2312">
    <w:altName w:val="楷体"/>
    <w:panose1 w:val="02010609030101010101"/>
    <w:charset w:val="86"/>
    <w:family w:val="auto"/>
    <w:pitch w:val="default"/>
    <w:sig w:usb0="00000000" w:usb1="00000000" w:usb2="00000000" w:usb3="00000000" w:csb0="00040000" w:csb1="00000000"/>
    <w:embedRegular r:id="rId7" w:fontKey="{B1F18980-C6D2-4115-838F-AF2C5CA26BBD}"/>
  </w:font>
  <w:font w:name="楷体">
    <w:panose1 w:val="02010609060101010101"/>
    <w:charset w:val="86"/>
    <w:family w:val="auto"/>
    <w:pitch w:val="default"/>
    <w:sig w:usb0="800002BF" w:usb1="38CF7CFA" w:usb2="00000016" w:usb3="00000000" w:csb0="00040001" w:csb1="00000000"/>
    <w:embedRegular r:id="rId8" w:fontKey="{5629D5C2-E615-461A-9553-721711EB06E1}"/>
  </w:font>
  <w:font w:name="仿宋_GB2312">
    <w:panose1 w:val="02010609030101010101"/>
    <w:charset w:val="86"/>
    <w:family w:val="auto"/>
    <w:pitch w:val="default"/>
    <w:sig w:usb0="00000001" w:usb1="080E0000" w:usb2="00000000" w:usb3="00000000" w:csb0="00040000" w:csb1="00000000"/>
    <w:embedRegular r:id="rId9" w:fontKey="{AF31456E-87E5-4FCA-8A6B-4DFE429AEAE3}"/>
  </w:font>
  <w:font w:name="ArialUnicodeMS">
    <w:altName w:val="Malgun Gothic"/>
    <w:panose1 w:val="00000000000000000000"/>
    <w:charset w:val="81"/>
    <w:family w:val="auto"/>
    <w:pitch w:val="default"/>
    <w:sig w:usb0="00000000" w:usb1="00000000" w:usb2="00000010" w:usb3="00000000" w:csb0="00080001" w:csb1="00000000"/>
    <w:embedRegular r:id="rId10" w:fontKey="{10AFCC49-55F1-4539-90B8-011D8C54943D}"/>
  </w:font>
  <w:font w:name="Malgun Gothic">
    <w:panose1 w:val="020B0503020000020004"/>
    <w:charset w:val="81"/>
    <w:family w:val="auto"/>
    <w:pitch w:val="default"/>
    <w:sig w:usb0="900002AF" w:usb1="01D77CFB" w:usb2="00000012" w:usb3="00000000" w:csb0="00080001" w:csb1="00000000"/>
  </w:font>
  <w:font w:name="方正仿宋_GB2312">
    <w:altName w:val="仿宋"/>
    <w:panose1 w:val="02000000000000000000"/>
    <w:charset w:val="86"/>
    <w:family w:val="auto"/>
    <w:pitch w:val="default"/>
    <w:sig w:usb0="00000000" w:usb1="00000000" w:usb2="00000000" w:usb3="00000000" w:csb0="00000000" w:csb1="00000000"/>
    <w:embedRegular r:id="rId11" w:fontKey="{199FF5A7-0A37-4830-A340-E8A302C6F06A}"/>
  </w:font>
  <w:font w:name="DengXian-Regular">
    <w:altName w:val="宋体"/>
    <w:panose1 w:val="00000000000000000000"/>
    <w:charset w:val="86"/>
    <w:family w:val="auto"/>
    <w:pitch w:val="default"/>
    <w:sig w:usb0="00000000" w:usb1="00000000" w:usb2="00000010" w:usb3="00000000" w:csb0="00040001" w:csb1="00000000"/>
    <w:embedRegular r:id="rId12" w:fontKey="{C28E082B-2856-4EEC-BD5A-D2B91C2BDD65}"/>
  </w:font>
  <w:font w:name="华文仿宋">
    <w:altName w:val="仿宋"/>
    <w:panose1 w:val="02010600040101010101"/>
    <w:charset w:val="86"/>
    <w:family w:val="auto"/>
    <w:pitch w:val="default"/>
    <w:sig w:usb0="00000000" w:usb1="00000000" w:usb2="00000000" w:usb3="00000000" w:csb0="0004009F" w:csb1="DFD70000"/>
    <w:embedRegular r:id="rId13" w:fontKey="{B78C023F-51A8-421A-A714-BDECD47A46F2}"/>
  </w:font>
  <w:font w:name="方正小标宋_GBK">
    <w:panose1 w:val="02000000000000000000"/>
    <w:charset w:val="86"/>
    <w:family w:val="auto"/>
    <w:pitch w:val="default"/>
    <w:sig w:usb0="A00002BF" w:usb1="38CF7CFA" w:usb2="00082016" w:usb3="00000000" w:csb0="00040001" w:csb1="00000000"/>
    <w:embedRegular r:id="rId14" w:fontKey="{EA3AD343-F6BC-4BE8-9473-45A7FB8B5F6A}"/>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D4686"/>
    <w:multiLevelType w:val="singleLevel"/>
    <w:tmpl w:val="B3FD4686"/>
    <w:lvl w:ilvl="0" w:tentative="0">
      <w:start w:val="3"/>
      <w:numFmt w:val="chineseCounting"/>
      <w:suff w:val="nothing"/>
      <w:lvlText w:val="（%1）"/>
      <w:lvlJc w:val="left"/>
      <w:rPr>
        <w:rFonts w:hint="eastAsia"/>
      </w:rPr>
    </w:lvl>
  </w:abstractNum>
  <w:abstractNum w:abstractNumId="1">
    <w:nsid w:val="E28ABC48"/>
    <w:multiLevelType w:val="singleLevel"/>
    <w:tmpl w:val="E28ABC48"/>
    <w:lvl w:ilvl="0" w:tentative="0">
      <w:start w:val="2"/>
      <w:numFmt w:val="chineseCounting"/>
      <w:suff w:val="nothing"/>
      <w:lvlText w:val="（%1）"/>
      <w:lvlJc w:val="left"/>
      <w:rPr>
        <w:rFonts w:hint="eastAsia"/>
      </w:rPr>
    </w:lvl>
  </w:abstractNum>
  <w:abstractNum w:abstractNumId="2">
    <w:nsid w:val="F31EB42C"/>
    <w:multiLevelType w:val="singleLevel"/>
    <w:tmpl w:val="F31EB42C"/>
    <w:lvl w:ilvl="0" w:tentative="0">
      <w:start w:val="4"/>
      <w:numFmt w:val="chineseCounting"/>
      <w:suff w:val="nothing"/>
      <w:lvlText w:val="（%1）"/>
      <w:lvlJc w:val="left"/>
      <w:rPr>
        <w:rFonts w:hint="eastAsia"/>
      </w:rPr>
    </w:lvl>
  </w:abstractNum>
  <w:abstractNum w:abstractNumId="3">
    <w:nsid w:val="5F16A424"/>
    <w:multiLevelType w:val="multilevel"/>
    <w:tmpl w:val="5F16A424"/>
    <w:lvl w:ilvl="0" w:tentative="0">
      <w:start w:val="1"/>
      <w:numFmt w:val="decimal"/>
      <w:pStyle w:val="4"/>
      <w:lvlText w:val="%1."/>
      <w:lvlJc w:val="left"/>
      <w:pPr>
        <w:ind w:left="425" w:hanging="425"/>
      </w:pPr>
      <w:rPr>
        <w:rFonts w:hint="default"/>
      </w:rPr>
    </w:lvl>
    <w:lvl w:ilvl="1" w:tentative="0">
      <w:start w:val="1"/>
      <w:numFmt w:val="decimal"/>
      <w:pStyle w:val="5"/>
      <w:lvlText w:val="%1.%2."/>
      <w:lvlJc w:val="left"/>
      <w:pPr>
        <w:ind w:left="567" w:hanging="567"/>
      </w:pPr>
      <w:rPr>
        <w:rFonts w:hint="default"/>
      </w:rPr>
    </w:lvl>
    <w:lvl w:ilvl="2" w:tentative="0">
      <w:start w:val="1"/>
      <w:numFmt w:val="decimal"/>
      <w:pStyle w:val="6"/>
      <w:lvlText w:val="%1.%2.%3."/>
      <w:lvlJc w:val="left"/>
      <w:pPr>
        <w:ind w:left="709" w:hanging="709"/>
      </w:pPr>
      <w:rPr>
        <w:rFonts w:hint="default"/>
      </w:rPr>
    </w:lvl>
    <w:lvl w:ilvl="3" w:tentative="0">
      <w:start w:val="1"/>
      <w:numFmt w:val="decimal"/>
      <w:pStyle w:val="7"/>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jb3VudCI6MTksImhkaWQiOiIzMWE1MzMwMDNjMmJhYTE1ZmE0MmVkZDFmNDA1ZThhMiIsInVzZXJDb3VudCI6MTl9"/>
  </w:docVars>
  <w:rsids>
    <w:rsidRoot w:val="00000000"/>
    <w:rsid w:val="00086151"/>
    <w:rsid w:val="00236F8C"/>
    <w:rsid w:val="008E12CF"/>
    <w:rsid w:val="0096690D"/>
    <w:rsid w:val="00C65689"/>
    <w:rsid w:val="00CC2C8E"/>
    <w:rsid w:val="00F27B04"/>
    <w:rsid w:val="01616D62"/>
    <w:rsid w:val="01900E19"/>
    <w:rsid w:val="01A03C5A"/>
    <w:rsid w:val="01A5267D"/>
    <w:rsid w:val="02363AF1"/>
    <w:rsid w:val="024808A2"/>
    <w:rsid w:val="025C3821"/>
    <w:rsid w:val="02DA3B1B"/>
    <w:rsid w:val="02E57B4D"/>
    <w:rsid w:val="033D3951"/>
    <w:rsid w:val="037B12D4"/>
    <w:rsid w:val="03804D63"/>
    <w:rsid w:val="03FB73B0"/>
    <w:rsid w:val="04BD008C"/>
    <w:rsid w:val="04C55939"/>
    <w:rsid w:val="04DA28BB"/>
    <w:rsid w:val="04F528BE"/>
    <w:rsid w:val="05991C82"/>
    <w:rsid w:val="061416A9"/>
    <w:rsid w:val="06236884"/>
    <w:rsid w:val="067E788A"/>
    <w:rsid w:val="06FC7C2A"/>
    <w:rsid w:val="071E363B"/>
    <w:rsid w:val="07533AFE"/>
    <w:rsid w:val="07B3657A"/>
    <w:rsid w:val="07C857D0"/>
    <w:rsid w:val="08AB5AAF"/>
    <w:rsid w:val="09012C64"/>
    <w:rsid w:val="093B2E99"/>
    <w:rsid w:val="095D7943"/>
    <w:rsid w:val="09C006C6"/>
    <w:rsid w:val="0A10621F"/>
    <w:rsid w:val="0A464C4F"/>
    <w:rsid w:val="0A6729A3"/>
    <w:rsid w:val="0A694877"/>
    <w:rsid w:val="0AA954BE"/>
    <w:rsid w:val="0AE70639"/>
    <w:rsid w:val="0B4F5E6D"/>
    <w:rsid w:val="0B753AE2"/>
    <w:rsid w:val="0BB67D0A"/>
    <w:rsid w:val="0BC56230"/>
    <w:rsid w:val="0BCF21BD"/>
    <w:rsid w:val="0C4E53E8"/>
    <w:rsid w:val="0C9F7900"/>
    <w:rsid w:val="0CB23317"/>
    <w:rsid w:val="0D101068"/>
    <w:rsid w:val="0D49470D"/>
    <w:rsid w:val="0D7557DF"/>
    <w:rsid w:val="0D853E34"/>
    <w:rsid w:val="0D9C2A57"/>
    <w:rsid w:val="0DFA5D82"/>
    <w:rsid w:val="0E1E52CE"/>
    <w:rsid w:val="0E341BC0"/>
    <w:rsid w:val="0E866524"/>
    <w:rsid w:val="0E9268D3"/>
    <w:rsid w:val="0E957F1F"/>
    <w:rsid w:val="0F0E7284"/>
    <w:rsid w:val="0F28110F"/>
    <w:rsid w:val="0F37083F"/>
    <w:rsid w:val="0F891DB8"/>
    <w:rsid w:val="0FAA3B86"/>
    <w:rsid w:val="10191346"/>
    <w:rsid w:val="10754A6C"/>
    <w:rsid w:val="108B537D"/>
    <w:rsid w:val="10B11DB1"/>
    <w:rsid w:val="10C7485C"/>
    <w:rsid w:val="11177F57"/>
    <w:rsid w:val="11217C97"/>
    <w:rsid w:val="11464C20"/>
    <w:rsid w:val="115E4926"/>
    <w:rsid w:val="118A1FFA"/>
    <w:rsid w:val="11E35B5A"/>
    <w:rsid w:val="11E42DD6"/>
    <w:rsid w:val="125F5A1B"/>
    <w:rsid w:val="126979D6"/>
    <w:rsid w:val="129E45A7"/>
    <w:rsid w:val="13074404"/>
    <w:rsid w:val="136A5C00"/>
    <w:rsid w:val="13C527AC"/>
    <w:rsid w:val="14711797"/>
    <w:rsid w:val="14720225"/>
    <w:rsid w:val="147B6F17"/>
    <w:rsid w:val="14D42061"/>
    <w:rsid w:val="15081C8B"/>
    <w:rsid w:val="15090D5C"/>
    <w:rsid w:val="15CF053D"/>
    <w:rsid w:val="15E0131A"/>
    <w:rsid w:val="16457D9F"/>
    <w:rsid w:val="17223EFF"/>
    <w:rsid w:val="17B713F6"/>
    <w:rsid w:val="184350A0"/>
    <w:rsid w:val="18541CC2"/>
    <w:rsid w:val="187B3DA8"/>
    <w:rsid w:val="18935485"/>
    <w:rsid w:val="18946C52"/>
    <w:rsid w:val="18A34206"/>
    <w:rsid w:val="18DE3B2C"/>
    <w:rsid w:val="1906685D"/>
    <w:rsid w:val="19111683"/>
    <w:rsid w:val="19353916"/>
    <w:rsid w:val="19B07C1B"/>
    <w:rsid w:val="19C10AF1"/>
    <w:rsid w:val="1A2672DE"/>
    <w:rsid w:val="1AA81D42"/>
    <w:rsid w:val="1AB433D9"/>
    <w:rsid w:val="1B1B11EE"/>
    <w:rsid w:val="1B3719E0"/>
    <w:rsid w:val="1B6261C3"/>
    <w:rsid w:val="1B731730"/>
    <w:rsid w:val="1B882BB5"/>
    <w:rsid w:val="1B906310"/>
    <w:rsid w:val="1B9B33C7"/>
    <w:rsid w:val="1B9D7FEC"/>
    <w:rsid w:val="1BA55461"/>
    <w:rsid w:val="1BE74496"/>
    <w:rsid w:val="1C3D67D1"/>
    <w:rsid w:val="1C40731A"/>
    <w:rsid w:val="1C560392"/>
    <w:rsid w:val="1C581532"/>
    <w:rsid w:val="1C7D181A"/>
    <w:rsid w:val="1CA15E03"/>
    <w:rsid w:val="1CA24F0C"/>
    <w:rsid w:val="1CF8716C"/>
    <w:rsid w:val="1D230EBD"/>
    <w:rsid w:val="1D4B1F5B"/>
    <w:rsid w:val="1D6C5CA0"/>
    <w:rsid w:val="1D725586"/>
    <w:rsid w:val="1D745B4F"/>
    <w:rsid w:val="1D867987"/>
    <w:rsid w:val="1D944010"/>
    <w:rsid w:val="1DA60472"/>
    <w:rsid w:val="1DD70E85"/>
    <w:rsid w:val="1DE6414E"/>
    <w:rsid w:val="1DE74AD7"/>
    <w:rsid w:val="1DF60A19"/>
    <w:rsid w:val="1DFA6713"/>
    <w:rsid w:val="1E050843"/>
    <w:rsid w:val="1E20024F"/>
    <w:rsid w:val="1E2D3FB0"/>
    <w:rsid w:val="1E2E50F1"/>
    <w:rsid w:val="1E2F73C2"/>
    <w:rsid w:val="1E3B4E26"/>
    <w:rsid w:val="1E97477F"/>
    <w:rsid w:val="1EDF707D"/>
    <w:rsid w:val="1F201CEE"/>
    <w:rsid w:val="1F65664C"/>
    <w:rsid w:val="1F79478A"/>
    <w:rsid w:val="1F7C149A"/>
    <w:rsid w:val="1F84140D"/>
    <w:rsid w:val="1F863C54"/>
    <w:rsid w:val="1F9B7FFD"/>
    <w:rsid w:val="1F9C7614"/>
    <w:rsid w:val="1FB810FB"/>
    <w:rsid w:val="1FBE1971"/>
    <w:rsid w:val="2008768D"/>
    <w:rsid w:val="204C2B10"/>
    <w:rsid w:val="207D30AD"/>
    <w:rsid w:val="209064B9"/>
    <w:rsid w:val="20970D81"/>
    <w:rsid w:val="20D165D5"/>
    <w:rsid w:val="210878E6"/>
    <w:rsid w:val="210E1408"/>
    <w:rsid w:val="211069AD"/>
    <w:rsid w:val="21573FAB"/>
    <w:rsid w:val="2172069C"/>
    <w:rsid w:val="21987BC4"/>
    <w:rsid w:val="220451AB"/>
    <w:rsid w:val="2237486E"/>
    <w:rsid w:val="223D1378"/>
    <w:rsid w:val="22940650"/>
    <w:rsid w:val="22AD4B1E"/>
    <w:rsid w:val="22D31DF3"/>
    <w:rsid w:val="22FD3CF7"/>
    <w:rsid w:val="2356249E"/>
    <w:rsid w:val="23605570"/>
    <w:rsid w:val="236E713A"/>
    <w:rsid w:val="23700968"/>
    <w:rsid w:val="238761A6"/>
    <w:rsid w:val="23920578"/>
    <w:rsid w:val="23BB6F9A"/>
    <w:rsid w:val="23FC3864"/>
    <w:rsid w:val="247D7230"/>
    <w:rsid w:val="24F25212"/>
    <w:rsid w:val="254B0AC6"/>
    <w:rsid w:val="25571AB6"/>
    <w:rsid w:val="25B40AD6"/>
    <w:rsid w:val="25BE7872"/>
    <w:rsid w:val="25BF702A"/>
    <w:rsid w:val="25FA6065"/>
    <w:rsid w:val="2611374E"/>
    <w:rsid w:val="261F111C"/>
    <w:rsid w:val="26477410"/>
    <w:rsid w:val="264D2D17"/>
    <w:rsid w:val="26D50E55"/>
    <w:rsid w:val="270763D6"/>
    <w:rsid w:val="271A539C"/>
    <w:rsid w:val="274972D4"/>
    <w:rsid w:val="275048F0"/>
    <w:rsid w:val="275C72A5"/>
    <w:rsid w:val="27AA3D97"/>
    <w:rsid w:val="28405AA6"/>
    <w:rsid w:val="289057C5"/>
    <w:rsid w:val="28A67C7A"/>
    <w:rsid w:val="28D1057E"/>
    <w:rsid w:val="28EA3248"/>
    <w:rsid w:val="28F879DA"/>
    <w:rsid w:val="294630F8"/>
    <w:rsid w:val="294B7731"/>
    <w:rsid w:val="296A5FF1"/>
    <w:rsid w:val="29D21FF2"/>
    <w:rsid w:val="2A2453F2"/>
    <w:rsid w:val="2A611B0F"/>
    <w:rsid w:val="2AC1762B"/>
    <w:rsid w:val="2AE845D0"/>
    <w:rsid w:val="2B4975FB"/>
    <w:rsid w:val="2B695031"/>
    <w:rsid w:val="2B735A8F"/>
    <w:rsid w:val="2BA7478D"/>
    <w:rsid w:val="2BB038DB"/>
    <w:rsid w:val="2BB761E0"/>
    <w:rsid w:val="2BB812F9"/>
    <w:rsid w:val="2BE319AF"/>
    <w:rsid w:val="2BE35C27"/>
    <w:rsid w:val="2BFA504B"/>
    <w:rsid w:val="2BFC48C7"/>
    <w:rsid w:val="2C681F1F"/>
    <w:rsid w:val="2C8608DC"/>
    <w:rsid w:val="2CA4764A"/>
    <w:rsid w:val="2CC42ECA"/>
    <w:rsid w:val="2CDA4349"/>
    <w:rsid w:val="2D225539"/>
    <w:rsid w:val="2D4618D2"/>
    <w:rsid w:val="2D5F021B"/>
    <w:rsid w:val="2D6E1286"/>
    <w:rsid w:val="2D70583E"/>
    <w:rsid w:val="2D99655D"/>
    <w:rsid w:val="2E1B4BB8"/>
    <w:rsid w:val="2E256CB6"/>
    <w:rsid w:val="2E3224D3"/>
    <w:rsid w:val="2E5F27E4"/>
    <w:rsid w:val="2E9871B6"/>
    <w:rsid w:val="2EBD223E"/>
    <w:rsid w:val="2EC10AD1"/>
    <w:rsid w:val="2ECB6A5A"/>
    <w:rsid w:val="2EFC0112"/>
    <w:rsid w:val="2F2B730D"/>
    <w:rsid w:val="2F42598B"/>
    <w:rsid w:val="2F8169E4"/>
    <w:rsid w:val="2F9F3DC1"/>
    <w:rsid w:val="2FFC7AC2"/>
    <w:rsid w:val="301430AF"/>
    <w:rsid w:val="30630612"/>
    <w:rsid w:val="308E59B0"/>
    <w:rsid w:val="30B10568"/>
    <w:rsid w:val="30E55DD3"/>
    <w:rsid w:val="30E60399"/>
    <w:rsid w:val="31356AA5"/>
    <w:rsid w:val="313E22F0"/>
    <w:rsid w:val="31B0194C"/>
    <w:rsid w:val="31CE17D1"/>
    <w:rsid w:val="320F6F96"/>
    <w:rsid w:val="323E4515"/>
    <w:rsid w:val="3286389B"/>
    <w:rsid w:val="32CF5C94"/>
    <w:rsid w:val="32D337C7"/>
    <w:rsid w:val="32E200EC"/>
    <w:rsid w:val="32E5408B"/>
    <w:rsid w:val="32E9750B"/>
    <w:rsid w:val="32EB0D70"/>
    <w:rsid w:val="332868BB"/>
    <w:rsid w:val="333211F3"/>
    <w:rsid w:val="333E3678"/>
    <w:rsid w:val="33504B41"/>
    <w:rsid w:val="335174BC"/>
    <w:rsid w:val="338B4A07"/>
    <w:rsid w:val="33944811"/>
    <w:rsid w:val="33CE0488"/>
    <w:rsid w:val="34005866"/>
    <w:rsid w:val="34182C85"/>
    <w:rsid w:val="34262463"/>
    <w:rsid w:val="34296F31"/>
    <w:rsid w:val="34340A27"/>
    <w:rsid w:val="346A2989"/>
    <w:rsid w:val="34714663"/>
    <w:rsid w:val="348865E9"/>
    <w:rsid w:val="348F70D5"/>
    <w:rsid w:val="349D2BAD"/>
    <w:rsid w:val="34B25886"/>
    <w:rsid w:val="34B40430"/>
    <w:rsid w:val="35277FF8"/>
    <w:rsid w:val="35776F72"/>
    <w:rsid w:val="35997371"/>
    <w:rsid w:val="360134DF"/>
    <w:rsid w:val="360B1E2F"/>
    <w:rsid w:val="360D500F"/>
    <w:rsid w:val="36330424"/>
    <w:rsid w:val="36990C8E"/>
    <w:rsid w:val="36FE3ABA"/>
    <w:rsid w:val="37072BDE"/>
    <w:rsid w:val="3716321D"/>
    <w:rsid w:val="37252B82"/>
    <w:rsid w:val="37455334"/>
    <w:rsid w:val="376A14D2"/>
    <w:rsid w:val="37731921"/>
    <w:rsid w:val="37E509C0"/>
    <w:rsid w:val="37E96FB8"/>
    <w:rsid w:val="38222D85"/>
    <w:rsid w:val="38803721"/>
    <w:rsid w:val="38925A62"/>
    <w:rsid w:val="389F5F4F"/>
    <w:rsid w:val="38C36BA2"/>
    <w:rsid w:val="38F6595C"/>
    <w:rsid w:val="391702A7"/>
    <w:rsid w:val="39286EB6"/>
    <w:rsid w:val="39601DF4"/>
    <w:rsid w:val="39840D35"/>
    <w:rsid w:val="39A239AC"/>
    <w:rsid w:val="39A97DAF"/>
    <w:rsid w:val="39CD1330"/>
    <w:rsid w:val="39DD1AFF"/>
    <w:rsid w:val="3A2510B9"/>
    <w:rsid w:val="3A2A2EDD"/>
    <w:rsid w:val="3A2B1DFC"/>
    <w:rsid w:val="3AA6422C"/>
    <w:rsid w:val="3AAF46D5"/>
    <w:rsid w:val="3AB900D5"/>
    <w:rsid w:val="3B135A0E"/>
    <w:rsid w:val="3B272BBC"/>
    <w:rsid w:val="3B374FEE"/>
    <w:rsid w:val="3B4410EE"/>
    <w:rsid w:val="3B56159C"/>
    <w:rsid w:val="3B7D732B"/>
    <w:rsid w:val="3BD30423"/>
    <w:rsid w:val="3C3A1750"/>
    <w:rsid w:val="3C6147F2"/>
    <w:rsid w:val="3C6C0B58"/>
    <w:rsid w:val="3CBE41D5"/>
    <w:rsid w:val="3D305D4F"/>
    <w:rsid w:val="3D446B0E"/>
    <w:rsid w:val="3D953A6B"/>
    <w:rsid w:val="3DBB2CD5"/>
    <w:rsid w:val="3DBB5979"/>
    <w:rsid w:val="3E1057AF"/>
    <w:rsid w:val="3E6C0DFA"/>
    <w:rsid w:val="3E740322"/>
    <w:rsid w:val="3E7F4380"/>
    <w:rsid w:val="3E8D171B"/>
    <w:rsid w:val="3E8E5574"/>
    <w:rsid w:val="3EA5630D"/>
    <w:rsid w:val="3EBA731B"/>
    <w:rsid w:val="3EFB5800"/>
    <w:rsid w:val="3F3B4E59"/>
    <w:rsid w:val="3F4D1B74"/>
    <w:rsid w:val="3F6E677C"/>
    <w:rsid w:val="3F712F46"/>
    <w:rsid w:val="3F7F7F1D"/>
    <w:rsid w:val="3FBC0EF7"/>
    <w:rsid w:val="3FCD2AB9"/>
    <w:rsid w:val="3FD17600"/>
    <w:rsid w:val="4050218A"/>
    <w:rsid w:val="405C7868"/>
    <w:rsid w:val="408B24EB"/>
    <w:rsid w:val="417044B8"/>
    <w:rsid w:val="41A203A0"/>
    <w:rsid w:val="41C52EE3"/>
    <w:rsid w:val="41E83F8C"/>
    <w:rsid w:val="420C1409"/>
    <w:rsid w:val="422D1842"/>
    <w:rsid w:val="425B7C31"/>
    <w:rsid w:val="42737A55"/>
    <w:rsid w:val="427D66D0"/>
    <w:rsid w:val="42BC7E02"/>
    <w:rsid w:val="42C82575"/>
    <w:rsid w:val="43022EE1"/>
    <w:rsid w:val="431A5F8F"/>
    <w:rsid w:val="431F247A"/>
    <w:rsid w:val="43335E8F"/>
    <w:rsid w:val="433F2968"/>
    <w:rsid w:val="43676E20"/>
    <w:rsid w:val="43A31040"/>
    <w:rsid w:val="43BF774E"/>
    <w:rsid w:val="43CD062F"/>
    <w:rsid w:val="43E214F9"/>
    <w:rsid w:val="43F06264"/>
    <w:rsid w:val="43FE1568"/>
    <w:rsid w:val="44404C8E"/>
    <w:rsid w:val="447537F1"/>
    <w:rsid w:val="44795B2A"/>
    <w:rsid w:val="44870D07"/>
    <w:rsid w:val="45513D03"/>
    <w:rsid w:val="45541E1C"/>
    <w:rsid w:val="45F657C2"/>
    <w:rsid w:val="460713D2"/>
    <w:rsid w:val="461F0A8B"/>
    <w:rsid w:val="4648721E"/>
    <w:rsid w:val="46663E71"/>
    <w:rsid w:val="466A37AC"/>
    <w:rsid w:val="46CB071B"/>
    <w:rsid w:val="46CC77BF"/>
    <w:rsid w:val="46DE140B"/>
    <w:rsid w:val="46E77334"/>
    <w:rsid w:val="46F22E29"/>
    <w:rsid w:val="46F7142F"/>
    <w:rsid w:val="47107AE3"/>
    <w:rsid w:val="473C62ED"/>
    <w:rsid w:val="47617242"/>
    <w:rsid w:val="478C16C9"/>
    <w:rsid w:val="47AD79CE"/>
    <w:rsid w:val="47BD246B"/>
    <w:rsid w:val="47CB2B0C"/>
    <w:rsid w:val="47E773CE"/>
    <w:rsid w:val="48015FF5"/>
    <w:rsid w:val="484C45A4"/>
    <w:rsid w:val="48692CD0"/>
    <w:rsid w:val="48AE3D01"/>
    <w:rsid w:val="48D9540B"/>
    <w:rsid w:val="49067B2F"/>
    <w:rsid w:val="496008AE"/>
    <w:rsid w:val="49677E31"/>
    <w:rsid w:val="496C2225"/>
    <w:rsid w:val="49AE2880"/>
    <w:rsid w:val="49F42EAF"/>
    <w:rsid w:val="49F96FB8"/>
    <w:rsid w:val="4A337323"/>
    <w:rsid w:val="4A3679E8"/>
    <w:rsid w:val="4A5B28DC"/>
    <w:rsid w:val="4AA06B93"/>
    <w:rsid w:val="4ADB18EB"/>
    <w:rsid w:val="4AEE5418"/>
    <w:rsid w:val="4B0371D8"/>
    <w:rsid w:val="4B96118E"/>
    <w:rsid w:val="4BAE1B66"/>
    <w:rsid w:val="4BED4708"/>
    <w:rsid w:val="4BF133DC"/>
    <w:rsid w:val="4C507D4A"/>
    <w:rsid w:val="4CDF5563"/>
    <w:rsid w:val="4CFB2214"/>
    <w:rsid w:val="4D1A3672"/>
    <w:rsid w:val="4D2C4D26"/>
    <w:rsid w:val="4D335E0E"/>
    <w:rsid w:val="4D4E4EA3"/>
    <w:rsid w:val="4D9A5B1B"/>
    <w:rsid w:val="4DA55D85"/>
    <w:rsid w:val="4DBB20DB"/>
    <w:rsid w:val="4DC428C0"/>
    <w:rsid w:val="4DD64F20"/>
    <w:rsid w:val="4DDC3F22"/>
    <w:rsid w:val="4E1040C7"/>
    <w:rsid w:val="4E1760BF"/>
    <w:rsid w:val="4E646AEA"/>
    <w:rsid w:val="4EBA03C3"/>
    <w:rsid w:val="4EBC5459"/>
    <w:rsid w:val="4ED94CB0"/>
    <w:rsid w:val="4EEC2ED3"/>
    <w:rsid w:val="4F037DB0"/>
    <w:rsid w:val="4F0B74A3"/>
    <w:rsid w:val="4F0E56EA"/>
    <w:rsid w:val="4F2E11BC"/>
    <w:rsid w:val="4F3C4343"/>
    <w:rsid w:val="4F416688"/>
    <w:rsid w:val="4F5620B0"/>
    <w:rsid w:val="4F6654EE"/>
    <w:rsid w:val="4F7379C6"/>
    <w:rsid w:val="4F872183"/>
    <w:rsid w:val="4F872BDB"/>
    <w:rsid w:val="4FA033E9"/>
    <w:rsid w:val="4FA743DA"/>
    <w:rsid w:val="4FB3565A"/>
    <w:rsid w:val="4FED77BF"/>
    <w:rsid w:val="503D1C79"/>
    <w:rsid w:val="507A6406"/>
    <w:rsid w:val="50853863"/>
    <w:rsid w:val="508A4590"/>
    <w:rsid w:val="509352D9"/>
    <w:rsid w:val="50F1461D"/>
    <w:rsid w:val="50FE5411"/>
    <w:rsid w:val="510B072E"/>
    <w:rsid w:val="511B0BF4"/>
    <w:rsid w:val="51264306"/>
    <w:rsid w:val="516123CE"/>
    <w:rsid w:val="51B177A9"/>
    <w:rsid w:val="51CF0D81"/>
    <w:rsid w:val="51E066EB"/>
    <w:rsid w:val="51E84FDE"/>
    <w:rsid w:val="5267570A"/>
    <w:rsid w:val="52707792"/>
    <w:rsid w:val="52A12CDC"/>
    <w:rsid w:val="52DF0C92"/>
    <w:rsid w:val="52E1159C"/>
    <w:rsid w:val="52E34D6A"/>
    <w:rsid w:val="531E524E"/>
    <w:rsid w:val="534072EB"/>
    <w:rsid w:val="538E2D0B"/>
    <w:rsid w:val="53922782"/>
    <w:rsid w:val="539C1424"/>
    <w:rsid w:val="53A639C0"/>
    <w:rsid w:val="53F00A24"/>
    <w:rsid w:val="53F63DBA"/>
    <w:rsid w:val="5448624E"/>
    <w:rsid w:val="546E2B1A"/>
    <w:rsid w:val="5482555F"/>
    <w:rsid w:val="551452C2"/>
    <w:rsid w:val="55363E67"/>
    <w:rsid w:val="556E6DF7"/>
    <w:rsid w:val="559D47CE"/>
    <w:rsid w:val="55BE1959"/>
    <w:rsid w:val="56232437"/>
    <w:rsid w:val="56541A75"/>
    <w:rsid w:val="568832FC"/>
    <w:rsid w:val="568C4181"/>
    <w:rsid w:val="56AC2FF1"/>
    <w:rsid w:val="570725A9"/>
    <w:rsid w:val="5714693E"/>
    <w:rsid w:val="571D0C9C"/>
    <w:rsid w:val="573A16CE"/>
    <w:rsid w:val="577F71A8"/>
    <w:rsid w:val="579C7F80"/>
    <w:rsid w:val="57B30D7C"/>
    <w:rsid w:val="58166B03"/>
    <w:rsid w:val="583E3C94"/>
    <w:rsid w:val="58721734"/>
    <w:rsid w:val="58900246"/>
    <w:rsid w:val="58977358"/>
    <w:rsid w:val="58D53944"/>
    <w:rsid w:val="58D65478"/>
    <w:rsid w:val="58F52487"/>
    <w:rsid w:val="58F778BC"/>
    <w:rsid w:val="590422E6"/>
    <w:rsid w:val="592257E5"/>
    <w:rsid w:val="59655E33"/>
    <w:rsid w:val="59CF5BD9"/>
    <w:rsid w:val="59E20C3C"/>
    <w:rsid w:val="5A1D5B0A"/>
    <w:rsid w:val="5A3B4B4E"/>
    <w:rsid w:val="5A4804CA"/>
    <w:rsid w:val="5A594C85"/>
    <w:rsid w:val="5A7D649E"/>
    <w:rsid w:val="5AEB1E3C"/>
    <w:rsid w:val="5B2507CA"/>
    <w:rsid w:val="5B2A474A"/>
    <w:rsid w:val="5B830730"/>
    <w:rsid w:val="5B871C49"/>
    <w:rsid w:val="5BBB2DD6"/>
    <w:rsid w:val="5BE263B6"/>
    <w:rsid w:val="5C653B42"/>
    <w:rsid w:val="5C8E5C5A"/>
    <w:rsid w:val="5C965E61"/>
    <w:rsid w:val="5CA76AD9"/>
    <w:rsid w:val="5D242A11"/>
    <w:rsid w:val="5D9217C2"/>
    <w:rsid w:val="5DAD06BF"/>
    <w:rsid w:val="5DE23CB3"/>
    <w:rsid w:val="5DE97EEC"/>
    <w:rsid w:val="5DF43138"/>
    <w:rsid w:val="5DFA5EB0"/>
    <w:rsid w:val="5E0B583E"/>
    <w:rsid w:val="5E201A7B"/>
    <w:rsid w:val="5EBD0484"/>
    <w:rsid w:val="5F2C5C7C"/>
    <w:rsid w:val="5FC5273F"/>
    <w:rsid w:val="60806DF2"/>
    <w:rsid w:val="61072DA5"/>
    <w:rsid w:val="611C0817"/>
    <w:rsid w:val="61224A52"/>
    <w:rsid w:val="61520CCB"/>
    <w:rsid w:val="61851A29"/>
    <w:rsid w:val="622D1522"/>
    <w:rsid w:val="622E0574"/>
    <w:rsid w:val="62683B6B"/>
    <w:rsid w:val="62AC5944"/>
    <w:rsid w:val="632731DA"/>
    <w:rsid w:val="637279B4"/>
    <w:rsid w:val="63817D2B"/>
    <w:rsid w:val="63BD1FA9"/>
    <w:rsid w:val="63D27965"/>
    <w:rsid w:val="63FF063D"/>
    <w:rsid w:val="64095516"/>
    <w:rsid w:val="641A2468"/>
    <w:rsid w:val="64372F20"/>
    <w:rsid w:val="64DC72D7"/>
    <w:rsid w:val="653113E3"/>
    <w:rsid w:val="653619A6"/>
    <w:rsid w:val="65610A02"/>
    <w:rsid w:val="65A11EA3"/>
    <w:rsid w:val="65AC3D66"/>
    <w:rsid w:val="65BB5334"/>
    <w:rsid w:val="663E1DBA"/>
    <w:rsid w:val="665D0213"/>
    <w:rsid w:val="669E59F1"/>
    <w:rsid w:val="66A2024B"/>
    <w:rsid w:val="66D03E18"/>
    <w:rsid w:val="66EA4BA0"/>
    <w:rsid w:val="6704732B"/>
    <w:rsid w:val="670F6731"/>
    <w:rsid w:val="67280F62"/>
    <w:rsid w:val="67585CB0"/>
    <w:rsid w:val="67770F0C"/>
    <w:rsid w:val="67B03535"/>
    <w:rsid w:val="67CA6DA3"/>
    <w:rsid w:val="6801775B"/>
    <w:rsid w:val="68174F69"/>
    <w:rsid w:val="682C436A"/>
    <w:rsid w:val="68382778"/>
    <w:rsid w:val="68391F41"/>
    <w:rsid w:val="68436B8C"/>
    <w:rsid w:val="68797358"/>
    <w:rsid w:val="6884624F"/>
    <w:rsid w:val="68A519DF"/>
    <w:rsid w:val="68C4160B"/>
    <w:rsid w:val="68C41C30"/>
    <w:rsid w:val="68CF3BA4"/>
    <w:rsid w:val="69257FA7"/>
    <w:rsid w:val="693711B0"/>
    <w:rsid w:val="693F26C7"/>
    <w:rsid w:val="697E12B2"/>
    <w:rsid w:val="69C8706D"/>
    <w:rsid w:val="6A0147CA"/>
    <w:rsid w:val="6A0E3FB4"/>
    <w:rsid w:val="6A292754"/>
    <w:rsid w:val="6A5E3B28"/>
    <w:rsid w:val="6A6B1EBE"/>
    <w:rsid w:val="6A8F43F7"/>
    <w:rsid w:val="6ABF79B7"/>
    <w:rsid w:val="6AD625F3"/>
    <w:rsid w:val="6B5F25EA"/>
    <w:rsid w:val="6B750BA9"/>
    <w:rsid w:val="6BB93285"/>
    <w:rsid w:val="6C0C698C"/>
    <w:rsid w:val="6C152AA3"/>
    <w:rsid w:val="6C222401"/>
    <w:rsid w:val="6C56267F"/>
    <w:rsid w:val="6C826EF9"/>
    <w:rsid w:val="6C990429"/>
    <w:rsid w:val="6CAE4C93"/>
    <w:rsid w:val="6D0B1869"/>
    <w:rsid w:val="6D65402D"/>
    <w:rsid w:val="6D683822"/>
    <w:rsid w:val="6D8D136C"/>
    <w:rsid w:val="6DBF2759"/>
    <w:rsid w:val="6DC96F36"/>
    <w:rsid w:val="6DF801A8"/>
    <w:rsid w:val="6DFA3EBF"/>
    <w:rsid w:val="6E3E63D2"/>
    <w:rsid w:val="6E5F7BE6"/>
    <w:rsid w:val="6E6918C6"/>
    <w:rsid w:val="6E8E495B"/>
    <w:rsid w:val="6EEB4AC4"/>
    <w:rsid w:val="6F212DD6"/>
    <w:rsid w:val="6F3B5912"/>
    <w:rsid w:val="6F3D39F1"/>
    <w:rsid w:val="6FA14A81"/>
    <w:rsid w:val="6FA3261F"/>
    <w:rsid w:val="6FBA5815"/>
    <w:rsid w:val="700D6539"/>
    <w:rsid w:val="704203E3"/>
    <w:rsid w:val="7058046B"/>
    <w:rsid w:val="706732A6"/>
    <w:rsid w:val="707F2079"/>
    <w:rsid w:val="70922734"/>
    <w:rsid w:val="70CE6DC7"/>
    <w:rsid w:val="710B3646"/>
    <w:rsid w:val="71156C43"/>
    <w:rsid w:val="711759F2"/>
    <w:rsid w:val="713C4ED8"/>
    <w:rsid w:val="71407642"/>
    <w:rsid w:val="71641210"/>
    <w:rsid w:val="71D95B7C"/>
    <w:rsid w:val="71EA6A50"/>
    <w:rsid w:val="71EC42C1"/>
    <w:rsid w:val="71FE31A8"/>
    <w:rsid w:val="721F6113"/>
    <w:rsid w:val="7233782C"/>
    <w:rsid w:val="73177841"/>
    <w:rsid w:val="733774FE"/>
    <w:rsid w:val="73617E1B"/>
    <w:rsid w:val="736D7653"/>
    <w:rsid w:val="738035CB"/>
    <w:rsid w:val="7396335C"/>
    <w:rsid w:val="73F46595"/>
    <w:rsid w:val="74283FA2"/>
    <w:rsid w:val="742C135B"/>
    <w:rsid w:val="74463733"/>
    <w:rsid w:val="748A2F40"/>
    <w:rsid w:val="74F85778"/>
    <w:rsid w:val="75272439"/>
    <w:rsid w:val="758F1E9B"/>
    <w:rsid w:val="75CE266B"/>
    <w:rsid w:val="76120141"/>
    <w:rsid w:val="76C23B43"/>
    <w:rsid w:val="76FD6F97"/>
    <w:rsid w:val="770218E8"/>
    <w:rsid w:val="77C875A5"/>
    <w:rsid w:val="784654D3"/>
    <w:rsid w:val="78A27DF6"/>
    <w:rsid w:val="78F461E9"/>
    <w:rsid w:val="792606CF"/>
    <w:rsid w:val="79285B3A"/>
    <w:rsid w:val="79625CA9"/>
    <w:rsid w:val="79A91196"/>
    <w:rsid w:val="7A0B32D3"/>
    <w:rsid w:val="7AC13CD3"/>
    <w:rsid w:val="7AE10264"/>
    <w:rsid w:val="7B086EDB"/>
    <w:rsid w:val="7B4A207F"/>
    <w:rsid w:val="7B936F45"/>
    <w:rsid w:val="7BA47419"/>
    <w:rsid w:val="7BB10D45"/>
    <w:rsid w:val="7BB44151"/>
    <w:rsid w:val="7BEC320B"/>
    <w:rsid w:val="7BF82951"/>
    <w:rsid w:val="7C3307AB"/>
    <w:rsid w:val="7C656A39"/>
    <w:rsid w:val="7C6E21F1"/>
    <w:rsid w:val="7CB93996"/>
    <w:rsid w:val="7CBE0F99"/>
    <w:rsid w:val="7D4E45F1"/>
    <w:rsid w:val="7D733448"/>
    <w:rsid w:val="7DFB6D82"/>
    <w:rsid w:val="7E1D71D1"/>
    <w:rsid w:val="7E246254"/>
    <w:rsid w:val="7E6D090F"/>
    <w:rsid w:val="7ECC66B2"/>
    <w:rsid w:val="7EF015E4"/>
    <w:rsid w:val="7F087006"/>
    <w:rsid w:val="7F833169"/>
    <w:rsid w:val="7FA837EF"/>
    <w:rsid w:val="7FC36955"/>
    <w:rsid w:val="7FE903A0"/>
    <w:rsid w:val="7FF97946"/>
    <w:rsid w:val="7FFE78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cs="宋体" w:asciiTheme="minorHAnsi" w:hAnsiTheme="minorHAnsi" w:eastAsiaTheme="minorEastAsia"/>
      <w:color w:val="auto"/>
      <w:kern w:val="0"/>
      <w:sz w:val="24"/>
      <w:szCs w:val="24"/>
      <w:lang w:val="en-US" w:eastAsia="zh-CN" w:bidi="ar-SA"/>
    </w:rPr>
  </w:style>
  <w:style w:type="paragraph" w:styleId="4">
    <w:name w:val="heading 1"/>
    <w:basedOn w:val="1"/>
    <w:next w:val="1"/>
    <w:qFormat/>
    <w:uiPriority w:val="0"/>
    <w:pPr>
      <w:keepNext/>
      <w:keepLines/>
      <w:numPr>
        <w:ilvl w:val="0"/>
        <w:numId w:val="1"/>
      </w:numPr>
      <w:adjustRightInd w:val="0"/>
      <w:snapToGrid w:val="0"/>
      <w:spacing w:before="340" w:after="50" w:afterLines="50" w:line="578" w:lineRule="auto"/>
      <w:ind w:left="425" w:hanging="425"/>
      <w:jc w:val="left"/>
      <w:outlineLvl w:val="0"/>
    </w:pPr>
    <w:rPr>
      <w:rFonts w:ascii="Times New Roman" w:hAnsi="Times New Roman" w:eastAsia="仿宋" w:cs="Times New Roman"/>
      <w:b/>
      <w:bCs/>
      <w:kern w:val="44"/>
      <w:sz w:val="36"/>
      <w:szCs w:val="44"/>
    </w:rPr>
  </w:style>
  <w:style w:type="paragraph" w:styleId="5">
    <w:name w:val="heading 2"/>
    <w:basedOn w:val="1"/>
    <w:next w:val="1"/>
    <w:link w:val="17"/>
    <w:semiHidden/>
    <w:unhideWhenUsed/>
    <w:qFormat/>
    <w:uiPriority w:val="9"/>
    <w:pPr>
      <w:widowControl w:val="0"/>
      <w:numPr>
        <w:ilvl w:val="1"/>
        <w:numId w:val="1"/>
      </w:numPr>
      <w:spacing w:line="416" w:lineRule="auto"/>
      <w:ind w:left="567" w:hanging="567"/>
      <w:outlineLvl w:val="1"/>
    </w:pPr>
    <w:rPr>
      <w:rFonts w:ascii="Calibri Light" w:hAnsi="Calibri Light" w:eastAsia="宋体" w:cs="Times New Roman"/>
      <w:b/>
      <w:bCs/>
      <w:sz w:val="28"/>
      <w:szCs w:val="32"/>
    </w:rPr>
  </w:style>
  <w:style w:type="paragraph" w:styleId="6">
    <w:name w:val="heading 3"/>
    <w:basedOn w:val="1"/>
    <w:next w:val="1"/>
    <w:semiHidden/>
    <w:unhideWhenUsed/>
    <w:qFormat/>
    <w:uiPriority w:val="9"/>
    <w:pPr>
      <w:keepNext/>
      <w:keepLines/>
      <w:numPr>
        <w:ilvl w:val="2"/>
        <w:numId w:val="1"/>
      </w:numPr>
      <w:spacing w:before="50" w:beforeLines="50" w:after="50" w:afterLines="50" w:line="416" w:lineRule="auto"/>
      <w:outlineLvl w:val="2"/>
    </w:pPr>
    <w:rPr>
      <w:rFonts w:ascii="宋体" w:hAnsi="宋体" w:eastAsia="宋体" w:cs="宋体"/>
      <w:b/>
      <w:bCs/>
      <w:sz w:val="32"/>
    </w:rPr>
  </w:style>
  <w:style w:type="paragraph" w:styleId="7">
    <w:name w:val="heading 4"/>
    <w:basedOn w:val="1"/>
    <w:next w:val="1"/>
    <w:semiHidden/>
    <w:unhideWhenUsed/>
    <w:qFormat/>
    <w:uiPriority w:val="9"/>
    <w:pPr>
      <w:keepNext/>
      <w:keepLines/>
      <w:numPr>
        <w:ilvl w:val="3"/>
        <w:numId w:val="1"/>
      </w:numPr>
      <w:spacing w:before="120" w:after="120"/>
      <w:outlineLvl w:val="3"/>
    </w:pPr>
    <w:rPr>
      <w:rFonts w:ascii="Calibri Light" w:hAnsi="Calibri Light" w:eastAsia="宋体" w:cs="Times New Roman"/>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200"/>
    </w:pPr>
    <w:rPr>
      <w:rFonts w:ascii="Times New Roman" w:hAnsi="Times New Roman"/>
    </w:rPr>
  </w:style>
  <w:style w:type="paragraph" w:styleId="3">
    <w:name w:val="Body Text Indent"/>
    <w:basedOn w:val="1"/>
    <w:qFormat/>
    <w:uiPriority w:val="0"/>
    <w:pPr>
      <w:ind w:firstLine="420" w:firstLineChars="200"/>
    </w:pPr>
  </w:style>
  <w:style w:type="paragraph" w:styleId="8">
    <w:name w:val="annotation text"/>
    <w:basedOn w:val="1"/>
    <w:semiHidden/>
    <w:unhideWhenUsed/>
    <w:qFormat/>
    <w:uiPriority w:val="99"/>
    <w:pPr>
      <w:jc w:val="left"/>
    </w:pPr>
  </w:style>
  <w:style w:type="paragraph" w:styleId="9">
    <w:name w:val="Balloon Text"/>
    <w:basedOn w:val="1"/>
    <w:link w:val="26"/>
    <w:unhideWhenUsed/>
    <w:qFormat/>
    <w:uiPriority w:val="99"/>
    <w:rPr>
      <w:rFonts w:cstheme="minorBidi"/>
      <w:kern w:val="2"/>
      <w:sz w:val="18"/>
      <w:szCs w:val="18"/>
    </w:rPr>
  </w:style>
  <w:style w:type="paragraph" w:styleId="10">
    <w:name w:val="footer"/>
    <w:basedOn w:val="1"/>
    <w:link w:val="18"/>
    <w:qFormat/>
    <w:uiPriority w:val="99"/>
    <w:pPr>
      <w:tabs>
        <w:tab w:val="center" w:pos="4153"/>
        <w:tab w:val="right" w:pos="8306"/>
      </w:tabs>
      <w:snapToGrid w:val="0"/>
      <w:jc w:val="left"/>
    </w:pPr>
    <w:rPr>
      <w:rFonts w:cstheme="minorBidi"/>
      <w:kern w:val="2"/>
      <w:sz w:val="18"/>
      <w:szCs w:val="18"/>
    </w:rPr>
  </w:style>
  <w:style w:type="paragraph" w:styleId="11">
    <w:name w:val="header"/>
    <w:basedOn w:val="1"/>
    <w:link w:val="1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center"/>
    </w:pPr>
    <w:rPr>
      <w:rFonts w:cstheme="minorBidi"/>
      <w:kern w:val="2"/>
      <w:sz w:val="18"/>
      <w:szCs w:val="18"/>
    </w:rPr>
  </w:style>
  <w:style w:type="paragraph" w:styleId="1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4">
    <w:name w:val="Table Grid"/>
    <w:qFormat/>
    <w:uiPriority w:val="0"/>
    <w:rPr>
      <w:sz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6">
    <w:name w:val="Strong"/>
    <w:basedOn w:val="15"/>
    <w:qFormat/>
    <w:uiPriority w:val="22"/>
    <w:rPr>
      <w:b/>
    </w:rPr>
  </w:style>
  <w:style w:type="character" w:customStyle="1" w:styleId="17">
    <w:name w:val="标题 2 Char"/>
    <w:link w:val="5"/>
    <w:qFormat/>
    <w:uiPriority w:val="0"/>
    <w:rPr>
      <w:rFonts w:ascii="Calibri Light" w:hAnsi="Calibri Light" w:eastAsia="宋体" w:cs="Times New Roman"/>
      <w:b/>
      <w:bCs/>
      <w:sz w:val="28"/>
      <w:szCs w:val="32"/>
    </w:rPr>
  </w:style>
  <w:style w:type="character" w:customStyle="1" w:styleId="18">
    <w:name w:val="页脚 Char"/>
    <w:basedOn w:val="15"/>
    <w:link w:val="10"/>
    <w:qFormat/>
    <w:uiPriority w:val="99"/>
    <w:rPr>
      <w:rFonts w:asciiTheme="minorHAnsi" w:hAnsiTheme="minorHAnsi" w:eastAsiaTheme="minorEastAsia" w:cstheme="minorBidi"/>
      <w:sz w:val="18"/>
      <w:szCs w:val="18"/>
      <w:lang w:val="en-US" w:eastAsia="zh-CN" w:bidi="ar-SA"/>
    </w:rPr>
  </w:style>
  <w:style w:type="character" w:customStyle="1" w:styleId="19">
    <w:name w:val="页眉 Char"/>
    <w:basedOn w:val="15"/>
    <w:link w:val="11"/>
    <w:qFormat/>
    <w:uiPriority w:val="0"/>
    <w:rPr>
      <w:rFonts w:asciiTheme="minorHAnsi" w:hAnsiTheme="minorHAnsi" w:eastAsiaTheme="minorEastAsia" w:cstheme="minorBidi"/>
      <w:sz w:val="18"/>
      <w:szCs w:val="18"/>
      <w:lang w:val="en-US" w:eastAsia="zh-CN" w:bidi="ar-SA"/>
    </w:rPr>
  </w:style>
  <w:style w:type="character" w:customStyle="1" w:styleId="20">
    <w:name w:val="font11"/>
    <w:basedOn w:val="15"/>
    <w:qFormat/>
    <w:uiPriority w:val="0"/>
    <w:rPr>
      <w:rFonts w:hint="eastAsia" w:ascii="宋体" w:hAnsi="宋体" w:eastAsia="宋体" w:cs="宋体"/>
      <w:color w:val="000000"/>
      <w:sz w:val="20"/>
      <w:szCs w:val="20"/>
      <w:u w:val="none"/>
      <w:lang w:val="en-US" w:eastAsia="zh-CN" w:bidi="ar-SA"/>
    </w:rPr>
  </w:style>
  <w:style w:type="character" w:customStyle="1" w:styleId="21">
    <w:name w:val="font01"/>
    <w:basedOn w:val="15"/>
    <w:qFormat/>
    <w:uiPriority w:val="0"/>
    <w:rPr>
      <w:rFonts w:hint="eastAsia" w:ascii="宋体" w:hAnsi="宋体" w:eastAsia="宋体" w:cs="宋体"/>
      <w:color w:val="000000"/>
      <w:sz w:val="22"/>
      <w:szCs w:val="22"/>
      <w:u w:val="none"/>
      <w:lang w:val="en-US" w:eastAsia="zh-CN" w:bidi="ar-SA"/>
    </w:rPr>
  </w:style>
  <w:style w:type="character" w:customStyle="1" w:styleId="22">
    <w:name w:val="font41"/>
    <w:basedOn w:val="15"/>
    <w:qFormat/>
    <w:uiPriority w:val="0"/>
    <w:rPr>
      <w:rFonts w:hint="eastAsia" w:ascii="宋体" w:hAnsi="宋体" w:eastAsia="宋体" w:cs="宋体"/>
      <w:color w:val="000000"/>
      <w:sz w:val="24"/>
      <w:szCs w:val="24"/>
      <w:u w:val="none"/>
      <w:lang w:val="en-US" w:eastAsia="zh-CN" w:bidi="ar-SA"/>
    </w:rPr>
  </w:style>
  <w:style w:type="character" w:customStyle="1" w:styleId="23">
    <w:name w:val="font31"/>
    <w:basedOn w:val="15"/>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4">
    <w:name w:val="font91"/>
    <w:basedOn w:val="15"/>
    <w:qFormat/>
    <w:uiPriority w:val="0"/>
    <w:rPr>
      <w:rFonts w:hint="eastAsia" w:ascii="华文中宋" w:hAnsi="华文中宋" w:eastAsia="华文中宋" w:cs="华文中宋"/>
      <w:color w:val="000000"/>
      <w:sz w:val="32"/>
      <w:szCs w:val="32"/>
      <w:u w:val="none"/>
      <w:lang w:val="en-US" w:eastAsia="zh-CN" w:bidi="ar-SA"/>
    </w:rPr>
  </w:style>
  <w:style w:type="character" w:customStyle="1" w:styleId="25">
    <w:name w:val="font51"/>
    <w:basedOn w:val="15"/>
    <w:qFormat/>
    <w:uiPriority w:val="0"/>
    <w:rPr>
      <w:rFonts w:hint="eastAsia" w:ascii="宋体" w:hAnsi="宋体" w:eastAsia="宋体" w:cs="宋体"/>
      <w:color w:val="000000"/>
      <w:sz w:val="24"/>
      <w:szCs w:val="24"/>
      <w:u w:val="none"/>
      <w:lang w:val="en-US" w:eastAsia="zh-CN" w:bidi="ar-SA"/>
    </w:rPr>
  </w:style>
  <w:style w:type="character" w:customStyle="1" w:styleId="26">
    <w:name w:val="批注框文本 Char"/>
    <w:basedOn w:val="15"/>
    <w:link w:val="9"/>
    <w:semiHidden/>
    <w:qFormat/>
    <w:uiPriority w:val="99"/>
    <w:rPr>
      <w:rFonts w:asciiTheme="minorHAnsi" w:hAnsiTheme="minorHAnsi" w:eastAsiaTheme="minorEastAsia" w:cstheme="minorBidi"/>
      <w:sz w:val="18"/>
      <w:szCs w:val="18"/>
      <w:lang w:val="en-US" w:eastAsia="zh-CN" w:bidi="ar-SA"/>
    </w:rPr>
  </w:style>
  <w:style w:type="character" w:customStyle="1" w:styleId="27">
    <w:name w:val="font71"/>
    <w:basedOn w:val="15"/>
    <w:qFormat/>
    <w:uiPriority w:val="0"/>
    <w:rPr>
      <w:rFonts w:hint="default" w:ascii="Calibri" w:hAnsi="Calibri" w:cs="Calibri"/>
      <w:color w:val="000000"/>
      <w:sz w:val="20"/>
      <w:szCs w:val="20"/>
      <w:u w:val="none"/>
    </w:rPr>
  </w:style>
  <w:style w:type="character" w:customStyle="1" w:styleId="28">
    <w:name w:val="font61"/>
    <w:basedOn w:val="15"/>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chart" Target="charts/chart6.xml"/><Relationship Id="rId20" Type="http://schemas.openxmlformats.org/officeDocument/2006/relationships/chart" Target="charts/chart5.xml"/><Relationship Id="rId2" Type="http://schemas.openxmlformats.org/officeDocument/2006/relationships/settings" Target="settings.xml"/><Relationship Id="rId19" Type="http://schemas.openxmlformats.org/officeDocument/2006/relationships/chart" Target="charts/chart4.xml"/><Relationship Id="rId18" Type="http://schemas.openxmlformats.org/officeDocument/2006/relationships/chart" Target="charts/chart3.xml"/><Relationship Id="rId17" Type="http://schemas.openxmlformats.org/officeDocument/2006/relationships/chart" Target="charts/chart2.xml"/><Relationship Id="rId16" Type="http://schemas.openxmlformats.org/officeDocument/2006/relationships/chart" Target="charts/chart1.xml"/><Relationship Id="rId15" Type="http://schemas.openxmlformats.org/officeDocument/2006/relationships/image" Target="media/image6.svg"/><Relationship Id="rId14" Type="http://schemas.openxmlformats.org/officeDocument/2006/relationships/image" Target="media/image5.png"/><Relationship Id="rId13" Type="http://schemas.openxmlformats.org/officeDocument/2006/relationships/image" Target="media/image4.jpe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1 </a:t>
            </a:r>
            <a:r>
              <a:rPr lang="zh-CN" altLang="en-US"/>
              <a:t>： </a:t>
            </a:r>
            <a:r>
              <a:rPr lang="en-US" altLang="zh-CN"/>
              <a:t>2022-2023</a:t>
            </a:r>
            <a:r>
              <a:rPr lang="zh-CN" altLang="en-US"/>
              <a:t>年收支总计对比图</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10155.37</c:v>
                </c:pt>
                <c:pt idx="1">
                  <c:v>8919.4</c:v>
                </c:pt>
              </c:numCache>
            </c:numRef>
          </c:val>
        </c:ser>
        <c:dLbls>
          <c:showLegendKey val="0"/>
          <c:showVal val="1"/>
          <c:showCatName val="0"/>
          <c:showSerName val="0"/>
          <c:showPercent val="0"/>
          <c:showBubbleSize val="0"/>
        </c:dLbls>
        <c:gapWidth val="246"/>
        <c:overlap val="-28"/>
        <c:axId val="817088452"/>
        <c:axId val="587069473"/>
      </c:barChart>
      <c:catAx>
        <c:axId val="817088452"/>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069473"/>
        <c:crosses val="autoZero"/>
        <c:auto val="1"/>
        <c:lblAlgn val="ctr"/>
        <c:lblOffset val="100"/>
        <c:noMultiLvlLbl val="0"/>
      </c:catAx>
      <c:valAx>
        <c:axId val="58706947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70884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2 </a:t>
            </a:r>
            <a:r>
              <a:rPr lang="zh-CN" altLang="en-US"/>
              <a:t>：收入决算构成情况</a:t>
            </a:r>
            <a:endParaRPr lang="zh-CN" altLang="en-US"/>
          </a:p>
        </c:rich>
      </c:tx>
      <c:layout>
        <c:manualLayout>
          <c:xMode val="edge"/>
          <c:yMode val="edge"/>
          <c:x val="0.241483450108722"/>
          <c:y val="0.00637484062898428"/>
        </c:manualLayout>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Lbls>
            <c:dLbl>
              <c:idx val="2"/>
              <c:layout>
                <c:manualLayout>
                  <c:x val="0.279052911331239"/>
                  <c:y val="0.35699107522311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17105581058227"/>
                  <c:y val="0.248618784530387"/>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269992751872433"/>
                  <c:y val="0.04143646408839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0.356970282676975"/>
                  <c:y val="0.0588827029299199"/>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1"/>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财政拨款收入</c:v>
                </c:pt>
                <c:pt idx="1">
                  <c:v>上级补助收入</c:v>
                </c:pt>
                <c:pt idx="2">
                  <c:v>事业收入</c:v>
                </c:pt>
                <c:pt idx="3">
                  <c:v>经营收入</c:v>
                </c:pt>
                <c:pt idx="4">
                  <c:v>附属单位上缴收入</c:v>
                </c:pt>
                <c:pt idx="5">
                  <c:v>其他收入</c:v>
                </c:pt>
              </c:strCache>
            </c:strRef>
          </c:cat>
          <c:val>
            <c:numRef>
              <c:f>Sheet1!$B$2:$B$7</c:f>
              <c:numCache>
                <c:formatCode>General</c:formatCode>
                <c:ptCount val="6"/>
                <c:pt idx="0">
                  <c:v>89193968.4</c:v>
                </c:pt>
                <c:pt idx="1">
                  <c:v>0</c:v>
                </c:pt>
                <c:pt idx="2">
                  <c:v>0</c:v>
                </c:pt>
                <c:pt idx="3">
                  <c:v>0</c:v>
                </c:pt>
                <c:pt idx="4">
                  <c:v>0</c:v>
                </c:pt>
                <c:pt idx="5">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baseline="0">
                <a:solidFill>
                  <a:schemeClr val="tx1">
                    <a:lumMod val="75000"/>
                    <a:lumOff val="25000"/>
                  </a:schemeClr>
                </a:solidFill>
                <a:latin typeface="+mn-lt"/>
                <a:ea typeface="+mn-ea"/>
                <a:cs typeface="+mn-cs"/>
              </a:defRPr>
            </a:pPr>
            <a:r>
              <a:rPr lang="zh-CN" altLang="en-US" b="0"/>
              <a:t>图 </a:t>
            </a:r>
            <a:r>
              <a:rPr lang="en-US" altLang="zh-CN" b="0"/>
              <a:t>3 </a:t>
            </a:r>
            <a:r>
              <a:rPr lang="zh-CN" altLang="en-US" b="0"/>
              <a:t>：指出决算构成情况图</a:t>
            </a:r>
            <a:endParaRPr lang="zh-CN" altLang="en-US" b="0"/>
          </a:p>
        </c:rich>
      </c:tx>
      <c:layout>
        <c:manualLayout>
          <c:xMode val="edge"/>
          <c:yMode val="edge"/>
          <c:x val="0.236651365064025"/>
          <c:y val="0.00637484062898428"/>
        </c:manualLayout>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dLbl>
              <c:idx val="2"/>
              <c:layout>
                <c:manualLayout>
                  <c:x val="0.018120318917613"/>
                  <c:y val="0.0127496812579686"/>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24353708625272"/>
                  <c:y val="0.0414364640883978"/>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dLbl>
              <c:idx val="4"/>
              <c:layout>
                <c:manualLayout>
                  <c:x val="-0.259120560521865"/>
                  <c:y val="0.0764980875478113"/>
                </c:manualLayout>
              </c:layout>
              <c:dLblPos val="bestFit"/>
              <c:showLegendKey val="1"/>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1"/>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52147600</c:v>
                </c:pt>
                <c:pt idx="1">
                  <c:v>37046368.4</c:v>
                </c:pt>
                <c:pt idx="2">
                  <c:v>0</c:v>
                </c:pt>
                <c:pt idx="3">
                  <c:v>0</c:v>
                </c:pt>
                <c:pt idx="4">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4 </a:t>
            </a:r>
            <a:r>
              <a:rPr lang="zh-CN" altLang="en-US"/>
              <a:t>：</a:t>
            </a:r>
            <a:r>
              <a:rPr lang="en-US" altLang="zh-CN"/>
              <a:t>2022-2023</a:t>
            </a:r>
            <a:r>
              <a:rPr lang="zh-CN" altLang="en-US"/>
              <a:t>年财政拨款收支对比图</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10155.37</c:v>
                </c:pt>
                <c:pt idx="1">
                  <c:v>10155.37</c:v>
                </c:pt>
                <c:pt idx="2">
                  <c:v>10018.56</c:v>
                </c:pt>
                <c:pt idx="3">
                  <c:v>10018.56</c:v>
                </c:pt>
                <c:pt idx="4">
                  <c:v>136.81</c:v>
                </c:pt>
                <c:pt idx="5">
                  <c:v>136.81</c:v>
                </c:pt>
                <c:pt idx="6">
                  <c:v>0</c:v>
                </c:pt>
                <c:pt idx="7">
                  <c:v>0</c:v>
                </c:pt>
              </c:numCache>
            </c:numRef>
          </c:val>
        </c:ser>
        <c:ser>
          <c:idx val="1"/>
          <c:order val="1"/>
          <c:tx>
            <c:strRef>
              <c:f>Sheet1!$C$1</c:f>
              <c:strCache>
                <c:ptCount val="1"/>
                <c:pt idx="0">
                  <c:v>2023年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8919.4</c:v>
                </c:pt>
                <c:pt idx="1">
                  <c:v>8919.4</c:v>
                </c:pt>
                <c:pt idx="2">
                  <c:v>8782.59</c:v>
                </c:pt>
                <c:pt idx="3">
                  <c:v>8782.59</c:v>
                </c:pt>
                <c:pt idx="4">
                  <c:v>136.81</c:v>
                </c:pt>
                <c:pt idx="5">
                  <c:v>136.81</c:v>
                </c:pt>
                <c:pt idx="6">
                  <c:v>0</c:v>
                </c:pt>
                <c:pt idx="7">
                  <c:v>0</c:v>
                </c:pt>
              </c:numCache>
            </c:numRef>
          </c:val>
        </c:ser>
        <c:dLbls>
          <c:showLegendKey val="0"/>
          <c:showVal val="1"/>
          <c:showCatName val="0"/>
          <c:showSerName val="0"/>
          <c:showPercent val="0"/>
          <c:showBubbleSize val="0"/>
        </c:dLbls>
        <c:gapWidth val="246"/>
        <c:overlap val="-28"/>
        <c:axId val="40225855"/>
        <c:axId val="660958640"/>
      </c:barChart>
      <c:catAx>
        <c:axId val="40225855"/>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958640"/>
        <c:crosses val="autoZero"/>
        <c:auto val="1"/>
        <c:lblAlgn val="ctr"/>
        <c:lblOffset val="100"/>
        <c:noMultiLvlLbl val="0"/>
      </c:catAx>
      <c:valAx>
        <c:axId val="66095864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22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图 </a:t>
            </a:r>
            <a:r>
              <a:rPr lang="en-US" altLang="zh-CN"/>
              <a:t>5 :</a:t>
            </a:r>
            <a:r>
              <a:rPr lang="zh-CN" altLang="en-US"/>
              <a:t>财政拨款收支预算对比图</a:t>
            </a:r>
            <a:endParaRPr lang="zh-CN" altLang="en-US"/>
          </a:p>
        </c:rich>
      </c:tx>
      <c:layout/>
      <c:overlay val="0"/>
      <c:spPr>
        <a:noFill/>
        <a:ln>
          <a:noFill/>
        </a:ln>
        <a:effectLst/>
      </c:spPr>
    </c:title>
    <c:autoTitleDeleted val="0"/>
    <c:plotArea>
      <c:layout>
        <c:manualLayout>
          <c:layoutTarget val="inner"/>
          <c:xMode val="edge"/>
          <c:yMode val="edge"/>
          <c:x val="0.17641942498188"/>
          <c:y val="0.160433489162771"/>
          <c:w val="0.795796086011114"/>
          <c:h val="0.474330641733957"/>
        </c:manualLayout>
      </c:layout>
      <c:barChart>
        <c:barDir val="col"/>
        <c:grouping val="clustered"/>
        <c:varyColors val="0"/>
        <c:ser>
          <c:idx val="0"/>
          <c:order val="0"/>
          <c:tx>
            <c:strRef>
              <c:f>Sheet1!$B$1</c:f>
              <c:strCache>
                <c:ptCount val="1"/>
                <c:pt idx="0">
                  <c:v>年初预算数</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Sheet1!$B$2:$B$9</c:f>
              <c:numCache>
                <c:formatCode>General</c:formatCode>
                <c:ptCount val="8"/>
                <c:pt idx="0">
                  <c:v>8809.01</c:v>
                </c:pt>
                <c:pt idx="1">
                  <c:v>8809.01</c:v>
                </c:pt>
                <c:pt idx="2">
                  <c:v>8672.2</c:v>
                </c:pt>
                <c:pt idx="3">
                  <c:v>8672.2</c:v>
                </c:pt>
                <c:pt idx="4">
                  <c:v>136.81</c:v>
                </c:pt>
                <c:pt idx="5">
                  <c:v>136.81</c:v>
                </c:pt>
                <c:pt idx="6">
                  <c:v>0</c:v>
                </c:pt>
                <c:pt idx="7">
                  <c:v>0</c:v>
                </c:pt>
              </c:numCache>
            </c:numRef>
          </c:val>
        </c:ser>
        <c:ser>
          <c:idx val="1"/>
          <c:order val="1"/>
          <c:tx>
            <c:strRef>
              <c:f>Sheet1!$C$1</c:f>
              <c:strCache>
                <c:ptCount val="1"/>
                <c:pt idx="0">
                  <c:v>决算数</c:v>
                </c:pt>
              </c:strCache>
            </c:strRef>
          </c:tx>
          <c:spPr>
            <a:solidFill>
              <a:schemeClr val="accent2"/>
            </a:solidFill>
            <a:ln>
              <a:noFill/>
            </a:ln>
            <a:effectLst/>
          </c:spPr>
          <c:invertIfNegative val="0"/>
          <c:dLbls>
            <c:dLbl>
              <c:idx val="0"/>
              <c:layout>
                <c:manualLayout>
                  <c:x val="0.00543609567528389"/>
                  <c:y val="-0.0478113047173821"/>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543609567528389"/>
                  <c:y val="-0.0446238844028899"/>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0724812756704518"/>
                  <c:y val="-0.038249043773905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163082870258517"/>
                  <c:y val="-0.0541861453463663"/>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217443827011355"/>
                  <c:y val="-0.0733106672333192"/>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906015945880648"/>
                  <c:y val="-0.070123246918827"/>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
                  <c:y val="-0.082872928176795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0543609567528389"/>
                  <c:y val="-0.0828729281767956"/>
                </c:manualLayout>
              </c:layout>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财政拨款收入</c:v>
                </c:pt>
                <c:pt idx="1">
                  <c:v>财政拨款支出</c:v>
                </c:pt>
                <c:pt idx="2">
                  <c:v>一般公共预算财政拨款收入</c:v>
                </c:pt>
                <c:pt idx="3">
                  <c:v>一般公共预算财政拨款支出</c:v>
                </c:pt>
                <c:pt idx="4">
                  <c:v>政府性基金财政拨款收入</c:v>
                </c:pt>
                <c:pt idx="5">
                  <c:v>政府性基金财政拨款支出</c:v>
                </c:pt>
                <c:pt idx="6">
                  <c:v>国有资本经营预算财政拨款收入</c:v>
                </c:pt>
                <c:pt idx="7">
                  <c:v>国有资本经营预算财政拨款支出</c:v>
                </c:pt>
              </c:strCache>
            </c:strRef>
          </c:cat>
          <c:val>
            <c:numRef>
              <c:f>Sheet1!$C$2:$C$9</c:f>
              <c:numCache>
                <c:formatCode>General</c:formatCode>
                <c:ptCount val="8"/>
                <c:pt idx="0">
                  <c:v>8919.4</c:v>
                </c:pt>
                <c:pt idx="1">
                  <c:v>8919.4</c:v>
                </c:pt>
                <c:pt idx="2">
                  <c:v>8782.59</c:v>
                </c:pt>
                <c:pt idx="3">
                  <c:v>8782.59</c:v>
                </c:pt>
                <c:pt idx="4">
                  <c:v>136.81</c:v>
                </c:pt>
                <c:pt idx="5">
                  <c:v>136.81</c:v>
                </c:pt>
                <c:pt idx="6">
                  <c:v>0</c:v>
                </c:pt>
                <c:pt idx="7">
                  <c:v>0</c:v>
                </c:pt>
              </c:numCache>
            </c:numRef>
          </c:val>
        </c:ser>
        <c:dLbls>
          <c:showLegendKey val="0"/>
          <c:showVal val="1"/>
          <c:showCatName val="0"/>
          <c:showSerName val="0"/>
          <c:showPercent val="0"/>
          <c:showBubbleSize val="0"/>
        </c:dLbls>
        <c:gapWidth val="150"/>
        <c:axId val="136214206"/>
        <c:axId val="897256872"/>
      </c:barChart>
      <c:catAx>
        <c:axId val="136214206"/>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7256872"/>
        <c:crosses val="autoZero"/>
        <c:auto val="1"/>
        <c:lblAlgn val="ctr"/>
        <c:lblOffset val="100"/>
        <c:noMultiLvlLbl val="0"/>
      </c:catAx>
      <c:valAx>
        <c:axId val="89725687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621420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r>
              <a:rPr lang="zh-CN" altLang="en-US"/>
              <a:t>图</a:t>
            </a:r>
            <a:r>
              <a:rPr lang="en-US" altLang="zh-CN"/>
              <a:t>6  : </a:t>
            </a:r>
            <a:r>
              <a:rPr lang="zh-CN" altLang="en-US"/>
              <a:t>财政拨款支出决算构成情况图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Pt>
            <c:idx val="8"/>
            <c:bubble3D val="0"/>
            <c:spPr>
              <a:solidFill>
                <a:schemeClr val="accent3">
                  <a:lumMod val="60000"/>
                </a:schemeClr>
              </a:solidFill>
              <a:ln>
                <a:solidFill>
                  <a:schemeClr val="bg1"/>
                </a:solidFill>
              </a:ln>
              <a:effectLst/>
            </c:spPr>
          </c:dPt>
          <c:dPt>
            <c:idx val="9"/>
            <c:bubble3D val="0"/>
            <c:spPr>
              <a:solidFill>
                <a:schemeClr val="accent4">
                  <a:lumMod val="60000"/>
                </a:schemeClr>
              </a:solidFill>
              <a:ln>
                <a:solidFill>
                  <a:schemeClr val="bg1"/>
                </a:solidFill>
              </a:ln>
              <a:effectLst/>
            </c:spPr>
          </c:dPt>
          <c:dPt>
            <c:idx val="10"/>
            <c:bubble3D val="0"/>
            <c:spPr>
              <a:solidFill>
                <a:schemeClr val="accent5">
                  <a:lumMod val="60000"/>
                </a:schemeClr>
              </a:solidFill>
              <a:ln>
                <a:solidFill>
                  <a:schemeClr val="bg1"/>
                </a:solidFill>
              </a:ln>
              <a:effectLst/>
            </c:spPr>
          </c:dPt>
          <c:dPt>
            <c:idx val="11"/>
            <c:bubble3D val="0"/>
            <c:spPr>
              <a:solidFill>
                <a:schemeClr val="accent6">
                  <a:lumMod val="60000"/>
                </a:schemeClr>
              </a:solidFill>
              <a:ln>
                <a:solidFill>
                  <a:schemeClr val="bg1"/>
                </a:solidFill>
              </a:ln>
              <a:effectLst/>
            </c:spPr>
          </c:dPt>
          <c:dPt>
            <c:idx val="12"/>
            <c:bubble3D val="0"/>
            <c:spPr>
              <a:solidFill>
                <a:schemeClr val="accent1">
                  <a:lumMod val="80000"/>
                  <a:lumOff val="20000"/>
                </a:schemeClr>
              </a:solidFill>
              <a:ln>
                <a:solidFill>
                  <a:schemeClr val="bg1"/>
                </a:solidFill>
              </a:ln>
              <a:effectLst/>
            </c:spPr>
          </c:dPt>
          <c:dPt>
            <c:idx val="13"/>
            <c:bubble3D val="0"/>
            <c:spPr>
              <a:solidFill>
                <a:schemeClr val="accent2">
                  <a:lumMod val="80000"/>
                  <a:lumOff val="20000"/>
                </a:schemeClr>
              </a:solidFill>
              <a:ln>
                <a:solidFill>
                  <a:schemeClr val="bg1"/>
                </a:solidFill>
              </a:ln>
              <a:effectLst/>
            </c:spPr>
          </c:dPt>
          <c:dPt>
            <c:idx val="14"/>
            <c:bubble3D val="0"/>
            <c:spPr>
              <a:solidFill>
                <a:schemeClr val="accent3">
                  <a:lumMod val="80000"/>
                  <a:lumOff val="20000"/>
                </a:schemeClr>
              </a:solidFill>
              <a:ln>
                <a:solidFill>
                  <a:schemeClr val="bg1"/>
                </a:solidFill>
              </a:ln>
              <a:effectLst/>
            </c:spPr>
          </c:dPt>
          <c:dPt>
            <c:idx val="15"/>
            <c:bubble3D val="0"/>
            <c:spPr>
              <a:solidFill>
                <a:schemeClr val="accent4">
                  <a:lumMod val="80000"/>
                  <a:lumOff val="20000"/>
                </a:schemeClr>
              </a:solidFill>
              <a:ln>
                <a:solidFill>
                  <a:schemeClr val="bg1"/>
                </a:solidFill>
              </a:ln>
              <a:effectLst/>
            </c:spPr>
          </c:dPt>
          <c:dPt>
            <c:idx val="16"/>
            <c:bubble3D val="0"/>
            <c:spPr>
              <a:solidFill>
                <a:schemeClr val="accent5">
                  <a:lumMod val="80000"/>
                  <a:lumOff val="20000"/>
                </a:schemeClr>
              </a:solidFill>
              <a:ln>
                <a:solidFill>
                  <a:schemeClr val="bg1"/>
                </a:solidFill>
              </a:ln>
              <a:effectLst/>
            </c:spPr>
          </c:dPt>
          <c:dPt>
            <c:idx val="17"/>
            <c:bubble3D val="0"/>
            <c:spPr>
              <a:solidFill>
                <a:schemeClr val="accent6">
                  <a:lumMod val="80000"/>
                  <a:lumOff val="20000"/>
                </a:schemeClr>
              </a:solidFill>
              <a:ln>
                <a:solidFill>
                  <a:schemeClr val="bg1"/>
                </a:solidFill>
              </a:ln>
              <a:effectLst/>
            </c:spPr>
          </c:dPt>
          <c:dPt>
            <c:idx val="18"/>
            <c:bubble3D val="0"/>
            <c:spPr>
              <a:solidFill>
                <a:schemeClr val="accent1">
                  <a:lumMod val="80000"/>
                </a:schemeClr>
              </a:solidFill>
              <a:ln>
                <a:solidFill>
                  <a:schemeClr val="bg1"/>
                </a:solidFill>
              </a:ln>
              <a:effectLst/>
            </c:spPr>
          </c:dPt>
          <c:dPt>
            <c:idx val="19"/>
            <c:bubble3D val="0"/>
            <c:spPr>
              <a:solidFill>
                <a:schemeClr val="accent2">
                  <a:lumMod val="80000"/>
                </a:schemeClr>
              </a:solidFill>
              <a:ln>
                <a:solidFill>
                  <a:schemeClr val="bg1"/>
                </a:solidFill>
              </a:ln>
              <a:effectLst/>
            </c:spPr>
          </c:dPt>
          <c:dPt>
            <c:idx val="20"/>
            <c:bubble3D val="0"/>
            <c:spPr>
              <a:solidFill>
                <a:schemeClr val="accent3">
                  <a:lumMod val="80000"/>
                </a:schemeClr>
              </a:solidFill>
              <a:ln>
                <a:solidFill>
                  <a:schemeClr val="bg1"/>
                </a:solidFill>
              </a:ln>
              <a:effectLst/>
            </c:spPr>
          </c:dPt>
          <c:dPt>
            <c:idx val="21"/>
            <c:bubble3D val="0"/>
            <c:spPr>
              <a:solidFill>
                <a:schemeClr val="accent4">
                  <a:lumMod val="80000"/>
                </a:schemeClr>
              </a:solidFill>
              <a:ln>
                <a:solidFill>
                  <a:schemeClr val="bg1"/>
                </a:solidFill>
              </a:ln>
              <a:effectLst/>
            </c:spPr>
          </c:dPt>
          <c:dLbls>
            <c:delete val="1"/>
          </c:dLbls>
          <c:cat>
            <c:strRef>
              <c:f>Sheet1!$A$2:$A$23</c:f>
              <c:strCache>
                <c:ptCount val="22"/>
                <c:pt idx="0">
                  <c:v>一般公共服务支出</c:v>
                </c:pt>
                <c:pt idx="1">
                  <c:v>国防支出</c:v>
                </c:pt>
                <c:pt idx="2">
                  <c:v>公共安全支出</c:v>
                </c:pt>
                <c:pt idx="3">
                  <c:v>教育支出</c:v>
                </c:pt>
                <c:pt idx="4">
                  <c:v>科学技术支出</c:v>
                </c:pt>
                <c:pt idx="5">
                  <c:v>文化旅游体育与传媒支出</c:v>
                </c:pt>
                <c:pt idx="6">
                  <c:v>社会保障和就业支出</c:v>
                </c:pt>
                <c:pt idx="7">
                  <c:v>卫生健康支出</c:v>
                </c:pt>
                <c:pt idx="8">
                  <c:v>节能环保支出</c:v>
                </c:pt>
                <c:pt idx="9">
                  <c:v>城乡社区支出</c:v>
                </c:pt>
                <c:pt idx="10">
                  <c:v>农林水支出</c:v>
                </c:pt>
                <c:pt idx="11">
                  <c:v>交通运输支出</c:v>
                </c:pt>
                <c:pt idx="12">
                  <c:v>资源勘探工业信息等支出</c:v>
                </c:pt>
                <c:pt idx="13">
                  <c:v>商业服务业等支出</c:v>
                </c:pt>
                <c:pt idx="14">
                  <c:v>金融支出</c:v>
                </c:pt>
                <c:pt idx="15">
                  <c:v>自然资源海洋气象等支出</c:v>
                </c:pt>
                <c:pt idx="16">
                  <c:v>住房保障支出</c:v>
                </c:pt>
                <c:pt idx="17">
                  <c:v>粮油物资储备支出</c:v>
                </c:pt>
                <c:pt idx="18">
                  <c:v>国有资本经营预算支出</c:v>
                </c:pt>
                <c:pt idx="19">
                  <c:v>灾害防治及应急管理支出</c:v>
                </c:pt>
                <c:pt idx="20">
                  <c:v>其他支出</c:v>
                </c:pt>
                <c:pt idx="21">
                  <c:v>债务付息支出</c:v>
                </c:pt>
              </c:strCache>
            </c:strRef>
          </c:cat>
          <c:val>
            <c:numRef>
              <c:f>Sheet1!$B$2:$B$23</c:f>
              <c:numCache>
                <c:formatCode>General</c:formatCode>
                <c:ptCount val="22"/>
                <c:pt idx="0">
                  <c:v>0</c:v>
                </c:pt>
                <c:pt idx="1">
                  <c:v>0</c:v>
                </c:pt>
                <c:pt idx="2">
                  <c:v>0</c:v>
                </c:pt>
                <c:pt idx="3">
                  <c:v>0</c:v>
                </c:pt>
                <c:pt idx="4">
                  <c:v>0</c:v>
                </c:pt>
                <c:pt idx="5">
                  <c:v>8782.59</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136.81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54</Pages>
  <Words>10283</Words>
  <Characters>34683</Characters>
  <Lines>86</Lines>
  <Paragraphs>24</Paragraphs>
  <TotalTime>67</TotalTime>
  <ScaleCrop>false</ScaleCrop>
  <LinksUpToDate>false</LinksUpToDate>
  <CharactersWithSpaces>35311</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2023-08-04T07:55:00Z</dcterms:created>
  <dc:creator>王明新TIAD</dc:creator>
  <cp:lastModifiedBy>LL</cp:lastModifiedBy>
  <cp:lastPrinted>2023-08-04T01:00:00Z</cp:lastPrinted>
  <dcterms:modified xsi:type="dcterms:W3CDTF">2026-08-18T07:57:51Z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C606A1F9AFE24290B52D98FABC930B66_12</vt:lpwstr>
  </property>
  <property fmtid="{D5CDD505-2E9C-101B-9397-08002B2CF9AE}" pid="4" name="KSOTemplateUUID">
    <vt:lpwstr>v1.0_mb_S7ajbG3IpAnL1wSthNCxfw==</vt:lpwstr>
  </property>
</Properties>
</file>