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石家庄市井陉矿区人民法院</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614</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石家庄市井陉矿区人民法院</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石家庄市井陉矿区人民法院</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bookmarkStart w:id="0" w:name="_GoBack"/>
      <w:bookmarkEnd w:id="0"/>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after="160" w:line="580" w:lineRule="exact"/>
        <w:ind w:firstLine="640" w:firstLineChars="200"/>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2"/>
        <w:tblpPr w:leftFromText="180" w:rightFromText="180" w:vertAnchor="text" w:horzAnchor="page" w:tblpXSpec="center" w:tblpY="51"/>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石家庄市井陉矿区人民法院</w:t>
            </w:r>
          </w:p>
        </w:tc>
        <w:tc>
          <w:tcPr>
            <w:tcW w:w="244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highlight w:val="none"/>
              </w:rPr>
              <w:t>行政单位</w:t>
            </w:r>
          </w:p>
        </w:tc>
        <w:tc>
          <w:tcPr>
            <w:tcW w:w="266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highlight w:val="none"/>
              </w:rPr>
              <w:t>财政拨款</w:t>
            </w:r>
          </w:p>
        </w:tc>
      </w:tr>
    </w:tbl>
    <w:p>
      <w:pPr>
        <w:widowControl/>
        <w:spacing w:after="160" w:line="580" w:lineRule="exact"/>
        <w:rPr>
          <w:rFonts w:hint="eastAsia" w:ascii="Times New Roman" w:hAnsi="Times New Roman" w:eastAsia="黑体" w:cs="Times New Roman"/>
          <w:sz w:val="32"/>
          <w:szCs w:val="32"/>
          <w:highlight w:val="none"/>
        </w:rPr>
      </w:pPr>
    </w:p>
    <w:p>
      <w:pPr>
        <w:widowControl/>
        <w:spacing w:after="160" w:line="580" w:lineRule="exact"/>
        <w:ind w:firstLine="640" w:firstLineChars="200"/>
        <w:rPr>
          <w:rFonts w:hint="eastAsia" w:ascii="Times New Roman" w:eastAsia="仿宋_GB2312" w:cs="宋体"/>
          <w:b w:val="0"/>
          <w:sz w:val="32"/>
          <w:szCs w:val="32"/>
        </w:rPr>
      </w:pPr>
      <w:r>
        <w:rPr>
          <w:rFonts w:hint="eastAsia" w:ascii="Times New Roman" w:eastAsia="仿宋_GB2312" w:cs="宋体"/>
          <w:b w:val="0"/>
          <w:sz w:val="32"/>
          <w:szCs w:val="32"/>
        </w:rPr>
        <w:t>我部门无二级预算单位，因此，</w:t>
      </w:r>
      <w:r>
        <w:rPr>
          <w:rFonts w:hint="eastAsia" w:ascii="Times New Roman" w:eastAsia="仿宋_GB2312" w:cs="宋体"/>
          <w:b w:val="0"/>
          <w:sz w:val="32"/>
          <w:szCs w:val="32"/>
          <w:lang w:eastAsia="zh-CN"/>
        </w:rPr>
        <w:t>石家庄市井陉矿区人民法院</w:t>
      </w:r>
      <w:r>
        <w:rPr>
          <w:rFonts w:hint="eastAsia" w:ascii="Times New Roman" w:eastAsia="仿宋_GB2312" w:cs="宋体"/>
          <w:b w:val="0"/>
          <w:sz w:val="32"/>
          <w:szCs w:val="32"/>
        </w:rPr>
        <w:t>202</w:t>
      </w:r>
      <w:r>
        <w:rPr>
          <w:rFonts w:hint="eastAsia" w:ascii="Times New Roman" w:eastAsia="仿宋_GB2312" w:cs="宋体"/>
          <w:b w:val="0"/>
          <w:sz w:val="32"/>
          <w:szCs w:val="32"/>
          <w:lang w:val="en-US" w:eastAsia="zh-CN"/>
        </w:rPr>
        <w:t>5</w:t>
      </w:r>
      <w:r>
        <w:rPr>
          <w:rFonts w:hint="eastAsia" w:ascii="Times New Roman" w:eastAsia="仿宋_GB2312" w:cs="宋体"/>
          <w:b w:val="0"/>
          <w:sz w:val="32"/>
          <w:szCs w:val="32"/>
        </w:rPr>
        <w:t>年度部门决算即</w:t>
      </w:r>
      <w:r>
        <w:rPr>
          <w:rFonts w:hint="eastAsia" w:ascii="Times New Roman" w:eastAsia="仿宋_GB2312" w:cs="宋体"/>
          <w:b w:val="0"/>
          <w:sz w:val="32"/>
          <w:szCs w:val="32"/>
          <w:lang w:eastAsia="zh-CN"/>
        </w:rPr>
        <w:t>石家庄市井陉矿区人民法院</w:t>
      </w:r>
      <w:r>
        <w:rPr>
          <w:rFonts w:hint="eastAsia" w:ascii="Times New Roman" w:eastAsia="仿宋_GB2312" w:cs="宋体"/>
          <w:b w:val="0"/>
          <w:sz w:val="32"/>
          <w:szCs w:val="32"/>
        </w:rPr>
        <w:t>本级202</w:t>
      </w:r>
      <w:r>
        <w:rPr>
          <w:rFonts w:hint="eastAsia" w:ascii="Times New Roman" w:eastAsia="仿宋_GB2312" w:cs="宋体"/>
          <w:b w:val="0"/>
          <w:sz w:val="32"/>
          <w:szCs w:val="32"/>
          <w:lang w:val="en-US" w:eastAsia="zh-CN"/>
        </w:rPr>
        <w:t>5</w:t>
      </w:r>
      <w:r>
        <w:rPr>
          <w:rFonts w:hint="eastAsia" w:ascii="Times New Roman" w:eastAsia="仿宋_GB2312" w:cs="宋体"/>
          <w:b w:val="0"/>
          <w:sz w:val="32"/>
          <w:szCs w:val="32"/>
        </w:rPr>
        <w:t>年度决算。</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2"/>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部门（单位）：石家庄市井陉矿区人民法院</w:t>
            </w:r>
          </w:p>
        </w:tc>
        <w:tc>
          <w:tcPr>
            <w:tcW w:w="2945" w:type="dxa"/>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1,478.17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1,478.17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法院</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其他法院支出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940.95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537.22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1,231.40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1,231.40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34.64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34.64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49.92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49.92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1,478.17</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8600"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00"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00"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4653"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部门（单位）：石家庄市井陉矿区人民法院</w:t>
            </w:r>
          </w:p>
        </w:tc>
        <w:tc>
          <w:tcPr>
            <w:tcW w:w="1914" w:type="dxa"/>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033" w:type="dxa"/>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4332"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4268"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16"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341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233"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38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655"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16"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41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3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655"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16"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41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33"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8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655"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4332"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4332"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940.95</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16"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341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2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38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655"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00" w:type="dxa"/>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部门（单位）：石家庄市井陉矿区人民法院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741.20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134.20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282.48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94.62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865.20</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部门（单位）：石家庄市井陉矿区人民法院</w:t>
            </w:r>
          </w:p>
        </w:tc>
        <w:tc>
          <w:tcPr>
            <w:tcW w:w="2680" w:type="dxa"/>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部门（单位）：石家庄市井陉矿区人民法院</w:t>
            </w:r>
          </w:p>
        </w:tc>
        <w:tc>
          <w:tcPr>
            <w:tcW w:w="2166"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16.77</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本部门2025年度收、支总计（含结转和结余）均为1,478.17万元。与2024年度决算相比，收支各增加11.03万元，增长0.8%，主要原因是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1,478.17万元，其中：财政拨款收入1,478.17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本部门2025年度本年支出合计1,478.17万元，其中：基本支出940.95万元，占63.7%；项目支出537.22万元，占36.3%；经营支出0.00万元，占0.0%；上缴上级支出0.00万元，占0.0%；对附属单位补助支出0.00万元，占0.0%。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本部门2025年度财政拨款收、支总计（含结转和结余）均为1,478.17万元。与2024年度相比，财政拨款收支各增加11.03万元，增长0.8%，主要原因是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本部门2025年度财政拨款本年收入1,478.17万元,比上年增加11.03万元，增长0.8%，主要原因是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；本年支出1,478.17万元，比上年增加11.03万元，增长0.8%，主要原因</w:t>
      </w:r>
      <w:r>
        <w:rPr>
          <w:rFonts w:ascii="Times New Roman" w:hAnsi="Times New Roman" w:eastAsia="仿宋_GB2312" w:cs="Times New Roman"/>
          <w:kern w:val="2"/>
          <w:sz w:val="32"/>
          <w:szCs w:val="32"/>
          <w:lang w:val="zh-CN"/>
        </w:rPr>
        <w:t>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一般公共预算财政拨款本年收入1,478.17万元,比上年增加11.03万元，增长0.8%，主要原因是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；本年支出1,478.17万元，比上年增加11.03万元，增长0.8%，主要原因</w:t>
      </w:r>
      <w:r>
        <w:rPr>
          <w:rFonts w:ascii="Times New Roman" w:hAnsi="Times New Roman" w:eastAsia="仿宋_GB2312" w:cs="Times New Roman"/>
          <w:kern w:val="2"/>
          <w:sz w:val="32"/>
          <w:szCs w:val="32"/>
          <w:lang w:val="zh-CN"/>
        </w:rPr>
        <w:t>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本部门2025年度财政拨款本年收入1,478.17万元，完成年初预算的96.7%，比年初预算减少49.78万元，决算数小于预算数主要原因是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；本年支出1,478.17万元，完成年初预算的96.7%，比年初预算减少49.78万元，决算数小于预算数主要原因是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一般公共预算财政拨款本年收入完成年初预算的96.7%，比年初预算减少49.78万元，主要原因是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；支出完成年初预算的96.7%，比年初预算减少49.78万元，主要原因是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2025年度财政拨款支出1,478.17万元，主要用于以下方面：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1,231.40万元，占83.3%，主要用于</w:t>
      </w:r>
      <w:r>
        <w:rPr>
          <w:rFonts w:hint="eastAsia" w:ascii="Times New Roman" w:eastAsia="仿宋_GB2312"/>
          <w:b w:val="0"/>
          <w:sz w:val="32"/>
          <w:szCs w:val="32"/>
          <w:lang w:eastAsia="zh-CN"/>
        </w:rPr>
        <w:t>人员经费、公用经费</w:t>
      </w:r>
      <w:r>
        <w:rPr>
          <w:rFonts w:ascii="Times New Roman" w:eastAsia="仿宋_GB2312"/>
          <w:b w:val="0"/>
          <w:sz w:val="32"/>
          <w:szCs w:val="32"/>
        </w:rPr>
        <w:t>等支出；教育（类）支出0.00万元，占0.0%，主要用于等支出；科学技术（类）支出0.00万元，占0.0%，主要用于等支出；文化旅游体育与传媒（类）支出0.00万元，占0.0%，主要用于等支出；社会保障和就业 （类）支出162.21万元，占11.0%，主要用于</w:t>
      </w:r>
      <w:r>
        <w:rPr>
          <w:rFonts w:hint="eastAsia" w:ascii="Times New Roman" w:eastAsia="仿宋_GB2312"/>
          <w:b w:val="0"/>
          <w:sz w:val="32"/>
          <w:szCs w:val="32"/>
        </w:rPr>
        <w:t>行政事业单位养老支出</w:t>
      </w:r>
      <w:r>
        <w:rPr>
          <w:rFonts w:ascii="Times New Roman" w:eastAsia="仿宋_GB2312"/>
          <w:b w:val="0"/>
          <w:sz w:val="32"/>
          <w:szCs w:val="32"/>
        </w:rPr>
        <w:t>等支出；卫生健康（类）支出34.64万元，占2.3%，主要用于</w:t>
      </w:r>
      <w:r>
        <w:rPr>
          <w:rFonts w:hint="eastAsia" w:ascii="Times New Roman" w:eastAsia="仿宋_GB2312"/>
          <w:b w:val="0"/>
          <w:sz w:val="32"/>
          <w:szCs w:val="32"/>
        </w:rPr>
        <w:t>行政事业单位医疗</w:t>
      </w:r>
      <w:r>
        <w:rPr>
          <w:rFonts w:ascii="Times New Roman" w:eastAsia="仿宋_GB2312"/>
          <w:b w:val="0"/>
          <w:sz w:val="32"/>
          <w:szCs w:val="32"/>
        </w:rPr>
        <w:t>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49.92万元，占3.4%，主要用于</w:t>
      </w:r>
      <w:r>
        <w:rPr>
          <w:rFonts w:hint="eastAsia" w:ascii="Times New Roman" w:eastAsia="仿宋_GB2312"/>
          <w:b w:val="0"/>
          <w:sz w:val="32"/>
          <w:szCs w:val="32"/>
        </w:rPr>
        <w:t>住房公积金</w:t>
      </w:r>
      <w:r>
        <w:rPr>
          <w:rFonts w:ascii="Times New Roman" w:eastAsia="仿宋_GB2312"/>
          <w:b w:val="0"/>
          <w:sz w:val="32"/>
          <w:szCs w:val="32"/>
        </w:rPr>
        <w:t>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2025年度财政拨款基本支出940.95万元，其中：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865.20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75.75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本部门2025年度“三公”经费财政拨款支出预算为16.80万元，支出决算为16.77万元，完成预算的99.8%，较预算减少0.03万元，降低0.2%，主要原因是</w:t>
      </w:r>
      <w:r>
        <w:rPr>
          <w:rFonts w:hint="eastAsia" w:ascii="Times New Roman" w:eastAsia="仿宋_GB2312"/>
          <w:b w:val="0"/>
          <w:sz w:val="32"/>
          <w:szCs w:val="32"/>
          <w:lang w:eastAsia="zh-CN"/>
        </w:rPr>
        <w:t>精简经费，节约开支</w:t>
      </w:r>
      <w:r>
        <w:rPr>
          <w:rFonts w:ascii="Times New Roman" w:eastAsia="仿宋_GB2312"/>
          <w:b w:val="0"/>
          <w:sz w:val="32"/>
          <w:szCs w:val="32"/>
        </w:rPr>
        <w:t>；较2024年度决算增加6.58万元，增长64.6%，主要原因是</w:t>
      </w:r>
      <w:r>
        <w:rPr>
          <w:rFonts w:hint="eastAsia" w:ascii="Times New Roman" w:eastAsia="仿宋_GB2312"/>
          <w:b w:val="0"/>
          <w:sz w:val="32"/>
          <w:szCs w:val="32"/>
          <w:lang w:eastAsia="zh-CN"/>
        </w:rPr>
        <w:t>车辆运行费用增加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本部门2025年度公务用车购置及运行维护费预算为16.80万元，支出决算16.77万元，完成预算的99.8%,较预算减少0.03万元，降低0.2%,主要原因是</w:t>
      </w:r>
      <w:r>
        <w:rPr>
          <w:rFonts w:hint="eastAsia" w:ascii="Times New Roman" w:eastAsia="仿宋_GB2312"/>
          <w:b w:val="0"/>
          <w:sz w:val="32"/>
          <w:szCs w:val="32"/>
          <w:lang w:eastAsia="zh-CN"/>
        </w:rPr>
        <w:t>节约经费</w:t>
      </w:r>
      <w:r>
        <w:rPr>
          <w:rFonts w:ascii="Times New Roman" w:eastAsia="仿宋_GB2312"/>
          <w:b w:val="0"/>
          <w:sz w:val="32"/>
          <w:szCs w:val="32"/>
        </w:rPr>
        <w:t>；较上年增加6.58万元，增长64.6%,主要原因是</w:t>
      </w:r>
      <w:r>
        <w:rPr>
          <w:rFonts w:hint="eastAsia" w:ascii="Times New Roman" w:eastAsia="仿宋_GB2312"/>
          <w:b w:val="0"/>
          <w:sz w:val="32"/>
          <w:szCs w:val="32"/>
          <w:lang w:eastAsia="zh-CN"/>
        </w:rPr>
        <w:t>车辆运行费用增加</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本部门2025年度公务用车购置量0辆，发生“公务用车购置”经费支出0.00万元。公务用车购置费支出较预算增加0.00万元，增长0.0%,主要原因是；较上年增加0.00万元，增长0.00%,主要原因是。</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公务用车运行维护费支出16.77万元：</w:t>
      </w:r>
      <w:r>
        <w:rPr>
          <w:rFonts w:ascii="Times New Roman" w:eastAsia="仿宋_GB2312"/>
          <w:b w:val="0"/>
          <w:sz w:val="32"/>
          <w:szCs w:val="32"/>
        </w:rPr>
        <w:t>本部门2025年度单位公务用车保有量6辆，发生运行维护费支出16.77万元。公车运行维护费支出较预算减少0.03万元，降低0.2%,主要原因是</w:t>
      </w:r>
      <w:r>
        <w:rPr>
          <w:rFonts w:hint="eastAsia" w:ascii="Times New Roman" w:eastAsia="仿宋_GB2312"/>
          <w:b w:val="0"/>
          <w:sz w:val="32"/>
          <w:szCs w:val="32"/>
          <w:lang w:eastAsia="zh-CN"/>
        </w:rPr>
        <w:t>节约经费、精简开支</w:t>
      </w:r>
      <w:r>
        <w:rPr>
          <w:rFonts w:ascii="Times New Roman" w:eastAsia="仿宋_GB2312"/>
          <w:b w:val="0"/>
          <w:sz w:val="32"/>
          <w:szCs w:val="32"/>
        </w:rPr>
        <w:t>；较上年增加6.58万元，增长64.6%，主要原因是</w:t>
      </w:r>
      <w:r>
        <w:rPr>
          <w:rFonts w:hint="eastAsia" w:ascii="Times New Roman" w:eastAsia="仿宋_GB2312"/>
          <w:b w:val="0"/>
          <w:sz w:val="32"/>
          <w:szCs w:val="32"/>
          <w:lang w:eastAsia="zh-CN"/>
        </w:rPr>
        <w:t>车辆运行费用增加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较上年度增加0.00万元，增长0.00%,主要原因是。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本部门2025年度机关运行经费支出75.75万元，较2024年度增加5.47万元，增长7.8%。主要原因是</w:t>
      </w:r>
      <w:r>
        <w:rPr>
          <w:rFonts w:hint="eastAsia" w:ascii="Times New Roman" w:eastAsia="仿宋_GB2312"/>
          <w:b w:val="0"/>
          <w:sz w:val="32"/>
          <w:szCs w:val="32"/>
          <w:lang w:eastAsia="zh-CN"/>
        </w:rPr>
        <w:t>预算内容调整</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91.42万元，从采购类型来看，政府采购货物支出91.42万元、政府采购工程支出0.00万元、政府采购服务支出0.00万元。授予中小企业合同金额12.55万元，占政府采购支出总额的13.7%，其中授予小微企业合同金额7.65万元，占政府采购支出总额的8.4%。</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6辆，比上年增加0辆，主要是。其中，副部（省）级及以上领导用车0辆，主要负责人用车0辆，机要通信用车1辆，应急保障用车0辆，执法执勤用车4辆，特种专业技术用车1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537.24</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16</w:t>
      </w:r>
      <w:r>
        <w:rPr>
          <w:rFonts w:ascii="Times New Roman" w:eastAsia="仿宋_GB2312"/>
          <w:b w:val="0"/>
          <w:sz w:val="32"/>
          <w:szCs w:val="32"/>
        </w:rPr>
        <w:t>个，涉及资金</w:t>
      </w:r>
      <w:r>
        <w:rPr>
          <w:rFonts w:hint="eastAsia" w:ascii="Times New Roman" w:eastAsia="仿宋_GB2312"/>
          <w:b w:val="0"/>
          <w:sz w:val="32"/>
          <w:szCs w:val="32"/>
          <w:lang w:val="en-US" w:eastAsia="zh-CN"/>
        </w:rPr>
        <w:t>537.24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%；政府性基金预算项目个，涉及资金万元，占政府性基金预算项目支出总额的%；国有资本经营预算项目个，涉及资金万元，占国有资本经营预算项目支出总额的%。</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专项邮电费</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10</w:t>
      </w:r>
      <w:r>
        <w:rPr>
          <w:rFonts w:ascii="Times New Roman" w:eastAsia="仿宋_GB2312"/>
          <w:b w:val="0"/>
          <w:sz w:val="32"/>
          <w:szCs w:val="32"/>
        </w:rPr>
        <w:t>万元，政府性基金预算支出万元，国有资本经营预算支出万元，从评价情况来看，</w:t>
      </w:r>
      <w:r>
        <w:rPr>
          <w:rFonts w:hint="eastAsia" w:ascii="仿宋_GB2312" w:hAnsi="仿宋_GB2312" w:eastAsia="仿宋_GB2312" w:cs="仿宋_GB2312"/>
          <w:sz w:val="32"/>
          <w:szCs w:val="32"/>
          <w:highlight w:val="none"/>
        </w:rPr>
        <w:t>通过项目实施，完成了年初设定的各项绩效目标，</w:t>
      </w:r>
      <w:r>
        <w:rPr>
          <w:rFonts w:hint="eastAsia" w:ascii="仿宋" w:hAnsi="仿宋" w:eastAsia="仿宋" w:cs="仿宋"/>
          <w:sz w:val="32"/>
          <w:szCs w:val="32"/>
          <w:highlight w:val="none"/>
          <w:lang w:val="en-US" w:eastAsia="zh-CN"/>
        </w:rPr>
        <w:t>充分保障了办案需求及各项情况，保障审判工作顺利圆满完成</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rPr>
        <w:t>书记员经费</w:t>
      </w:r>
      <w:r>
        <w:rPr>
          <w:rFonts w:ascii="Times New Roman" w:eastAsia="仿宋_GB2312"/>
          <w:b w:val="0"/>
          <w:sz w:val="32"/>
          <w:szCs w:val="32"/>
        </w:rPr>
        <w:t>等</w:t>
      </w:r>
      <w:r>
        <w:rPr>
          <w:rFonts w:hint="eastAsia" w:ascii="Times New Roman" w:eastAsia="仿宋_GB2312"/>
          <w:b w:val="0"/>
          <w:sz w:val="32"/>
          <w:szCs w:val="32"/>
          <w:lang w:val="en-US" w:eastAsia="zh-CN"/>
        </w:rPr>
        <w:t>9</w:t>
      </w:r>
      <w:r>
        <w:rPr>
          <w:rFonts w:ascii="Times New Roman" w:eastAsia="仿宋_GB2312"/>
          <w:b w:val="0"/>
          <w:sz w:val="32"/>
          <w:szCs w:val="32"/>
        </w:rPr>
        <w:t>个项目绩效自评结果。</w:t>
      </w:r>
    </w:p>
    <w:p>
      <w:pPr>
        <w:pStyle w:val="2"/>
        <w:numPr>
          <w:ilvl w:val="0"/>
          <w:numId w:val="2"/>
        </w:numPr>
        <w:ind w:firstLine="640" w:firstLineChars="200"/>
        <w:rPr>
          <w:rFonts w:hint="eastAsia" w:ascii="Times New Roman" w:eastAsia="仿宋_GB2312" w:cs="宋体"/>
          <w:b w:val="0"/>
          <w:color w:val="auto"/>
          <w:kern w:val="0"/>
          <w:sz w:val="32"/>
          <w:szCs w:val="32"/>
          <w:lang w:val="en-US" w:eastAsia="zh-CN" w:bidi="ar-SA"/>
        </w:rPr>
      </w:pPr>
      <w:r>
        <w:rPr>
          <w:rFonts w:hint="eastAsia" w:ascii="仿宋" w:hAnsi="仿宋" w:eastAsia="仿宋" w:cs="仿宋"/>
          <w:sz w:val="32"/>
          <w:szCs w:val="32"/>
        </w:rPr>
        <w:t>聘用制书记员经费</w:t>
      </w:r>
      <w:r>
        <w:rPr>
          <w:rFonts w:ascii="Times New Roman" w:eastAsia="仿宋_GB2312" w:cs="宋体" w:hAnsiTheme="minorHAnsi"/>
          <w:b w:val="0"/>
          <w:color w:val="auto"/>
          <w:kern w:val="0"/>
          <w:sz w:val="32"/>
          <w:szCs w:val="32"/>
          <w:lang w:val="en-US" w:eastAsia="zh-CN" w:bidi="ar-SA"/>
        </w:rPr>
        <w:t xml:space="preserve">项目绩效自评情况：根据年初设定的绩效目标，财政监督检查经费项目绩效自评得分为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90</w:t>
      </w:r>
      <w:r>
        <w:rPr>
          <w:rFonts w:ascii="Times New Roman" w:eastAsia="仿宋_GB2312" w:cs="宋体" w:hAnsiTheme="minorHAnsi"/>
          <w:b w:val="0"/>
          <w:color w:val="auto"/>
          <w:kern w:val="0"/>
          <w:sz w:val="32"/>
          <w:szCs w:val="32"/>
          <w:lang w:val="en-US" w:eastAsia="zh-CN" w:bidi="ar-SA"/>
        </w:rPr>
        <w:t>分（绩效自评表附后）。全年预算数</w:t>
      </w:r>
      <w:r>
        <w:rPr>
          <w:rFonts w:hint="eastAsia" w:ascii="仿宋" w:hAnsi="仿宋" w:eastAsia="仿宋" w:cs="仿宋"/>
          <w:color w:val="auto"/>
          <w:sz w:val="32"/>
          <w:szCs w:val="32"/>
        </w:rPr>
        <w:t>为</w:t>
      </w:r>
      <w:r>
        <w:rPr>
          <w:rFonts w:hint="eastAsia" w:ascii="仿宋" w:hAnsi="仿宋" w:eastAsia="仿宋" w:cs="仿宋"/>
          <w:sz w:val="32"/>
          <w:szCs w:val="32"/>
          <w:lang w:val="en-US" w:eastAsia="zh-CN"/>
        </w:rPr>
        <w:t>118万元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117.28</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99.4</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Times New Roman" w:eastAsia="仿宋_GB2312" w:cs="宋体"/>
          <w:b w:val="0"/>
          <w:color w:val="auto"/>
          <w:kern w:val="0"/>
          <w:sz w:val="32"/>
          <w:szCs w:val="32"/>
          <w:lang w:val="en-US" w:eastAsia="zh-CN" w:bidi="ar-SA"/>
        </w:rPr>
        <w:t>为书记员发放了工资，缴纳了社保</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adjustRightInd w:val="0"/>
        <w:snapToGrid w:val="0"/>
        <w:spacing w:line="560" w:lineRule="exact"/>
        <w:ind w:firstLine="640" w:firstLineChars="200"/>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2.</w:t>
      </w:r>
      <w:r>
        <w:rPr>
          <w:rFonts w:hint="eastAsia" w:ascii="仿宋" w:hAnsi="仿宋" w:eastAsia="仿宋"/>
          <w:sz w:val="32"/>
          <w:szCs w:val="32"/>
        </w:rPr>
        <w:t>物业管理费（保安经费）</w:t>
      </w:r>
      <w:r>
        <w:rPr>
          <w:rFonts w:ascii="Times New Roman" w:eastAsia="仿宋_GB2312" w:cs="宋体" w:hAnsiTheme="minorHAnsi"/>
          <w:b w:val="0"/>
          <w:color w:val="auto"/>
          <w:kern w:val="0"/>
          <w:sz w:val="32"/>
          <w:szCs w:val="32"/>
          <w:lang w:val="en-US" w:eastAsia="zh-CN" w:bidi="ar-SA"/>
        </w:rPr>
        <w:t xml:space="preserve">项目绩效自评情况：根据年初设定的绩效目标，财政监督检查经费项目绩效自评得分为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93</w:t>
      </w:r>
      <w:r>
        <w:rPr>
          <w:rFonts w:ascii="Times New Roman" w:eastAsia="仿宋_GB2312" w:cs="宋体" w:hAnsiTheme="minorHAnsi"/>
          <w:b w:val="0"/>
          <w:color w:val="auto"/>
          <w:kern w:val="0"/>
          <w:sz w:val="32"/>
          <w:szCs w:val="32"/>
          <w:lang w:val="en-US" w:eastAsia="zh-CN" w:bidi="ar-SA"/>
        </w:rPr>
        <w:t xml:space="preserve"> 分（绩效自评表附后）。全年预算数</w:t>
      </w:r>
      <w:r>
        <w:rPr>
          <w:rFonts w:hint="eastAsia" w:ascii="仿宋" w:hAnsi="仿宋" w:eastAsia="仿宋" w:cs="仿宋"/>
          <w:color w:val="auto"/>
          <w:sz w:val="32"/>
          <w:szCs w:val="32"/>
        </w:rPr>
        <w:t>是</w:t>
      </w:r>
      <w:r>
        <w:rPr>
          <w:rFonts w:hint="eastAsia" w:ascii="仿宋" w:hAnsi="仿宋" w:eastAsia="仿宋"/>
          <w:sz w:val="32"/>
          <w:szCs w:val="32"/>
          <w:lang w:val="en-US" w:eastAsia="zh-CN"/>
        </w:rPr>
        <w:t>8.95</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8.88</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99.22%</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仿宋" w:hAnsi="仿宋" w:eastAsia="仿宋" w:cs="仿宋"/>
          <w:sz w:val="32"/>
          <w:szCs w:val="32"/>
          <w:lang w:val="en-US" w:eastAsia="zh-CN"/>
        </w:rPr>
        <w:t>为保安发放工资，保障工作正常开展</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numPr>
          <w:ilvl w:val="0"/>
          <w:numId w:val="0"/>
        </w:numPr>
        <w:adjustRightInd w:val="0"/>
        <w:snapToGrid w:val="0"/>
        <w:spacing w:line="560" w:lineRule="exact"/>
        <w:ind w:firstLine="640" w:firstLineChars="200"/>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3.</w:t>
      </w:r>
      <w:r>
        <w:rPr>
          <w:rFonts w:ascii="Times New Roman" w:eastAsia="仿宋_GB2312" w:cs="宋体" w:hAnsiTheme="minorHAnsi"/>
          <w:b w:val="0"/>
          <w:color w:val="auto"/>
          <w:kern w:val="0"/>
          <w:sz w:val="32"/>
          <w:szCs w:val="32"/>
          <w:lang w:val="en-US" w:eastAsia="zh-CN" w:bidi="ar-SA"/>
        </w:rPr>
        <w:t xml:space="preserve"> </w:t>
      </w:r>
      <w:r>
        <w:rPr>
          <w:rFonts w:hint="eastAsia" w:ascii="仿宋" w:hAnsi="仿宋" w:eastAsia="仿宋"/>
          <w:sz w:val="32"/>
          <w:szCs w:val="32"/>
        </w:rPr>
        <w:t>业务保障经费</w:t>
      </w:r>
      <w:r>
        <w:rPr>
          <w:rFonts w:hint="eastAsia" w:ascii="仿宋" w:hAnsi="仿宋" w:eastAsia="仿宋"/>
          <w:sz w:val="32"/>
          <w:szCs w:val="32"/>
          <w:lang w:eastAsia="zh-CN"/>
        </w:rPr>
        <w:t>项目</w:t>
      </w:r>
      <w:r>
        <w:rPr>
          <w:rFonts w:ascii="Times New Roman" w:eastAsia="仿宋_GB2312" w:cs="宋体" w:hAnsiTheme="minorHAnsi"/>
          <w:b w:val="0"/>
          <w:color w:val="auto"/>
          <w:kern w:val="0"/>
          <w:sz w:val="32"/>
          <w:szCs w:val="32"/>
          <w:lang w:val="en-US" w:eastAsia="zh-CN" w:bidi="ar-SA"/>
        </w:rPr>
        <w:t xml:space="preserve">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90</w:t>
      </w:r>
      <w:r>
        <w:rPr>
          <w:rFonts w:ascii="Times New Roman" w:eastAsia="仿宋_GB2312" w:cs="宋体" w:hAnsiTheme="minorHAnsi"/>
          <w:b w:val="0"/>
          <w:color w:val="auto"/>
          <w:kern w:val="0"/>
          <w:sz w:val="32"/>
          <w:szCs w:val="32"/>
          <w:lang w:val="en-US" w:eastAsia="zh-CN" w:bidi="ar-SA"/>
        </w:rPr>
        <w:t xml:space="preserve"> 分（绩效自评表附后）。全年预算数</w:t>
      </w:r>
      <w:r>
        <w:rPr>
          <w:rFonts w:hint="eastAsia" w:ascii="仿宋" w:hAnsi="仿宋" w:eastAsia="仿宋" w:cs="仿宋"/>
          <w:color w:val="auto"/>
          <w:sz w:val="32"/>
          <w:szCs w:val="32"/>
        </w:rPr>
        <w:t>是</w:t>
      </w:r>
      <w:r>
        <w:rPr>
          <w:rFonts w:hint="eastAsia" w:ascii="仿宋" w:hAnsi="仿宋" w:eastAsia="仿宋" w:cs="仿宋"/>
          <w:color w:val="auto"/>
          <w:sz w:val="32"/>
          <w:szCs w:val="32"/>
          <w:lang w:val="en-US" w:eastAsia="zh-CN"/>
        </w:rPr>
        <w:t>56.7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55.62</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98.09%</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仿宋" w:hAnsi="仿宋" w:eastAsia="仿宋" w:cs="仿宋"/>
          <w:color w:val="auto"/>
          <w:sz w:val="32"/>
          <w:szCs w:val="32"/>
          <w:lang w:val="en-US" w:eastAsia="zh-CN"/>
        </w:rPr>
        <w:t>保障机关运行所需的电费、维修维护费、办公耗材费等支出。</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ind w:firstLine="640" w:firstLineChars="200"/>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4.</w:t>
      </w:r>
      <w:r>
        <w:rPr>
          <w:rFonts w:ascii="Times New Roman" w:eastAsia="仿宋_GB2312" w:cs="宋体" w:hAnsiTheme="minorHAnsi"/>
          <w:b w:val="0"/>
          <w:color w:val="auto"/>
          <w:kern w:val="0"/>
          <w:sz w:val="32"/>
          <w:szCs w:val="32"/>
          <w:lang w:val="en-US" w:eastAsia="zh-CN" w:bidi="ar-SA"/>
        </w:rPr>
        <w:t xml:space="preserve"> </w:t>
      </w:r>
      <w:r>
        <w:rPr>
          <w:rFonts w:hint="eastAsia" w:ascii="仿宋" w:hAnsi="仿宋" w:eastAsia="仿宋"/>
          <w:sz w:val="32"/>
          <w:szCs w:val="32"/>
        </w:rPr>
        <w:t>省法院建设补助资金</w:t>
      </w:r>
      <w:r>
        <w:rPr>
          <w:rFonts w:hint="eastAsia" w:ascii="仿宋" w:hAnsi="仿宋" w:eastAsia="仿宋"/>
          <w:sz w:val="32"/>
          <w:szCs w:val="32"/>
          <w:lang w:eastAsia="zh-CN"/>
        </w:rPr>
        <w:t>项目</w:t>
      </w:r>
      <w:r>
        <w:rPr>
          <w:rFonts w:ascii="Times New Roman" w:eastAsia="仿宋_GB2312" w:cs="宋体" w:hAnsiTheme="minorHAnsi"/>
          <w:b w:val="0"/>
          <w:color w:val="auto"/>
          <w:kern w:val="0"/>
          <w:sz w:val="32"/>
          <w:szCs w:val="32"/>
          <w:lang w:val="en-US" w:eastAsia="zh-CN" w:bidi="ar-SA"/>
        </w:rPr>
        <w:t xml:space="preserve">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95</w:t>
      </w:r>
      <w:r>
        <w:rPr>
          <w:rFonts w:ascii="Times New Roman" w:eastAsia="仿宋_GB2312" w:cs="宋体" w:hAnsiTheme="minorHAnsi"/>
          <w:b w:val="0"/>
          <w:color w:val="auto"/>
          <w:kern w:val="0"/>
          <w:sz w:val="32"/>
          <w:szCs w:val="32"/>
          <w:lang w:val="en-US" w:eastAsia="zh-CN" w:bidi="ar-SA"/>
        </w:rPr>
        <w:t xml:space="preserve"> 分（绩效自评表附后）。全年预算数为</w:t>
      </w:r>
      <w:r>
        <w:rPr>
          <w:rFonts w:hint="eastAsia" w:ascii="仿宋" w:hAnsi="仿宋" w:eastAsia="仿宋" w:cs="仿宋"/>
          <w:color w:val="auto"/>
          <w:sz w:val="32"/>
          <w:szCs w:val="32"/>
          <w:lang w:val="en-US" w:eastAsia="zh-CN"/>
        </w:rPr>
        <w:t>80.07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78.87</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98.5%</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发放诉前调解经费 推进诉源治理工作。</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 xml:space="preserve">5. 劳务派遣人员经费项目绩效自评情况：根据年初设定的绩效目标，财政监督检查经费项目绩效自评得分为 96 分（绩效自评表附后）。全年预算数为 </w:t>
      </w:r>
      <w:r>
        <w:rPr>
          <w:rFonts w:hint="eastAsia" w:ascii="仿宋" w:hAnsi="仿宋" w:eastAsia="仿宋" w:cs="仿宋"/>
          <w:color w:val="auto"/>
          <w:sz w:val="32"/>
          <w:szCs w:val="32"/>
          <w:lang w:val="en-US" w:eastAsia="zh-CN"/>
        </w:rPr>
        <w:t>43</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43</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cs="仿宋"/>
          <w:sz w:val="32"/>
          <w:szCs w:val="32"/>
          <w:lang w:val="en-US" w:eastAsia="zh-CN"/>
        </w:rPr>
        <w:t>为劳务派遣人员发放工资，缴纳社保。</w:t>
      </w:r>
      <w:r>
        <w:rPr>
          <w:rFonts w:hint="eastAsia" w:ascii="Times New Roman" w:eastAsia="仿宋_GB2312" w:cs="宋体"/>
          <w:b w:val="0"/>
          <w:color w:val="auto"/>
          <w:kern w:val="0"/>
          <w:sz w:val="32"/>
          <w:szCs w:val="32"/>
          <w:lang w:val="en-US" w:eastAsia="zh-CN" w:bidi="ar-SA"/>
        </w:rPr>
        <w:t>未发现问题。</w:t>
      </w:r>
    </w:p>
    <w:p>
      <w:pPr>
        <w:adjustRightInd w:val="0"/>
        <w:snapToGrid w:val="0"/>
        <w:spacing w:line="560" w:lineRule="exact"/>
        <w:ind w:firstLine="640" w:firstLineChars="200"/>
        <w:rPr>
          <w:rFonts w:ascii="仿宋" w:hAnsi="仿宋" w:eastAsia="仿宋" w:cs="仿宋"/>
          <w:color w:val="auto"/>
          <w:sz w:val="32"/>
          <w:szCs w:val="32"/>
        </w:rPr>
      </w:pPr>
      <w:r>
        <w:rPr>
          <w:rFonts w:hint="eastAsia" w:ascii="Times New Roman" w:eastAsia="仿宋_GB2312" w:cs="宋体"/>
          <w:b w:val="0"/>
          <w:color w:val="auto"/>
          <w:kern w:val="0"/>
          <w:sz w:val="32"/>
          <w:szCs w:val="32"/>
          <w:lang w:val="en-US" w:eastAsia="zh-CN" w:bidi="ar-SA"/>
        </w:rPr>
        <w:t>6.</w:t>
      </w:r>
      <w:r>
        <w:rPr>
          <w:rFonts w:hint="eastAsia" w:ascii="仿宋" w:hAnsi="仿宋" w:eastAsia="仿宋"/>
          <w:sz w:val="32"/>
          <w:szCs w:val="32"/>
        </w:rPr>
        <w:t>专项邮电费</w:t>
      </w:r>
      <w:r>
        <w:rPr>
          <w:rFonts w:hint="eastAsia" w:ascii="Times New Roman" w:eastAsia="仿宋_GB2312" w:cs="宋体"/>
          <w:b w:val="0"/>
          <w:color w:val="auto"/>
          <w:kern w:val="0"/>
          <w:sz w:val="32"/>
          <w:szCs w:val="32"/>
          <w:lang w:val="en-US" w:eastAsia="zh-CN" w:bidi="ar-SA"/>
        </w:rPr>
        <w:t xml:space="preserve">项目绩效自评情况：根据年初设定的绩效目标，财政监督检查经费项目绩效自评得分为 98 分（绩效自评表附后）。全年预算数为 </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10</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pPr>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及时准确邮寄法律文书，保障工作正常开展。</w:t>
      </w:r>
      <w:r>
        <w:rPr>
          <w:rFonts w:hint="eastAsia" w:ascii="Times New Roman" w:eastAsia="仿宋_GB2312" w:cs="宋体"/>
          <w:b w:val="0"/>
          <w:color w:val="auto"/>
          <w:kern w:val="0"/>
          <w:sz w:val="32"/>
          <w:szCs w:val="32"/>
          <w:lang w:val="en-US" w:eastAsia="zh-CN" w:bidi="ar-SA"/>
        </w:rPr>
        <w:t>未发现问题。</w:t>
      </w:r>
    </w:p>
    <w:p>
      <w:pPr>
        <w:numPr>
          <w:ilvl w:val="0"/>
          <w:numId w:val="0"/>
        </w:numPr>
        <w:adjustRightInd w:val="0"/>
        <w:snapToGrid w:val="0"/>
        <w:spacing w:line="560" w:lineRule="exact"/>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7.</w:t>
      </w:r>
      <w:r>
        <w:rPr>
          <w:rFonts w:hint="eastAsia" w:ascii="仿宋" w:hAnsi="仿宋" w:eastAsia="仿宋"/>
          <w:sz w:val="32"/>
          <w:szCs w:val="32"/>
        </w:rPr>
        <w:t>党组织活动经费</w:t>
      </w:r>
      <w:r>
        <w:rPr>
          <w:rFonts w:hint="eastAsia" w:ascii="Times New Roman" w:eastAsia="仿宋_GB2312" w:cs="宋体"/>
          <w:b w:val="0"/>
          <w:color w:val="auto"/>
          <w:kern w:val="0"/>
          <w:sz w:val="32"/>
          <w:szCs w:val="32"/>
          <w:lang w:val="en-US" w:eastAsia="zh-CN" w:bidi="ar-SA"/>
        </w:rPr>
        <w:t xml:space="preserve">项目绩效自评情况：根据年初设定的绩效目标，财政监督检查经费项目绩效自评得分为 98 分（绩效自评表附后）。全年预算数为 </w:t>
      </w:r>
      <w:r>
        <w:rPr>
          <w:rFonts w:hint="eastAsia" w:ascii="仿宋" w:hAnsi="仿宋" w:eastAsia="仿宋" w:cs="仿宋"/>
          <w:color w:val="auto"/>
          <w:sz w:val="32"/>
          <w:szCs w:val="32"/>
          <w:lang w:val="en-US" w:eastAsia="zh-CN"/>
        </w:rPr>
        <w:t>2.7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2.7</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通过印刷党建宣传手册，达到宣传效果；保障党建活动所需差旅支出，促进活动顺利开展。</w:t>
      </w:r>
      <w:r>
        <w:rPr>
          <w:rFonts w:hint="eastAsia" w:ascii="Times New Roman" w:eastAsia="仿宋_GB2312" w:cs="宋体"/>
          <w:b w:val="0"/>
          <w:color w:val="auto"/>
          <w:kern w:val="0"/>
          <w:sz w:val="32"/>
          <w:szCs w:val="32"/>
          <w:lang w:val="en-US" w:eastAsia="zh-CN" w:bidi="ar-SA"/>
        </w:rPr>
        <w:t>未发现问题。</w:t>
      </w:r>
    </w:p>
    <w:p>
      <w:pPr>
        <w:adjustRightInd w:val="0"/>
        <w:snapToGrid w:val="0"/>
        <w:spacing w:line="560" w:lineRule="exact"/>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8.文件资料印刷费项目绩效自评情况：根据年初设定的绩效目标，财政监督检查经费项目绩效自评得分为 98 分（绩效自评表附后）。全年预算数为</w:t>
      </w:r>
      <w:r>
        <w:rPr>
          <w:rFonts w:hint="eastAsia" w:ascii="仿宋" w:hAnsi="仿宋" w:eastAsia="仿宋" w:cs="仿宋"/>
          <w:color w:val="auto"/>
          <w:sz w:val="32"/>
          <w:szCs w:val="32"/>
        </w:rPr>
        <w:t>是</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8</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印刷普法活动宣传册、部门工作报告、制式案卷封皮、档案封皮，保障法院业务工作顺利开展。</w:t>
      </w:r>
      <w:r>
        <w:rPr>
          <w:rFonts w:hint="eastAsia" w:ascii="Times New Roman" w:eastAsia="仿宋_GB2312" w:cs="宋体"/>
          <w:b w:val="0"/>
          <w:color w:val="auto"/>
          <w:kern w:val="0"/>
          <w:sz w:val="32"/>
          <w:szCs w:val="32"/>
          <w:lang w:val="en-US" w:eastAsia="zh-CN" w:bidi="ar-SA"/>
        </w:rPr>
        <w:t>未发现问题。</w:t>
      </w:r>
    </w:p>
    <w:p>
      <w:pPr>
        <w:adjustRightInd w:val="0"/>
        <w:snapToGrid w:val="0"/>
        <w:spacing w:line="560" w:lineRule="exact"/>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9.单位运行电费项目绩效自评情况：根据年初设定的绩效目标，财政监督检查经费项目绩效自评得分为 94 分（绩效自评表附后）。全年预算数为</w:t>
      </w:r>
      <w:r>
        <w:rPr>
          <w:rFonts w:hint="eastAsia" w:ascii="仿宋" w:hAnsi="仿宋" w:eastAsia="仿宋" w:cs="仿宋"/>
          <w:color w:val="auto"/>
          <w:sz w:val="32"/>
          <w:szCs w:val="32"/>
        </w:rPr>
        <w:t>是</w:t>
      </w:r>
      <w:r>
        <w:rPr>
          <w:rFonts w:hint="eastAsia" w:ascii="仿宋" w:hAnsi="仿宋" w:eastAsia="仿宋" w:cs="仿宋"/>
          <w:color w:val="auto"/>
          <w:sz w:val="32"/>
          <w:szCs w:val="32"/>
          <w:lang w:val="en-US" w:eastAsia="zh-CN"/>
        </w:rPr>
        <w:t>13.9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13.9</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通过项目实施，完成了年初设定的各项绩效目标，支</w:t>
      </w:r>
      <w:r>
        <w:rPr>
          <w:rFonts w:hint="eastAsia" w:ascii="仿宋" w:hAnsi="仿宋" w:eastAsia="仿宋"/>
          <w:sz w:val="32"/>
          <w:szCs w:val="32"/>
          <w:lang w:val="en-US" w:eastAsia="zh-CN"/>
        </w:rPr>
        <w:t>付单位电费，确保办公办案工作正常运转，保障法院业务工作顺利开展。</w:t>
      </w:r>
      <w:r>
        <w:rPr>
          <w:rFonts w:hint="eastAsia" w:ascii="Times New Roman" w:eastAsia="仿宋_GB2312" w:cs="宋体"/>
          <w:b w:val="0"/>
          <w:color w:val="auto"/>
          <w:kern w:val="0"/>
          <w:sz w:val="32"/>
          <w:szCs w:val="32"/>
          <w:lang w:val="en-US" w:eastAsia="zh-CN" w:bidi="ar-SA"/>
        </w:rPr>
        <w:t>未发现问题。</w:t>
      </w:r>
    </w:p>
    <w:p>
      <w:pPr>
        <w:pStyle w:val="2"/>
        <w:rPr>
          <w:rFonts w:ascii="仿宋_GB2312" w:hAnsi="仿宋_GB2312" w:eastAsia="仿宋_GB2312" w:cs="仿宋_GB2312"/>
          <w:b/>
          <w:i w:val="0"/>
          <w:color w:val="000000"/>
          <w:sz w:val="32"/>
          <w:szCs w:val="32"/>
        </w:rPr>
      </w:pPr>
      <w:r>
        <w:rPr>
          <w:rFonts w:ascii="仿宋_GB2312" w:hAnsi="仿宋_GB2312" w:eastAsia="仿宋_GB2312" w:cs="仿宋_GB2312"/>
          <w:b/>
          <w:i w:val="0"/>
          <w:color w:val="000000"/>
          <w:sz w:val="32"/>
          <w:szCs w:val="32"/>
        </w:rPr>
        <w:t>附绩效自评表如下：</w:t>
      </w:r>
    </w:p>
    <w:p>
      <w:pPr>
        <w:pStyle w:val="2"/>
        <w:rPr>
          <w:rFonts w:hint="default" w:ascii="仿宋" w:hAnsi="仿宋" w:eastAsia="仿宋" w:cs="宋体"/>
          <w:color w:val="auto"/>
          <w:kern w:val="0"/>
          <w:sz w:val="32"/>
          <w:szCs w:val="32"/>
          <w:lang w:val="en-US" w:eastAsia="zh-CN" w:bidi="ar-SA"/>
        </w:rPr>
      </w:pPr>
      <w:r>
        <w:rPr>
          <w:rFonts w:hint="eastAsia" w:ascii="仿宋" w:hAnsi="仿宋" w:eastAsia="仿宋" w:cs="宋体"/>
          <w:color w:val="auto"/>
          <w:kern w:val="0"/>
          <w:sz w:val="32"/>
          <w:szCs w:val="32"/>
          <w:lang w:val="en-US" w:eastAsia="zh-CN" w:bidi="ar-SA"/>
        </w:rPr>
        <w:t>1.专项邮电费</w:t>
      </w:r>
    </w:p>
    <w:tbl>
      <w:tblPr>
        <w:tblStyle w:val="12"/>
        <w:tblW w:w="9543" w:type="dxa"/>
        <w:jc w:val="center"/>
        <w:tblInd w:w="-2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67"/>
        <w:gridCol w:w="906"/>
        <w:gridCol w:w="476"/>
        <w:gridCol w:w="770"/>
        <w:gridCol w:w="787"/>
        <w:gridCol w:w="1078"/>
        <w:gridCol w:w="1156"/>
        <w:gridCol w:w="14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12" w:hRule="atLeast"/>
          <w:jc w:val="center"/>
        </w:trPr>
        <w:tc>
          <w:tcPr>
            <w:tcW w:w="9543"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7" w:hRule="atLeast"/>
          <w:jc w:val="center"/>
        </w:trPr>
        <w:tc>
          <w:tcPr>
            <w:tcW w:w="9543"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7" w:hRule="atLeast"/>
          <w:jc w:val="center"/>
        </w:trPr>
        <w:tc>
          <w:tcPr>
            <w:tcW w:w="296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0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8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3"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专项邮电费</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3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4"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jc w:val="center"/>
        </w:trPr>
        <w:tc>
          <w:tcPr>
            <w:tcW w:w="2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及时准确邮寄法律文书。</w:t>
            </w:r>
          </w:p>
        </w:tc>
        <w:tc>
          <w:tcPr>
            <w:tcW w:w="30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及时准确邮寄法律文书。</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邮寄次数</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≥5000次</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5472次</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工作质量考核优良率</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发放完成时间</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2025.12.31</w:t>
            </w:r>
            <w:r>
              <w:rPr>
                <w:rStyle w:val="28"/>
                <w:lang w:val="en-US" w:eastAsia="zh-CN" w:bidi="ar"/>
              </w:rPr>
              <w:t>日前</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2025.12.31</w:t>
            </w:r>
            <w:r>
              <w:rPr>
                <w:rStyle w:val="28"/>
                <w:lang w:val="en-US" w:eastAsia="zh-CN" w:bidi="ar"/>
              </w:rPr>
              <w:t>日前</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项目成本</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10万元</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7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业务保障能力提升情况</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55"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工作人员满意度</w:t>
            </w:r>
          </w:p>
        </w:tc>
        <w:tc>
          <w:tcPr>
            <w:tcW w:w="107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15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7"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7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0" w:hRule="atLeast"/>
          <w:jc w:val="center"/>
        </w:trPr>
        <w:tc>
          <w:tcPr>
            <w:tcW w:w="296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使绩效目标清晰的反映预算资金的预期产出和效果，并以精准的指向性绩效指标予以细化。</w:t>
            </w:r>
          </w:p>
        </w:tc>
      </w:tr>
    </w:tbl>
    <w:p>
      <w:pPr>
        <w:pStyle w:val="2"/>
        <w:rPr>
          <w:rFonts w:hint="eastAsia" w:ascii="仿宋_GB2312" w:hAnsi="仿宋_GB2312" w:eastAsia="仿宋_GB2312" w:cs="仿宋_GB2312"/>
          <w:b/>
          <w:i w:val="0"/>
          <w:color w:val="00000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2.物业管理费（保安经费）</w:t>
      </w:r>
    </w:p>
    <w:tbl>
      <w:tblPr>
        <w:tblStyle w:val="12"/>
        <w:tblW w:w="9480" w:type="dxa"/>
        <w:jc w:val="center"/>
        <w:tblInd w:w="-1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065"/>
        <w:gridCol w:w="870"/>
        <w:gridCol w:w="655"/>
        <w:gridCol w:w="725"/>
        <w:gridCol w:w="664"/>
        <w:gridCol w:w="1115"/>
        <w:gridCol w:w="1009"/>
        <w:gridCol w:w="13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2" w:hRule="atLeast"/>
          <w:jc w:val="center"/>
        </w:trPr>
        <w:tc>
          <w:tcPr>
            <w:tcW w:w="94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jc w:val="center"/>
        </w:trPr>
        <w:tc>
          <w:tcPr>
            <w:tcW w:w="948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jc w:val="center"/>
        </w:trPr>
        <w:tc>
          <w:tcPr>
            <w:tcW w:w="306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6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0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8" w:hRule="atLeast"/>
          <w:jc w:val="center"/>
        </w:trPr>
        <w:tc>
          <w:tcPr>
            <w:tcW w:w="306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物业管理费（保安经费）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0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5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2"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w:t>
            </w:r>
          </w:p>
        </w:tc>
        <w:tc>
          <w:tcPr>
            <w:tcW w:w="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8"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w:t>
            </w:r>
          </w:p>
        </w:tc>
        <w:tc>
          <w:tcPr>
            <w:tcW w:w="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9"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2" w:hRule="atLeast"/>
          <w:jc w:val="center"/>
        </w:trPr>
        <w:tc>
          <w:tcPr>
            <w:tcW w:w="30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7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购买保安服务，保障审判工作。   </w:t>
            </w:r>
          </w:p>
        </w:tc>
        <w:tc>
          <w:tcPr>
            <w:tcW w:w="278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购买保安服务，保障审判工作。   </w:t>
            </w:r>
          </w:p>
        </w:tc>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2"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6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保安服务天数</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365天</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365天</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补贴发放完成时间</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发放总金额</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8.95万元</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8.88</w:t>
            </w:r>
            <w:r>
              <w:rPr>
                <w:rFonts w:hint="eastAsia" w:ascii="宋体" w:hAnsi="宋体" w:eastAsia="宋体" w:cs="宋体"/>
                <w:i w:val="0"/>
                <w:color w:val="000000"/>
                <w:kern w:val="0"/>
                <w:sz w:val="20"/>
                <w:szCs w:val="20"/>
                <w:u w:val="none"/>
                <w:lang w:val="en-US" w:eastAsia="zh-CN" w:bidi="ar"/>
              </w:rPr>
              <w:t>万元</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28"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1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99.22%</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服务质量提升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28"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审判安保工作保障率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28"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保安人员满意度</w:t>
            </w:r>
          </w:p>
        </w:tc>
        <w:tc>
          <w:tcPr>
            <w:tcW w:w="11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0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6" w:hRule="atLeast"/>
          <w:jc w:val="center"/>
        </w:trPr>
        <w:tc>
          <w:tcPr>
            <w:tcW w:w="30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41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使绩效目标清晰的反映预算资金的预期产出和效果，并以精准的指向性绩效指标予以细化。</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sz w:val="32"/>
          <w:szCs w:val="32"/>
          <w:lang w:val="en-US" w:eastAsia="zh-CN"/>
        </w:rPr>
      </w:pPr>
      <w:r>
        <w:rPr>
          <w:rFonts w:hint="eastAsia" w:ascii="Times New Roman" w:eastAsia="仿宋_GB2312"/>
          <w:sz w:val="32"/>
          <w:szCs w:val="32"/>
          <w:lang w:val="en-US" w:eastAsia="zh-CN"/>
        </w:rPr>
        <w:t>3</w:t>
      </w:r>
      <w:r>
        <w:rPr>
          <w:rFonts w:hint="eastAsia" w:ascii="Times New Roman" w:eastAsia="仿宋_GB2312" w:cs="宋体"/>
          <w:sz w:val="32"/>
          <w:szCs w:val="32"/>
          <w:lang w:val="en-US" w:eastAsia="zh-CN"/>
        </w:rPr>
        <w:t>.聘用制书记员</w:t>
      </w:r>
      <w:r>
        <w:rPr>
          <w:rFonts w:hint="eastAsia" w:ascii="Times New Roman" w:eastAsia="仿宋_GB2312" w:cs="宋体"/>
          <w:b w:val="0"/>
          <w:sz w:val="32"/>
          <w:szCs w:val="32"/>
          <w:lang w:val="en-US" w:eastAsia="zh-CN"/>
        </w:rPr>
        <w:t>经费</w:t>
      </w:r>
    </w:p>
    <w:tbl>
      <w:tblPr>
        <w:tblStyle w:val="12"/>
        <w:tblW w:w="9401" w:type="dxa"/>
        <w:jc w:val="center"/>
        <w:tblInd w:w="-14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129"/>
        <w:gridCol w:w="814"/>
        <w:gridCol w:w="499"/>
        <w:gridCol w:w="657"/>
        <w:gridCol w:w="803"/>
        <w:gridCol w:w="1136"/>
        <w:gridCol w:w="1068"/>
        <w:gridCol w:w="1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97" w:hRule="atLeast"/>
          <w:jc w:val="center"/>
        </w:trPr>
        <w:tc>
          <w:tcPr>
            <w:tcW w:w="9401"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9401"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0" w:hRule="atLeast"/>
          <w:jc w:val="center"/>
        </w:trPr>
        <w:tc>
          <w:tcPr>
            <w:tcW w:w="3129"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1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3"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9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聘用制书记员经费</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31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117.28</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117.28</w:t>
            </w:r>
          </w:p>
        </w:tc>
        <w:tc>
          <w:tcPr>
            <w:tcW w:w="1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117.28</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117.28</w:t>
            </w: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8"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jc w:val="center"/>
        </w:trPr>
        <w:tc>
          <w:tcPr>
            <w:tcW w:w="31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19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0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为聘用制书记员发放工资，缴纳社会保险和住房公积金，保障法院工作顺利开展。     </w:t>
            </w:r>
          </w:p>
        </w:tc>
        <w:tc>
          <w:tcPr>
            <w:tcW w:w="30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为聘用制书记员发放工资，缴纳社会保险和住房公积金，保障法院工作顺利开展。     </w:t>
            </w:r>
          </w:p>
        </w:tc>
        <w:tc>
          <w:tcPr>
            <w:tcW w:w="1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4"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61"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9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4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3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2"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restart"/>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聘用制书记员人数</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16人</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16人</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工资发放率</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发放及时率</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月底前按月发放</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月底前按月发放</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人均工资成本</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0.7万元</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0.7</w:t>
            </w:r>
            <w:r>
              <w:rPr>
                <w:rFonts w:hint="eastAsia" w:ascii="宋体" w:hAnsi="宋体" w:eastAsia="宋体" w:cs="宋体"/>
                <w:i w:val="0"/>
                <w:color w:val="000000"/>
                <w:kern w:val="0"/>
                <w:sz w:val="20"/>
                <w:szCs w:val="20"/>
                <w:u w:val="none"/>
                <w:lang w:val="en-US" w:eastAsia="zh-CN" w:bidi="ar"/>
              </w:rPr>
              <w:t>万元</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46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99.40%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0.60%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服务质量提升</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进一步提升</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办案业务量较上年增长率</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进一步保障</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进一步保障</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书记员满意度</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w:t>
            </w:r>
          </w:p>
        </w:tc>
        <w:tc>
          <w:tcPr>
            <w:tcW w:w="10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7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312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27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能量化的绩效指标尽可能的量化，既要符合法院工作的特点和实际情况，又要实事求是，客观公正。</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4.党组织活动经费</w:t>
      </w:r>
    </w:p>
    <w:tbl>
      <w:tblPr>
        <w:tblStyle w:val="12"/>
        <w:tblW w:w="9402" w:type="dxa"/>
        <w:jc w:val="center"/>
        <w:tblInd w:w="-1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24"/>
        <w:gridCol w:w="870"/>
        <w:gridCol w:w="555"/>
        <w:gridCol w:w="734"/>
        <w:gridCol w:w="748"/>
        <w:gridCol w:w="1062"/>
        <w:gridCol w:w="1137"/>
        <w:gridCol w:w="13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23" w:hRule="atLeast"/>
          <w:jc w:val="center"/>
        </w:trPr>
        <w:tc>
          <w:tcPr>
            <w:tcW w:w="9402"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1" w:hRule="atLeast"/>
          <w:jc w:val="center"/>
        </w:trPr>
        <w:tc>
          <w:tcPr>
            <w:tcW w:w="9402"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5" w:hRule="atLeast"/>
          <w:jc w:val="center"/>
        </w:trPr>
        <w:tc>
          <w:tcPr>
            <w:tcW w:w="2924"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3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4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2"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党组织活动经费</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3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5"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7"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7" w:hRule="atLeast"/>
          <w:jc w:val="center"/>
        </w:trPr>
        <w:tc>
          <w:tcPr>
            <w:tcW w:w="29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15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4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8"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通过印刷党建宣传手册，达到宣传效果；保障党建活动所需差旅支出，促进活动顺利开展。</w:t>
            </w:r>
          </w:p>
        </w:tc>
        <w:tc>
          <w:tcPr>
            <w:tcW w:w="29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通过印刷党建宣传手册，达到宣传效果；保障党建活动所需差旅支出，促进活动顺利开展。</w:t>
            </w:r>
          </w:p>
        </w:tc>
        <w:tc>
          <w:tcPr>
            <w:tcW w:w="13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4"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38"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2924"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4"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5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宣传、活动开展次数</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工作质量考核优良率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党组织活动开展频次</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6个月开展一次</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6个月开展一次</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项目成本</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2.7万元</w:t>
            </w:r>
          </w:p>
        </w:tc>
        <w:tc>
          <w:tcPr>
            <w:tcW w:w="11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2.7万元</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43"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5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5"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5"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党的政策传递顺畅度</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5"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43"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党员干部满意度</w:t>
            </w:r>
          </w:p>
        </w:tc>
        <w:tc>
          <w:tcPr>
            <w:tcW w:w="10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13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81"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0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2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478"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使绩效目标清晰的反映预算资金的预期产出和效果，并以精准的指向性绩效指标予以细化。</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5.单位运行电费</w:t>
      </w:r>
    </w:p>
    <w:tbl>
      <w:tblPr>
        <w:tblStyle w:val="12"/>
        <w:tblW w:w="9440" w:type="dxa"/>
        <w:jc w:val="center"/>
        <w:tblInd w:w="-1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896"/>
        <w:gridCol w:w="931"/>
        <w:gridCol w:w="716"/>
        <w:gridCol w:w="839"/>
        <w:gridCol w:w="822"/>
        <w:gridCol w:w="788"/>
        <w:gridCol w:w="1080"/>
        <w:gridCol w:w="13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99"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2896"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3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8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单位运行电费</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23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64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4"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9"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9" w:hRule="atLeast"/>
          <w:jc w:val="center"/>
        </w:trPr>
        <w:tc>
          <w:tcPr>
            <w:tcW w:w="28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48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8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支付单位电费，确保办公办案工作正常运转。     </w:t>
            </w:r>
          </w:p>
        </w:tc>
        <w:tc>
          <w:tcPr>
            <w:tcW w:w="26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支付单位电费，确保办公办案工作正常运转。     </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8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8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661"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716"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保障机关及派出法庭数量</w:t>
            </w:r>
          </w:p>
        </w:tc>
        <w:tc>
          <w:tcPr>
            <w:tcW w:w="78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≥4个</w:t>
            </w:r>
          </w:p>
        </w:tc>
        <w:tc>
          <w:tcPr>
            <w:tcW w:w="108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4个</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设备电路故障率</w:t>
            </w:r>
          </w:p>
        </w:tc>
        <w:tc>
          <w:tcPr>
            <w:tcW w:w="78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保障机关正常运转及时率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电费节约率</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9"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71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服务质量提升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工作人员满意度</w:t>
            </w:r>
          </w:p>
        </w:tc>
        <w:tc>
          <w:tcPr>
            <w:tcW w:w="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7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3" w:hRule="atLeast"/>
          <w:jc w:val="center"/>
        </w:trPr>
        <w:tc>
          <w:tcPr>
            <w:tcW w:w="2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4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科学规范的设定绩效目标，提升绩效目标的质量。</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6.文件资料印刷费</w:t>
      </w:r>
    </w:p>
    <w:tbl>
      <w:tblPr>
        <w:tblStyle w:val="12"/>
        <w:tblW w:w="9440" w:type="dxa"/>
        <w:jc w:val="center"/>
        <w:tblInd w:w="-1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37"/>
        <w:gridCol w:w="916"/>
        <w:gridCol w:w="487"/>
        <w:gridCol w:w="784"/>
        <w:gridCol w:w="801"/>
        <w:gridCol w:w="1066"/>
        <w:gridCol w:w="1061"/>
        <w:gridCol w:w="13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04"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4"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4" w:hRule="atLeast"/>
          <w:jc w:val="center"/>
        </w:trPr>
        <w:tc>
          <w:tcPr>
            <w:tcW w:w="293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1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8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Style w:val="29"/>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文件资料印刷费</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6"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1"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1" w:hRule="atLeast"/>
          <w:jc w:val="center"/>
        </w:trPr>
        <w:tc>
          <w:tcPr>
            <w:tcW w:w="29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印刷普法活动宣传册、部门工作报告、制式案卷封皮、档案封皮，保障法院业务工作顺利开展。     </w:t>
            </w:r>
          </w:p>
        </w:tc>
        <w:tc>
          <w:tcPr>
            <w:tcW w:w="29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印刷普法活动宣传册、部门工作报告、制式案卷封皮、档案封皮，保障法院业务工作顺利开展。     </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6"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Style w:val="29"/>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8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文件资料印刷数量</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≥35000页</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35500页</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文件资料印刷合格率</w:t>
            </w:r>
          </w:p>
        </w:tc>
        <w:tc>
          <w:tcPr>
            <w:tcW w:w="10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发放完成时间</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2024</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2024</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单页资料印刷成本</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≤0.5元</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0.5</w:t>
            </w:r>
            <w:r>
              <w:rPr>
                <w:rFonts w:hint="eastAsia" w:ascii="宋体" w:hAnsi="宋体" w:eastAsia="宋体" w:cs="宋体"/>
                <w:i w:val="0"/>
                <w:color w:val="000000"/>
                <w:kern w:val="0"/>
                <w:sz w:val="20"/>
                <w:szCs w:val="20"/>
                <w:u w:val="none"/>
                <w:lang w:val="en-US" w:eastAsia="zh-CN" w:bidi="ar"/>
              </w:rPr>
              <w:t>元</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8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业务保障能力提升情况</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资料使用人员满意度</w:t>
            </w:r>
          </w:p>
        </w:tc>
        <w:tc>
          <w:tcPr>
            <w:tcW w:w="10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1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71" w:hRule="atLeast"/>
          <w:jc w:val="center"/>
        </w:trPr>
        <w:tc>
          <w:tcPr>
            <w:tcW w:w="293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Style w:val="29"/>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0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建立健全相关绩效管理制度，强化预算绩效约束。坚持权责对等、约束有力。</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7.劳务派遣人员经费</w:t>
      </w:r>
    </w:p>
    <w:tbl>
      <w:tblPr>
        <w:tblStyle w:val="12"/>
        <w:tblW w:w="9580" w:type="dxa"/>
        <w:jc w:val="center"/>
        <w:tblInd w:w="-23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80"/>
        <w:gridCol w:w="929"/>
        <w:gridCol w:w="492"/>
        <w:gridCol w:w="797"/>
        <w:gridCol w:w="811"/>
        <w:gridCol w:w="1072"/>
        <w:gridCol w:w="1091"/>
        <w:gridCol w:w="14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17" w:hRule="atLeast"/>
          <w:jc w:val="center"/>
        </w:trPr>
        <w:tc>
          <w:tcPr>
            <w:tcW w:w="95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9" w:hRule="atLeast"/>
          <w:jc w:val="center"/>
        </w:trPr>
        <w:tc>
          <w:tcPr>
            <w:tcW w:w="958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2" w:hRule="atLeast"/>
          <w:jc w:val="center"/>
        </w:trPr>
        <w:tc>
          <w:tcPr>
            <w:tcW w:w="298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2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9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9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劳务派遣人员经费</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0"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7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7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5"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5" w:hRule="atLeast"/>
          <w:jc w:val="center"/>
        </w:trPr>
        <w:tc>
          <w:tcPr>
            <w:tcW w:w="29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21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7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7"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为劳务派遣人员发放工资，缴纳社会保险，全面提高办公办案效率。     </w:t>
            </w:r>
          </w:p>
        </w:tc>
        <w:tc>
          <w:tcPr>
            <w:tcW w:w="297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为劳务派遣人员发放工资，缴纳社会保险，全面提高办公办案效率。     </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7"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57"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0"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9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人员数量</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15人</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劳务派遣人员考核合格率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工资发放及时率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发放总金额</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43万元</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7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审判工作保障率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66"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劳务派遣人员满意度</w:t>
            </w:r>
          </w:p>
        </w:tc>
        <w:tc>
          <w:tcPr>
            <w:tcW w:w="107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9"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8" w:hRule="atLeast"/>
          <w:jc w:val="center"/>
        </w:trPr>
        <w:tc>
          <w:tcPr>
            <w:tcW w:w="29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60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进一步加强各项目的预算资金管理，加大对预算编制与执行的监督管理力度，提高预算资金使用效率。</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8.业务保障经费</w:t>
      </w:r>
    </w:p>
    <w:tbl>
      <w:tblPr>
        <w:tblStyle w:val="12"/>
        <w:tblW w:w="9522" w:type="dxa"/>
        <w:jc w:val="center"/>
        <w:tblInd w:w="-2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62"/>
        <w:gridCol w:w="863"/>
        <w:gridCol w:w="654"/>
        <w:gridCol w:w="726"/>
        <w:gridCol w:w="737"/>
        <w:gridCol w:w="1214"/>
        <w:gridCol w:w="1000"/>
        <w:gridCol w:w="1"/>
        <w:gridCol w:w="13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97" w:hRule="atLeast"/>
          <w:jc w:val="center"/>
        </w:trPr>
        <w:tc>
          <w:tcPr>
            <w:tcW w:w="9522" w:type="dxa"/>
            <w:gridSpan w:val="9"/>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9522" w:type="dxa"/>
            <w:gridSpan w:val="9"/>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2962"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63"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3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1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01"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业务保障经费</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5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3"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55.62</w:t>
            </w:r>
          </w:p>
        </w:tc>
        <w:tc>
          <w:tcPr>
            <w:tcW w:w="13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55.62</w:t>
            </w: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8"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jc w:val="center"/>
        </w:trPr>
        <w:tc>
          <w:tcPr>
            <w:tcW w:w="2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24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5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用于单位人员宣传费用、维修维护费、办公耗材费等支出，保障机关业务正常运行。</w:t>
            </w:r>
          </w:p>
        </w:tc>
        <w:tc>
          <w:tcPr>
            <w:tcW w:w="29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用于单位人员宣传费用、维修维护费、办公耗材费等支出，保障机关业务正常运行。</w:t>
            </w:r>
          </w:p>
        </w:tc>
        <w:tc>
          <w:tcPr>
            <w:tcW w:w="13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2"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463"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2"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654"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业务保障人数</w:t>
            </w:r>
          </w:p>
        </w:tc>
        <w:tc>
          <w:tcPr>
            <w:tcW w:w="121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≥44人</w:t>
            </w:r>
          </w:p>
        </w:tc>
        <w:tc>
          <w:tcPr>
            <w:tcW w:w="100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93人</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维修合格率</w:t>
            </w:r>
          </w:p>
        </w:tc>
        <w:tc>
          <w:tcPr>
            <w:tcW w:w="121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保障机关正常运转及时率</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2023年12月31日前</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2023年12月31日前</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机关运转经费控制金额</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≤2.8万元/人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1.6</w:t>
            </w:r>
            <w:r>
              <w:rPr>
                <w:rFonts w:hint="eastAsia" w:ascii="宋体" w:hAnsi="宋体" w:eastAsia="宋体" w:cs="宋体"/>
                <w:i w:val="0"/>
                <w:color w:val="000000"/>
                <w:kern w:val="0"/>
                <w:sz w:val="20"/>
                <w:szCs w:val="20"/>
                <w:u w:val="none"/>
                <w:lang w:val="en-US" w:eastAsia="zh-CN" w:bidi="ar"/>
              </w:rPr>
              <w:t>万元</w:t>
            </w:r>
            <w:r>
              <w:rPr>
                <w:rFonts w:hint="default"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人</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21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98.09%</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部门正常运转率</w:t>
            </w:r>
          </w:p>
        </w:tc>
        <w:tc>
          <w:tcPr>
            <w:tcW w:w="121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使用人员满意度</w:t>
            </w:r>
          </w:p>
        </w:tc>
        <w:tc>
          <w:tcPr>
            <w:tcW w:w="121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9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3" w:hRule="atLeast"/>
          <w:jc w:val="center"/>
        </w:trPr>
        <w:tc>
          <w:tcPr>
            <w:tcW w:w="296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6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科学规范的设定绩效目标，提升绩效目标的质量。</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9.省法院建设补助资金</w:t>
      </w:r>
    </w:p>
    <w:tbl>
      <w:tblPr>
        <w:tblStyle w:val="12"/>
        <w:tblW w:w="9600" w:type="dxa"/>
        <w:jc w:val="center"/>
        <w:tblInd w:w="-24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87"/>
        <w:gridCol w:w="936"/>
        <w:gridCol w:w="824"/>
        <w:gridCol w:w="802"/>
        <w:gridCol w:w="928"/>
        <w:gridCol w:w="739"/>
        <w:gridCol w:w="973"/>
        <w:gridCol w:w="14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31" w:hRule="atLeast"/>
          <w:jc w:val="center"/>
        </w:trPr>
        <w:tc>
          <w:tcPr>
            <w:tcW w:w="960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4" w:hRule="atLeast"/>
          <w:jc w:val="center"/>
        </w:trPr>
        <w:tc>
          <w:tcPr>
            <w:tcW w:w="960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8" w:hRule="atLeast"/>
          <w:jc w:val="center"/>
        </w:trPr>
        <w:tc>
          <w:tcPr>
            <w:tcW w:w="298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3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3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3"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1"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6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省法院建设补助资金（专项资金）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12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78.87</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8"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78.87</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jc w:val="center"/>
        </w:trPr>
        <w:tc>
          <w:tcPr>
            <w:tcW w:w="29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5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6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5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涉密</w:t>
            </w:r>
          </w:p>
        </w:tc>
        <w:tc>
          <w:tcPr>
            <w:tcW w:w="26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涉密</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5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5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6"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8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业务装备采购数</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业务装备采购数</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业务装备采购数</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合格率</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合格率</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6"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完成时限</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办公设备采购验收时间</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2025年10月31日前</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61"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平均采购成本</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每台设备平均采购成本</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≤7万元/每台</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61"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98.50%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审判工作保障率</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9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部门正常运转率</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6"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8"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使用人员满意度</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4"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20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3" w:hRule="atLeast"/>
          <w:jc w:val="center"/>
        </w:trPr>
        <w:tc>
          <w:tcPr>
            <w:tcW w:w="298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hint="default"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661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能量化的绩效指标尽可能的量化，既要符合法院工作的特点和实际情况，又要实事求是，客观公正。</w:t>
            </w:r>
          </w:p>
        </w:tc>
      </w:tr>
    </w:tbl>
    <w:p>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0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B116F7F-68B8-4E00-915F-828D28D9B634}"/>
  </w:font>
  <w:font w:name="黑体">
    <w:panose1 w:val="02010609060101010101"/>
    <w:charset w:val="86"/>
    <w:family w:val="auto"/>
    <w:pitch w:val="default"/>
    <w:sig w:usb0="800002BF" w:usb1="38CF7CFA" w:usb2="00000016" w:usb3="00000000" w:csb0="00040001" w:csb1="00000000"/>
    <w:embedRegular r:id="rId2" w:fontKey="{391BAB57-7062-4EF7-866E-4DFD74A9EFD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04DE8BF0-B35A-4DAC-AF61-DC6B3BBC49E4}"/>
  </w:font>
  <w:font w:name="仿宋">
    <w:panose1 w:val="02010609060101010101"/>
    <w:charset w:val="86"/>
    <w:family w:val="modern"/>
    <w:pitch w:val="default"/>
    <w:sig w:usb0="800002BF" w:usb1="38CF7CFA" w:usb2="00000016" w:usb3="00000000" w:csb0="00040001" w:csb1="00000000"/>
    <w:embedRegular r:id="rId4" w:fontKey="{1D2F344E-7661-431C-ACE4-24EB5A8725E3}"/>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70388374-1E3D-454C-90AE-C78291423CAE}"/>
  </w:font>
  <w:font w:name="楷体_GB2312">
    <w:panose1 w:val="02010609030101010101"/>
    <w:charset w:val="86"/>
    <w:family w:val="auto"/>
    <w:pitch w:val="default"/>
    <w:sig w:usb0="00000001" w:usb1="080E0000" w:usb2="00000000" w:usb3="00000000" w:csb0="00040000" w:csb1="00000000"/>
    <w:embedRegular r:id="rId6" w:fontKey="{7111A477-6658-4569-9FFB-A7CB40588FF0}"/>
  </w:font>
  <w:font w:name="微软雅黑">
    <w:panose1 w:val="020B0503020204020204"/>
    <w:charset w:val="86"/>
    <w:family w:val="auto"/>
    <w:pitch w:val="default"/>
    <w:sig w:usb0="80000287" w:usb1="280F3C52" w:usb2="00000016" w:usb3="00000000" w:csb0="0004001F" w:csb1="00000000"/>
    <w:embedRegular r:id="rId7" w:fontKey="{8D101F76-3A12-4194-A660-57028DFF3340}"/>
  </w:font>
  <w:font w:name="方正小标宋_GBK">
    <w:panose1 w:val="02000000000000000000"/>
    <w:charset w:val="86"/>
    <w:family w:val="script"/>
    <w:pitch w:val="default"/>
    <w:sig w:usb0="00000000" w:usb1="00000000" w:usb2="00000000" w:usb3="00000000" w:csb0="00000000" w:csb1="00000000"/>
    <w:embedRegular r:id="rId8" w:fontKey="{D215C4B0-5589-4794-B4A7-0F11282A6CD0}"/>
  </w:font>
  <w:font w:name="仿宋_GB2312">
    <w:panose1 w:val="02010609030101010101"/>
    <w:charset w:val="86"/>
    <w:family w:val="auto"/>
    <w:pitch w:val="default"/>
    <w:sig w:usb0="00000001" w:usb1="080E0000" w:usb2="00000000" w:usb3="00000000" w:csb0="00040000" w:csb1="00000000"/>
    <w:embedRegular r:id="rId9" w:fontKey="{40B7F999-D443-4EA5-A92A-DD6B8995ECA9}"/>
  </w:font>
  <w:font w:name="ArialUnicodeMS">
    <w:altName w:val="Malgun Gothic"/>
    <w:panose1 w:val="00000000000000000000"/>
    <w:charset w:val="81"/>
    <w:family w:val="auto"/>
    <w:pitch w:val="default"/>
    <w:sig w:usb0="00000000" w:usb1="00000000" w:usb2="00000010" w:usb3="00000000" w:csb0="00080001" w:csb1="00000000"/>
    <w:embedRegular r:id="rId10" w:fontKey="{7CB6B046-72B0-4544-8257-F2AC63467AF6}"/>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5F9E18"/>
    <w:multiLevelType w:val="singleLevel"/>
    <w:tmpl w:val="C75F9E18"/>
    <w:lvl w:ilvl="0" w:tentative="0">
      <w:start w:val="1"/>
      <w:numFmt w:val="decimal"/>
      <w:suff w:val="space"/>
      <w:lvlText w:val="%1."/>
      <w:lvlJc w:val="left"/>
    </w:lvl>
  </w:abstractNum>
  <w:abstractNum w:abstractNumId="1">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F03C4C"/>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513F54"/>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500C22"/>
    <w:rsid w:val="3AA6422C"/>
    <w:rsid w:val="3AAF46D5"/>
    <w:rsid w:val="3AE92DC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777395"/>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B2B9F"/>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83482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46372"/>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44980"/>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character" w:customStyle="1" w:styleId="28">
    <w:name w:val="font71"/>
    <w:basedOn w:val="14"/>
    <w:qFormat/>
    <w:uiPriority w:val="0"/>
    <w:rPr>
      <w:rFonts w:hint="eastAsia" w:ascii="宋体" w:hAnsi="宋体" w:eastAsia="宋体" w:cs="宋体"/>
      <w:color w:val="000000"/>
      <w:sz w:val="20"/>
      <w:szCs w:val="20"/>
      <w:u w:val="none"/>
    </w:rPr>
  </w:style>
  <w:style w:type="character" w:customStyle="1" w:styleId="29">
    <w:name w:val="font81"/>
    <w:basedOn w:val="14"/>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1478.17</c:v>
                </c:pt>
                <c:pt idx="1">
                  <c:v>1467.13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14781654.41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9409482.63</c:v>
                </c:pt>
                <c:pt idx="1">
                  <c:v>5372171.78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1467.13</c:v>
                </c:pt>
                <c:pt idx="1">
                  <c:v>1467.13</c:v>
                </c:pt>
                <c:pt idx="2">
                  <c:v>1467.13</c:v>
                </c:pt>
                <c:pt idx="3">
                  <c:v>1467.13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1478.17</c:v>
                </c:pt>
                <c:pt idx="1">
                  <c:v>1478.17</c:v>
                </c:pt>
                <c:pt idx="2">
                  <c:v>1478.17</c:v>
                </c:pt>
                <c:pt idx="3">
                  <c:v>1478.17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1527.95</c:v>
                </c:pt>
                <c:pt idx="1">
                  <c:v>1527.95</c:v>
                </c:pt>
                <c:pt idx="2">
                  <c:v>1527.95</c:v>
                </c:pt>
                <c:pt idx="3">
                  <c:v>1527.95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1478.17</c:v>
                </c:pt>
                <c:pt idx="1">
                  <c:v>1478.17</c:v>
                </c:pt>
                <c:pt idx="2">
                  <c:v>1478.17</c:v>
                </c:pt>
                <c:pt idx="3">
                  <c:v>1478.17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37</TotalTime>
  <ScaleCrop>false</ScaleCrop>
  <LinksUpToDate>false</LinksUpToDate>
  <CharactersWithSpaces>6550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cp:lastModifiedBy>
  <cp:lastPrinted>2023-08-04T01:00:00Z</cp:lastPrinted>
  <dcterms:modified xsi:type="dcterms:W3CDTF">2026-08-28T09:05:59Z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A0C28BEAB8F04BECAE18CC69F849699E</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