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2C21C">
      <w:pPr>
        <w:adjustRightInd w:val="0"/>
        <w:snapToGrid w:val="0"/>
        <w:spacing w:line="560" w:lineRule="exact"/>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14:paraId="0658804C">
      <w:pPr>
        <w:spacing w:line="560" w:lineRule="exact"/>
        <w:jc w:val="center"/>
        <w:rPr>
          <w:rFonts w:ascii="宋体" w:hAnsi="宋体" w:cs="宋体"/>
          <w:b/>
          <w:bCs/>
          <w:sz w:val="44"/>
          <w:szCs w:val="44"/>
        </w:rPr>
      </w:pPr>
    </w:p>
    <w:p w14:paraId="47D4E091">
      <w:pPr>
        <w:spacing w:line="560" w:lineRule="exact"/>
        <w:jc w:val="center"/>
        <w:rPr>
          <w:rFonts w:hint="eastAsia" w:ascii="宋体" w:hAnsi="宋体" w:cs="宋体"/>
          <w:b/>
          <w:bCs/>
          <w:sz w:val="44"/>
          <w:szCs w:val="44"/>
        </w:rPr>
      </w:pPr>
      <w:r>
        <w:rPr>
          <w:rFonts w:hint="eastAsia" w:ascii="宋体" w:hAnsi="宋体" w:cs="宋体"/>
          <w:b/>
          <w:bCs/>
          <w:sz w:val="44"/>
          <w:szCs w:val="44"/>
          <w:lang w:val="en-US" w:eastAsia="zh-CN"/>
        </w:rPr>
        <w:t>石家庄市第十五中学</w:t>
      </w:r>
    </w:p>
    <w:p w14:paraId="71578970">
      <w:pPr>
        <w:spacing w:line="560" w:lineRule="exact"/>
        <w:jc w:val="center"/>
        <w:rPr>
          <w:rFonts w:ascii="宋体" w:hAnsi="宋体" w:cs="宋体"/>
          <w:b/>
          <w:bCs/>
          <w:sz w:val="44"/>
          <w:szCs w:val="44"/>
        </w:rPr>
      </w:pPr>
      <w:r>
        <w:rPr>
          <w:rFonts w:hint="eastAsia" w:ascii="宋体" w:hAnsi="宋体" w:cs="宋体"/>
          <w:b/>
          <w:bCs/>
          <w:sz w:val="44"/>
          <w:szCs w:val="44"/>
        </w:rPr>
        <w:t>202</w:t>
      </w:r>
      <w:r>
        <w:rPr>
          <w:rFonts w:hint="eastAsia" w:ascii="宋体" w:hAnsi="宋体" w:cs="宋体"/>
          <w:b/>
          <w:bCs/>
          <w:sz w:val="44"/>
          <w:szCs w:val="44"/>
          <w:lang w:val="en-US" w:eastAsia="zh-CN"/>
        </w:rPr>
        <w:t>5</w:t>
      </w:r>
      <w:r>
        <w:rPr>
          <w:rFonts w:hint="eastAsia" w:ascii="宋体" w:hAnsi="宋体" w:cs="宋体"/>
          <w:b/>
          <w:bCs/>
          <w:sz w:val="44"/>
          <w:szCs w:val="44"/>
        </w:rPr>
        <w:t>年度整体支出绩效自评报告</w:t>
      </w:r>
    </w:p>
    <w:p w14:paraId="7DB97C26">
      <w:pPr>
        <w:spacing w:line="560" w:lineRule="exact"/>
        <w:jc w:val="center"/>
        <w:rPr>
          <w:rFonts w:ascii="华文楷体" w:eastAsia="华文楷体"/>
          <w:sz w:val="32"/>
          <w:szCs w:val="32"/>
        </w:rPr>
      </w:pPr>
    </w:p>
    <w:p w14:paraId="49821B4E">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贯彻落实市委市政府《关于全面落实预算绩效管理的实施意见》（石发﹝2019﹞8号）文件精神，遵循“科学性、规范性、客观性和公正性”的原则，对</w:t>
      </w:r>
      <w:r>
        <w:rPr>
          <w:rFonts w:hint="eastAsia" w:ascii="仿宋" w:hAnsi="仿宋" w:eastAsia="仿宋"/>
          <w:sz w:val="32"/>
          <w:szCs w:val="32"/>
          <w:lang w:val="en-US" w:eastAsia="zh-CN"/>
        </w:rPr>
        <w:t>石家庄市第十五中学</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年整体支出情况实施了财政支出绩效自评价，形成本评价报告。</w:t>
      </w:r>
    </w:p>
    <w:p w14:paraId="104816EB">
      <w:pPr>
        <w:adjustRightInd w:val="0"/>
        <w:snapToGrid w:val="0"/>
        <w:spacing w:line="560" w:lineRule="exact"/>
        <w:rPr>
          <w:rFonts w:ascii="黑体" w:hAnsi="黑体" w:eastAsia="黑体"/>
          <w:b/>
          <w:bCs/>
          <w:sz w:val="32"/>
          <w:szCs w:val="36"/>
        </w:rPr>
      </w:pPr>
      <w:r>
        <w:rPr>
          <w:rFonts w:hint="eastAsia" w:ascii="黑体" w:hAnsi="黑体" w:eastAsia="黑体"/>
          <w:sz w:val="32"/>
          <w:szCs w:val="32"/>
        </w:rPr>
        <w:t xml:space="preserve">     一、</w:t>
      </w:r>
      <w:r>
        <w:rPr>
          <w:rFonts w:hint="eastAsia" w:ascii="黑体" w:hAnsi="黑体" w:eastAsia="黑体"/>
          <w:sz w:val="32"/>
          <w:szCs w:val="32"/>
          <w:lang w:eastAsia="zh-CN"/>
        </w:rPr>
        <w:t>单位</w:t>
      </w:r>
      <w:r>
        <w:rPr>
          <w:rFonts w:hint="eastAsia" w:ascii="黑体" w:hAnsi="黑体" w:eastAsia="黑体"/>
          <w:sz w:val="32"/>
          <w:szCs w:val="36"/>
        </w:rPr>
        <w:t>基本情况</w:t>
      </w:r>
    </w:p>
    <w:p w14:paraId="3E4236F5">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w:t>
      </w:r>
      <w:r>
        <w:rPr>
          <w:rFonts w:hint="eastAsia" w:ascii="楷体" w:hAnsi="楷体" w:eastAsia="楷体" w:cs="楷体_GB2312"/>
          <w:bCs/>
          <w:sz w:val="32"/>
          <w:szCs w:val="32"/>
          <w:lang w:eastAsia="zh-CN"/>
        </w:rPr>
        <w:t>单位</w:t>
      </w:r>
      <w:r>
        <w:rPr>
          <w:rFonts w:hint="eastAsia" w:ascii="楷体" w:hAnsi="楷体" w:eastAsia="楷体" w:cs="楷体_GB2312"/>
          <w:bCs/>
          <w:sz w:val="32"/>
          <w:szCs w:val="32"/>
        </w:rPr>
        <w:t>概况</w:t>
      </w:r>
    </w:p>
    <w:p w14:paraId="64C62CB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石家庄市第十五中学是石家庄市教育局直属的省级示范性高中，坐落于长安区御城路110号，占地256亩，建筑面积12万平方米。学校实行寄宿制管理现有7</w:t>
      </w:r>
      <w:r>
        <w:rPr>
          <w:rFonts w:hint="eastAsia" w:ascii="仿宋" w:hAnsi="仿宋" w:eastAsia="仿宋"/>
          <w:sz w:val="32"/>
          <w:szCs w:val="32"/>
          <w:lang w:val="en-US" w:eastAsia="zh-CN"/>
        </w:rPr>
        <w:t>2</w:t>
      </w:r>
      <w:r>
        <w:rPr>
          <w:rFonts w:hint="eastAsia" w:ascii="仿宋" w:hAnsi="仿宋" w:eastAsia="仿宋"/>
          <w:sz w:val="32"/>
          <w:szCs w:val="32"/>
        </w:rPr>
        <w:t>个教学班、</w:t>
      </w:r>
      <w:r>
        <w:rPr>
          <w:rFonts w:hint="eastAsia" w:ascii="仿宋" w:hAnsi="仿宋" w:eastAsia="仿宋"/>
          <w:sz w:val="32"/>
          <w:szCs w:val="32"/>
          <w:lang w:val="en-US" w:eastAsia="zh-CN"/>
        </w:rPr>
        <w:t>3700</w:t>
      </w:r>
      <w:r>
        <w:rPr>
          <w:rFonts w:hint="eastAsia" w:ascii="仿宋" w:hAnsi="仿宋" w:eastAsia="仿宋"/>
          <w:sz w:val="32"/>
          <w:szCs w:val="32"/>
        </w:rPr>
        <w:t>余学生，</w:t>
      </w:r>
      <w:r>
        <w:rPr>
          <w:rFonts w:hint="eastAsia" w:ascii="仿宋" w:hAnsi="仿宋" w:eastAsia="仿宋"/>
          <w:sz w:val="32"/>
          <w:szCs w:val="32"/>
          <w:lang w:val="en-US" w:eastAsia="zh-CN"/>
        </w:rPr>
        <w:t>年末</w:t>
      </w:r>
      <w:r>
        <w:rPr>
          <w:rFonts w:hint="eastAsia" w:ascii="仿宋" w:hAnsi="仿宋" w:eastAsia="仿宋"/>
          <w:sz w:val="32"/>
          <w:szCs w:val="32"/>
        </w:rPr>
        <w:t>教职工</w:t>
      </w:r>
      <w:r>
        <w:rPr>
          <w:rFonts w:hint="eastAsia" w:ascii="仿宋" w:hAnsi="仿宋" w:eastAsia="仿宋"/>
          <w:sz w:val="32"/>
          <w:szCs w:val="32"/>
          <w:lang w:val="en-US" w:eastAsia="zh-CN"/>
        </w:rPr>
        <w:t>259</w:t>
      </w:r>
      <w:r>
        <w:rPr>
          <w:rFonts w:hint="eastAsia" w:ascii="仿宋" w:hAnsi="仿宋" w:eastAsia="仿宋"/>
          <w:sz w:val="32"/>
          <w:szCs w:val="32"/>
        </w:rPr>
        <w:t>人，学校按照党组织领导的校长负责制进行管理，设专职书记一人，校长一人，</w:t>
      </w:r>
      <w:r>
        <w:rPr>
          <w:rFonts w:hint="eastAsia" w:ascii="仿宋" w:hAnsi="仿宋" w:eastAsia="仿宋"/>
          <w:sz w:val="32"/>
          <w:szCs w:val="32"/>
          <w:lang w:val="en-US" w:eastAsia="zh-CN"/>
        </w:rPr>
        <w:t>纪检书记一人，</w:t>
      </w:r>
      <w:r>
        <w:rPr>
          <w:rFonts w:hint="eastAsia" w:ascii="仿宋" w:hAnsi="仿宋" w:eastAsia="仿宋"/>
          <w:sz w:val="32"/>
          <w:szCs w:val="32"/>
        </w:rPr>
        <w:t>副校长三人，内设办公室、团委、教务科、教育科、科研科、安全科、总务科各职能科室</w:t>
      </w:r>
      <w:r>
        <w:rPr>
          <w:rFonts w:hint="eastAsia" w:ascii="仿宋" w:hAnsi="仿宋" w:eastAsia="仿宋"/>
          <w:sz w:val="32"/>
          <w:szCs w:val="32"/>
          <w:lang w:eastAsia="zh-CN"/>
        </w:rPr>
        <w:t>。</w:t>
      </w:r>
      <w:r>
        <w:rPr>
          <w:rFonts w:hint="eastAsia" w:ascii="仿宋_GB2312" w:hAnsi="仿宋" w:eastAsia="仿宋_GB2312"/>
          <w:sz w:val="32"/>
          <w:szCs w:val="32"/>
        </w:rPr>
        <w:t>本单位年末资产总计</w:t>
      </w:r>
      <w:r>
        <w:rPr>
          <w:rFonts w:hint="eastAsia" w:ascii="仿宋_GB2312" w:hAnsi="仿宋" w:eastAsia="仿宋_GB2312"/>
          <w:sz w:val="32"/>
          <w:szCs w:val="32"/>
          <w:lang w:val="en-US" w:eastAsia="zh-CN"/>
        </w:rPr>
        <w:t>43648.34</w:t>
      </w:r>
      <w:r>
        <w:rPr>
          <w:rFonts w:hint="eastAsia" w:ascii="仿宋_GB2312" w:hAnsi="仿宋" w:eastAsia="仿宋_GB2312"/>
          <w:sz w:val="32"/>
          <w:szCs w:val="32"/>
        </w:rPr>
        <w:t>万元</w:t>
      </w:r>
      <w:r>
        <w:rPr>
          <w:rFonts w:hint="eastAsia" w:ascii="仿宋_GB2312" w:hAnsi="仿宋" w:eastAsia="仿宋_GB2312"/>
          <w:sz w:val="32"/>
          <w:szCs w:val="32"/>
          <w:lang w:eastAsia="zh-CN"/>
        </w:rPr>
        <w:t>。</w:t>
      </w:r>
    </w:p>
    <w:p w14:paraId="21AC68A8">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lang w:eastAsia="zh-CN"/>
        </w:rPr>
        <w:t>单位</w:t>
      </w:r>
      <w:r>
        <w:rPr>
          <w:rFonts w:hint="eastAsia" w:ascii="楷体" w:hAnsi="楷体" w:eastAsia="楷体" w:cs="楷体_GB2312"/>
          <w:bCs/>
          <w:sz w:val="32"/>
          <w:szCs w:val="32"/>
        </w:rPr>
        <w:t>收支预决算情况</w:t>
      </w:r>
    </w:p>
    <w:p w14:paraId="5669D9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经批复我校202</w:t>
      </w:r>
      <w:r>
        <w:rPr>
          <w:rFonts w:hint="eastAsia" w:ascii="仿宋" w:hAnsi="仿宋" w:eastAsia="仿宋"/>
          <w:sz w:val="32"/>
          <w:szCs w:val="32"/>
          <w:lang w:val="en-US" w:eastAsia="zh-CN"/>
        </w:rPr>
        <w:t>5</w:t>
      </w:r>
      <w:r>
        <w:rPr>
          <w:rFonts w:hint="eastAsia" w:ascii="仿宋" w:hAnsi="仿宋" w:eastAsia="仿宋"/>
          <w:sz w:val="32"/>
          <w:szCs w:val="32"/>
          <w:lang w:eastAsia="zh-CN"/>
        </w:rPr>
        <w:t>年调整预算数</w:t>
      </w:r>
      <w:r>
        <w:rPr>
          <w:rFonts w:hint="eastAsia" w:ascii="仿宋" w:hAnsi="仿宋" w:eastAsia="仿宋"/>
          <w:sz w:val="32"/>
          <w:szCs w:val="32"/>
          <w:lang w:val="en-US" w:eastAsia="zh-CN"/>
        </w:rPr>
        <w:t>7845.46</w:t>
      </w:r>
      <w:r>
        <w:rPr>
          <w:rFonts w:hint="eastAsia" w:ascii="仿宋" w:hAnsi="仿宋" w:eastAsia="仿宋"/>
          <w:sz w:val="32"/>
          <w:szCs w:val="32"/>
          <w:lang w:eastAsia="zh-CN"/>
        </w:rPr>
        <w:t>万元，实际完成支出</w:t>
      </w:r>
      <w:r>
        <w:rPr>
          <w:rFonts w:hint="eastAsia" w:ascii="仿宋" w:hAnsi="仿宋" w:eastAsia="仿宋"/>
          <w:sz w:val="32"/>
          <w:szCs w:val="32"/>
          <w:lang w:val="en-US" w:eastAsia="zh-CN"/>
        </w:rPr>
        <w:t>7771.49</w:t>
      </w:r>
      <w:r>
        <w:rPr>
          <w:rFonts w:hint="eastAsia" w:ascii="仿宋" w:hAnsi="仿宋" w:eastAsia="仿宋"/>
          <w:sz w:val="32"/>
          <w:szCs w:val="32"/>
          <w:lang w:eastAsia="zh-CN"/>
        </w:rPr>
        <w:t>万元。202</w:t>
      </w:r>
      <w:r>
        <w:rPr>
          <w:rFonts w:hint="eastAsia" w:ascii="仿宋" w:hAnsi="仿宋" w:eastAsia="仿宋"/>
          <w:sz w:val="32"/>
          <w:szCs w:val="32"/>
          <w:lang w:val="en-US" w:eastAsia="zh-CN"/>
        </w:rPr>
        <w:t>5</w:t>
      </w:r>
      <w:r>
        <w:rPr>
          <w:rFonts w:hint="eastAsia" w:ascii="仿宋" w:hAnsi="仿宋" w:eastAsia="仿宋"/>
          <w:sz w:val="32"/>
          <w:szCs w:val="32"/>
          <w:lang w:eastAsia="zh-CN"/>
        </w:rPr>
        <w:t>年其他运转类和特定目标类项目共计</w:t>
      </w:r>
      <w:r>
        <w:rPr>
          <w:rFonts w:hint="eastAsia" w:ascii="仿宋" w:hAnsi="仿宋" w:eastAsia="仿宋"/>
          <w:sz w:val="32"/>
          <w:szCs w:val="32"/>
          <w:lang w:val="en-US" w:eastAsia="zh-CN"/>
        </w:rPr>
        <w:t>15</w:t>
      </w:r>
      <w:r>
        <w:rPr>
          <w:rFonts w:hint="eastAsia" w:ascii="仿宋" w:hAnsi="仿宋" w:eastAsia="仿宋"/>
          <w:sz w:val="32"/>
          <w:szCs w:val="32"/>
          <w:lang w:eastAsia="zh-CN"/>
        </w:rPr>
        <w:t>个，包括年初预算安排项目</w:t>
      </w:r>
      <w:r>
        <w:rPr>
          <w:rFonts w:hint="eastAsia" w:ascii="仿宋" w:hAnsi="仿宋" w:eastAsia="仿宋"/>
          <w:sz w:val="32"/>
          <w:szCs w:val="32"/>
          <w:lang w:val="en-US" w:eastAsia="zh-CN"/>
        </w:rPr>
        <w:t>10</w:t>
      </w:r>
      <w:r>
        <w:rPr>
          <w:rFonts w:hint="eastAsia" w:ascii="仿宋" w:hAnsi="仿宋" w:eastAsia="仿宋"/>
          <w:sz w:val="32"/>
          <w:szCs w:val="32"/>
          <w:lang w:eastAsia="zh-CN"/>
        </w:rPr>
        <w:t>个，调整预算安排项目</w:t>
      </w:r>
      <w:r>
        <w:rPr>
          <w:rFonts w:hint="eastAsia" w:ascii="仿宋" w:hAnsi="仿宋" w:eastAsia="仿宋"/>
          <w:sz w:val="32"/>
          <w:szCs w:val="32"/>
          <w:lang w:val="en-US" w:eastAsia="zh-CN"/>
        </w:rPr>
        <w:t>5</w:t>
      </w:r>
      <w:r>
        <w:rPr>
          <w:rFonts w:hint="eastAsia" w:ascii="仿宋" w:hAnsi="仿宋" w:eastAsia="仿宋"/>
          <w:sz w:val="32"/>
          <w:szCs w:val="32"/>
          <w:lang w:eastAsia="zh-CN"/>
        </w:rPr>
        <w:t>个。</w:t>
      </w:r>
    </w:p>
    <w:p w14:paraId="1D1EDCF4">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w:t>
      </w:r>
      <w:r>
        <w:rPr>
          <w:rFonts w:hint="eastAsia" w:ascii="楷体" w:hAnsi="楷体" w:eastAsia="楷体" w:cs="楷体_GB2312"/>
          <w:bCs/>
          <w:sz w:val="32"/>
          <w:szCs w:val="32"/>
          <w:lang w:eastAsia="zh-CN"/>
        </w:rPr>
        <w:t>单位</w:t>
      </w:r>
      <w:r>
        <w:rPr>
          <w:rFonts w:hint="eastAsia" w:ascii="楷体" w:hAnsi="楷体" w:eastAsia="楷体" w:cs="楷体_GB2312"/>
          <w:bCs/>
          <w:sz w:val="32"/>
          <w:szCs w:val="32"/>
        </w:rPr>
        <w:t>整体支出绩效目标、指标</w:t>
      </w:r>
    </w:p>
    <w:p w14:paraId="22C4084E">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lang w:eastAsia="zh-CN"/>
        </w:rPr>
        <w:t>项目</w:t>
      </w:r>
      <w:r>
        <w:rPr>
          <w:rFonts w:hint="eastAsia" w:ascii="仿宋" w:hAnsi="仿宋" w:eastAsia="仿宋"/>
          <w:sz w:val="32"/>
          <w:szCs w:val="32"/>
          <w:lang w:val="en-US" w:eastAsia="zh-CN"/>
        </w:rPr>
        <w:t>资金共安排预算612.98万元，完成支出540.65万元，未完成支出预算的项目有：1.因申请国家助学金资助学生减少未能支出的提前下达2025年学生资助中央补助经费（高中助学金）20.06万元；2025年学生资助中央追加补助经费（高中助学金）19万元等助学金项目资金。2.政府采购节约资金未支出的物业管理费项目资金27.27万元。3.因履行质保合同未支出的校舍、设施维修改造费用项目资金5.29万元。其他项目均较好的达到了项目预算制定的绩效目标。其中</w:t>
      </w:r>
      <w:r>
        <w:rPr>
          <w:rFonts w:hint="eastAsia" w:ascii="仿宋" w:hAnsi="仿宋" w:eastAsia="仿宋"/>
          <w:sz w:val="32"/>
          <w:szCs w:val="32"/>
          <w:lang w:eastAsia="zh-CN"/>
        </w:rPr>
        <w:t>主要事实内容包括：</w:t>
      </w:r>
      <w:r>
        <w:rPr>
          <w:rFonts w:hint="eastAsia" w:ascii="仿宋" w:hAnsi="仿宋" w:eastAsia="仿宋"/>
          <w:sz w:val="32"/>
          <w:szCs w:val="32"/>
          <w:lang w:val="en-US" w:eastAsia="zh-CN"/>
        </w:rPr>
        <w:t>教学耗材及校本课程、试卷资料印刷费37.29万元，劳动聘用人员经费29.9万元，体育参赛经费25.52万元等。</w:t>
      </w:r>
    </w:p>
    <w:p w14:paraId="2F4A2F6A">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二、自评工作开展情况</w:t>
      </w:r>
    </w:p>
    <w:p w14:paraId="75A4F82B">
      <w:pPr>
        <w:spacing w:line="560" w:lineRule="exact"/>
        <w:rPr>
          <w:rFonts w:ascii="楷体" w:hAnsi="楷体" w:eastAsia="楷体" w:cs="楷体_GB2312"/>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（一）自评的组织工作</w:t>
      </w:r>
    </w:p>
    <w:p w14:paraId="6C1B306D">
      <w:pPr>
        <w:spacing w:line="56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eastAsia="zh-CN"/>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75D29E9D">
      <w:pPr>
        <w:numPr>
          <w:ilvl w:val="0"/>
          <w:numId w:val="2"/>
        </w:numPr>
        <w:spacing w:line="560" w:lineRule="exact"/>
        <w:rPr>
          <w:rFonts w:ascii="楷体" w:hAnsi="楷体" w:eastAsia="楷体" w:cs="楷体_GB2312"/>
          <w:bCs/>
          <w:sz w:val="32"/>
          <w:szCs w:val="32"/>
        </w:rPr>
      </w:pPr>
      <w:r>
        <w:rPr>
          <w:rFonts w:hint="eastAsia" w:ascii="楷体" w:hAnsi="楷体" w:eastAsia="楷体" w:cs="楷体_GB2312"/>
          <w:bCs/>
          <w:sz w:val="32"/>
          <w:szCs w:val="32"/>
        </w:rPr>
        <w:t>自评的方法和过程</w:t>
      </w:r>
    </w:p>
    <w:p w14:paraId="010277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eastAsia="zh-CN"/>
        </w:rPr>
      </w:pPr>
      <w:r>
        <w:rPr>
          <w:rFonts w:hint="eastAsia" w:ascii="仿宋" w:hAnsi="仿宋" w:eastAsia="仿宋"/>
          <w:sz w:val="32"/>
          <w:szCs w:val="32"/>
          <w:lang w:eastAsia="zh-CN"/>
        </w:rPr>
        <w:t>成立绩效自评工作领导和工作小组，组织召开自评工作专题会议，明确分工和责任，对照绩效目标和指标，根据完成情况和综合评价进行打分，对自评结论进行总结，形成自评报告。会同各项目实施部门进行学习讨论，总结经验和不足。</w:t>
      </w:r>
    </w:p>
    <w:p w14:paraId="031BE99B">
      <w:pPr>
        <w:spacing w:line="560" w:lineRule="exact"/>
        <w:rPr>
          <w:rFonts w:ascii="黑体" w:hAnsi="黑体" w:eastAsia="黑体"/>
          <w:b/>
          <w:bCs/>
          <w:sz w:val="32"/>
          <w:szCs w:val="32"/>
        </w:rPr>
      </w:pPr>
      <w:r>
        <w:rPr>
          <w:rFonts w:hint="eastAsia" w:ascii="黑体" w:hAnsi="黑体" w:eastAsia="黑体"/>
          <w:sz w:val="32"/>
          <w:szCs w:val="32"/>
        </w:rPr>
        <w:t xml:space="preserve">    三、</w:t>
      </w:r>
      <w:r>
        <w:rPr>
          <w:rFonts w:hint="eastAsia" w:ascii="黑体" w:hAnsi="黑体" w:eastAsia="黑体"/>
          <w:sz w:val="32"/>
          <w:szCs w:val="32"/>
          <w:lang w:eastAsia="zh-CN"/>
        </w:rPr>
        <w:t>单位</w:t>
      </w:r>
      <w:r>
        <w:rPr>
          <w:rFonts w:hint="eastAsia" w:ascii="黑体" w:hAnsi="黑体" w:eastAsia="黑体"/>
          <w:sz w:val="32"/>
          <w:szCs w:val="32"/>
        </w:rPr>
        <w:t>整体支出绩效目标实现情况及指标分析</w:t>
      </w:r>
    </w:p>
    <w:p w14:paraId="67D76839">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总体绩效目标实现情况</w:t>
      </w:r>
    </w:p>
    <w:p w14:paraId="1B1D1EEA">
      <w:pPr>
        <w:spacing w:line="560" w:lineRule="exact"/>
        <w:ind w:firstLine="800" w:firstLineChars="250"/>
        <w:rPr>
          <w:rFonts w:ascii="仿宋" w:hAnsi="仿宋" w:eastAsia="仿宋"/>
          <w:sz w:val="32"/>
          <w:szCs w:val="32"/>
        </w:rPr>
      </w:pPr>
      <w:r>
        <w:rPr>
          <w:rFonts w:hint="eastAsia" w:ascii="仿宋" w:hAnsi="仿宋" w:eastAsia="仿宋"/>
          <w:sz w:val="32"/>
          <w:szCs w:val="32"/>
          <w:lang w:val="en-US" w:eastAsia="zh-CN"/>
        </w:rPr>
        <w:t>除因申请国家助学金资助学生减少未能支出的助学金项目外，均较好的达到了项目预算制定的绩效目标。</w:t>
      </w:r>
    </w:p>
    <w:p w14:paraId="6B4C98D7">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（二）分项绩效目标实现情况及指标分析</w:t>
      </w:r>
    </w:p>
    <w:p w14:paraId="02B75A55">
      <w:pPr>
        <w:spacing w:line="560" w:lineRule="exact"/>
        <w:ind w:firstLine="750" w:firstLineChars="250"/>
        <w:rPr>
          <w:rFonts w:hint="eastAsia" w:ascii="仿宋" w:hAnsi="仿宋" w:eastAsia="仿宋"/>
          <w:sz w:val="32"/>
          <w:szCs w:val="32"/>
        </w:rPr>
      </w:pPr>
      <w:r>
        <w:rPr>
          <w:rFonts w:hint="eastAsia" w:ascii="仿宋" w:hAnsi="仿宋" w:eastAsia="仿宋"/>
          <w:sz w:val="30"/>
          <w:szCs w:val="30"/>
        </w:rPr>
        <w:t>参照预算绩效文本中分项绩效目标、指标，从完成数量、质量、时效、成本</w:t>
      </w:r>
      <w:r>
        <w:rPr>
          <w:rFonts w:hint="eastAsia" w:ascii="仿宋" w:hAnsi="仿宋" w:eastAsia="仿宋"/>
          <w:sz w:val="32"/>
          <w:szCs w:val="32"/>
        </w:rPr>
        <w:t>效益等方面，对分项目标指标完成情况进行评价，指标要细化、量化，得分依据要充分。</w:t>
      </w:r>
    </w:p>
    <w:p w14:paraId="0B27055B">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1.教学耗材及校本课程、试卷资料印刷费38</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预算执行率为100%，绩效目标为增加学生练习资料和考试试卷的印刷数量，提升教育教学水平。各项目标、指标细则已基本完成。</w:t>
      </w:r>
    </w:p>
    <w:p w14:paraId="24E3C398">
      <w:pPr>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2.校舍、设施维修改造费用260.73</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预算执行率为97.97%，绩效目标为维修学生宿舍楼卫生间，改善学生居住环境，各项目标、指标细则已基本完成。</w:t>
      </w:r>
    </w:p>
    <w:p w14:paraId="4610FA0F">
      <w:pPr>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3.物业管理费144万元。预算执行率为81.06%，绩效目标为</w:t>
      </w:r>
      <w:r>
        <w:rPr>
          <w:rFonts w:hint="eastAsia" w:ascii="仿宋" w:hAnsi="仿宋" w:eastAsia="仿宋" w:cs="仿宋"/>
          <w:sz w:val="32"/>
          <w:szCs w:val="32"/>
        </w:rPr>
        <w:t>保洁、保安、绿化、宿管服务外包保障学校物业环境和师生在校学习生活</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该项目资金使用计划改变，通过政府采购节约了部分资金因此预算执行率降低，但各项目标、指标细则已基本完成。</w:t>
      </w:r>
    </w:p>
    <w:p w14:paraId="463AB10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党组织活动经费</w:t>
      </w:r>
      <w:r>
        <w:rPr>
          <w:rFonts w:hint="eastAsia" w:ascii="仿宋" w:hAnsi="仿宋" w:eastAsia="仿宋" w:cs="仿宋"/>
          <w:sz w:val="32"/>
          <w:szCs w:val="32"/>
          <w:lang w:val="en-US" w:eastAsia="zh-CN"/>
        </w:rPr>
        <w:t>13.13</w:t>
      </w:r>
      <w:r>
        <w:rPr>
          <w:rFonts w:hint="eastAsia" w:ascii="仿宋" w:hAnsi="仿宋" w:eastAsia="仿宋" w:cs="仿宋"/>
          <w:sz w:val="32"/>
          <w:szCs w:val="32"/>
        </w:rPr>
        <w:t>万元，支出</w:t>
      </w:r>
      <w:r>
        <w:rPr>
          <w:rFonts w:hint="eastAsia" w:ascii="仿宋" w:hAnsi="仿宋" w:eastAsia="仿宋" w:cs="仿宋"/>
          <w:sz w:val="32"/>
          <w:szCs w:val="32"/>
          <w:lang w:val="en-US" w:eastAsia="zh-CN"/>
        </w:rPr>
        <w:t>13.13</w:t>
      </w:r>
      <w:r>
        <w:rPr>
          <w:rFonts w:hint="eastAsia" w:ascii="仿宋" w:hAnsi="仿宋" w:eastAsia="仿宋" w:cs="仿宋"/>
          <w:sz w:val="32"/>
          <w:szCs w:val="32"/>
        </w:rPr>
        <w:t>万元，</w:t>
      </w:r>
      <w:r>
        <w:rPr>
          <w:rFonts w:hint="eastAsia" w:ascii="仿宋" w:hAnsi="仿宋" w:eastAsia="仿宋" w:cs="仿宋"/>
          <w:sz w:val="32"/>
          <w:szCs w:val="32"/>
          <w:lang w:val="en-US" w:eastAsia="zh-CN"/>
        </w:rPr>
        <w:t>预算执行率为100%，绩效目标为</w:t>
      </w:r>
      <w:r>
        <w:rPr>
          <w:rFonts w:hint="eastAsia" w:ascii="仿宋" w:hAnsi="仿宋" w:eastAsia="仿宋" w:cs="仿宋"/>
          <w:sz w:val="32"/>
          <w:szCs w:val="32"/>
        </w:rPr>
        <w:t>丰富宣传教育形式，促进党务工作发展。通过开展党员学习实现党员素质提升</w:t>
      </w:r>
      <w:r>
        <w:rPr>
          <w:rFonts w:hint="eastAsia" w:ascii="仿宋" w:hAnsi="仿宋" w:eastAsia="仿宋" w:cs="仿宋"/>
          <w:sz w:val="32"/>
          <w:szCs w:val="32"/>
          <w:lang w:val="en-US" w:eastAsia="zh-CN"/>
        </w:rPr>
        <w:t>，各项目标、指标细则已基本完成。</w:t>
      </w:r>
    </w:p>
    <w:p w14:paraId="1EBDF89B">
      <w:pPr>
        <w:snapToGrid w:val="0"/>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电梯</w:t>
      </w:r>
      <w:r>
        <w:rPr>
          <w:rFonts w:hint="eastAsia" w:ascii="仿宋" w:hAnsi="仿宋" w:eastAsia="仿宋" w:cs="仿宋"/>
          <w:sz w:val="32"/>
          <w:szCs w:val="32"/>
          <w:lang w:val="en-US" w:eastAsia="zh-CN"/>
        </w:rPr>
        <w:t>运维费7</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预算执行率为100%，预算执行率绩效目标为</w:t>
      </w:r>
      <w:r>
        <w:rPr>
          <w:rFonts w:hint="eastAsia" w:ascii="仿宋" w:hAnsi="仿宋" w:eastAsia="仿宋" w:cs="仿宋"/>
          <w:sz w:val="32"/>
          <w:szCs w:val="32"/>
        </w:rPr>
        <w:t>保证电梯正常运行，满足师生使用，提高通行效率</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1FFDEBC8">
      <w:pPr>
        <w:numPr>
          <w:ilvl w:val="0"/>
          <w:numId w:val="4"/>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体育参赛费用25.52万元。预算执行率为100%，绩效目标为</w:t>
      </w:r>
      <w:r>
        <w:rPr>
          <w:rFonts w:hint="eastAsia" w:ascii="仿宋" w:hAnsi="仿宋" w:eastAsia="仿宋" w:cs="仿宋"/>
          <w:sz w:val="32"/>
          <w:szCs w:val="32"/>
        </w:rPr>
        <w:t>参加各项排球比赛，通过各项比赛来提高我校的整体体育教学水平，促进素质教育全面发展，提高学校知名度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043BEA45">
      <w:pPr>
        <w:numPr>
          <w:ilvl w:val="0"/>
          <w:numId w:val="4"/>
        </w:numPr>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聘用人员劳务费</w:t>
      </w:r>
      <w:r>
        <w:rPr>
          <w:rFonts w:hint="eastAsia" w:ascii="仿宋" w:hAnsi="仿宋" w:eastAsia="仿宋" w:cs="仿宋"/>
          <w:sz w:val="32"/>
          <w:szCs w:val="32"/>
          <w:lang w:val="en-US" w:eastAsia="zh-CN"/>
        </w:rPr>
        <w:t>29.9</w:t>
      </w:r>
      <w:r>
        <w:rPr>
          <w:rFonts w:hint="eastAsia" w:ascii="仿宋" w:hAnsi="仿宋" w:eastAsia="仿宋" w:cs="仿宋"/>
          <w:sz w:val="32"/>
          <w:szCs w:val="32"/>
        </w:rPr>
        <w:t>万元。</w:t>
      </w:r>
      <w:r>
        <w:rPr>
          <w:rFonts w:hint="eastAsia" w:ascii="仿宋" w:hAnsi="仿宋" w:eastAsia="仿宋" w:cs="仿宋"/>
          <w:sz w:val="32"/>
          <w:szCs w:val="32"/>
          <w:lang w:val="en-US" w:eastAsia="zh-CN"/>
        </w:rPr>
        <w:t>预算执行率为100%，绩效目标为</w:t>
      </w:r>
      <w:r>
        <w:rPr>
          <w:rFonts w:hint="eastAsia" w:ascii="仿宋" w:hAnsi="仿宋" w:eastAsia="仿宋" w:cs="仿宋"/>
          <w:sz w:val="32"/>
          <w:szCs w:val="32"/>
        </w:rPr>
        <w:t>使用聘用人员，促进学校工作发展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3E69247D">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8.提前下达2025年省级普通高中补助资金（高中免学费）1.9万元，预算执行率为100%，绩效目标为</w:t>
      </w:r>
      <w:r>
        <w:rPr>
          <w:rFonts w:hint="eastAsia" w:ascii="仿宋" w:hAnsi="仿宋" w:eastAsia="仿宋" w:cs="仿宋"/>
          <w:sz w:val="32"/>
          <w:szCs w:val="32"/>
        </w:rPr>
        <w:t>落实普通高中助学金和免学费政策，改善公办普通高中学校办学条件。</w:t>
      </w:r>
      <w:r>
        <w:rPr>
          <w:rFonts w:hint="eastAsia" w:ascii="仿宋" w:hAnsi="仿宋" w:eastAsia="仿宋" w:cs="仿宋"/>
          <w:sz w:val="32"/>
          <w:szCs w:val="32"/>
          <w:lang w:val="en-US" w:eastAsia="zh-CN"/>
        </w:rPr>
        <w:t>各项目标、指标细则已基本完成。</w:t>
      </w:r>
    </w:p>
    <w:p w14:paraId="71AB1058">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9.提前下达2025年学生资助中央补助经费（高中助学金），预算执行率为61.27%，绩效目标为</w:t>
      </w:r>
      <w:r>
        <w:rPr>
          <w:rFonts w:hint="eastAsia" w:ascii="仿宋" w:hAnsi="仿宋" w:eastAsia="仿宋" w:cs="仿宋"/>
          <w:sz w:val="32"/>
          <w:szCs w:val="32"/>
        </w:rPr>
        <w:t>发放符合国家助学金资助相关政策的学生助学金，保障受助学生顺利完成学业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因申请资助学生减少执行率较低，但做到了应助尽助，其他目标、指标细则已基本完成。</w:t>
      </w:r>
    </w:p>
    <w:p w14:paraId="1C1CA280">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10.提前下达2025年学生资助中央补助经费（高中免学费）1.2万元，预算执行率为100%，绩效目标为</w:t>
      </w:r>
      <w:r>
        <w:rPr>
          <w:rFonts w:hint="eastAsia" w:ascii="仿宋" w:hAnsi="仿宋" w:eastAsia="仿宋" w:cs="仿宋"/>
          <w:sz w:val="32"/>
          <w:szCs w:val="32"/>
        </w:rPr>
        <w:t>三免一助”政策，采购建档立卡学生教科书，保障受助学生顺利完成学业。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652BF014">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11.提前下达2025年市级普通高中补助资金（高中免学费）4.4万元，预算执行率为100%，绩效目标为</w:t>
      </w:r>
      <w:r>
        <w:rPr>
          <w:rFonts w:hint="eastAsia" w:ascii="仿宋" w:hAnsi="仿宋" w:eastAsia="仿宋" w:cs="仿宋"/>
          <w:sz w:val="32"/>
          <w:szCs w:val="32"/>
        </w:rPr>
        <w:t>弥补由此产生的办公经费不足，采购用电，保障学校正常运转</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3C11A7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12.省市运动会及各种比赛、高水平运动员资格认定经费市级补助6万元，预算执行率为100%，绩效目标为：（</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通过参加河北省中学生运动会初高中排球比赛，提升我校排球队运动水平，提高学校知名度。</w:t>
      </w: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承办市区中小学排球比赛，提高全市中小学排球运动水平。</w:t>
      </w:r>
      <w:r>
        <w:rPr>
          <w:rFonts w:hint="eastAsia" w:ascii="仿宋" w:hAnsi="仿宋" w:eastAsia="仿宋" w:cs="仿宋"/>
          <w:sz w:val="32"/>
          <w:szCs w:val="32"/>
          <w:lang w:val="en-US" w:eastAsia="zh-CN"/>
        </w:rPr>
        <w:t>各项目标、指标细则已基本完成。</w:t>
      </w:r>
    </w:p>
    <w:p w14:paraId="3B570B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13.2025年高中教育质量提升补助经费10万元，预算执行率为100%，绩效目标为</w:t>
      </w:r>
      <w:r>
        <w:rPr>
          <w:rFonts w:hint="eastAsia" w:ascii="仿宋" w:hAnsi="仿宋" w:eastAsia="仿宋" w:cs="仿宋"/>
          <w:sz w:val="32"/>
          <w:szCs w:val="32"/>
        </w:rPr>
        <w:t>保障高中阶段科研工作高质量开展，推动我市高中教育质量提升</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50CF646F">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cs="仿宋"/>
          <w:sz w:val="32"/>
          <w:szCs w:val="32"/>
          <w:lang w:val="en-US" w:eastAsia="zh-CN"/>
        </w:rPr>
        <w:t>14.2025年学生资助中央追加补助经费（高中助学金）19万元，支出0万元，预算执行率为0%，绩效目标为</w:t>
      </w:r>
      <w:r>
        <w:rPr>
          <w:rFonts w:hint="eastAsia" w:ascii="仿宋" w:hAnsi="仿宋" w:eastAsia="仿宋" w:cs="仿宋"/>
          <w:sz w:val="32"/>
          <w:szCs w:val="32"/>
        </w:rPr>
        <w:t>发放家庭经济困难学生补助款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但因</w:t>
      </w:r>
      <w:r>
        <w:rPr>
          <w:rFonts w:hint="eastAsia" w:ascii="仿宋" w:hAnsi="仿宋" w:eastAsia="仿宋"/>
          <w:sz w:val="32"/>
          <w:szCs w:val="32"/>
          <w:lang w:val="en-US" w:eastAsia="zh-CN"/>
        </w:rPr>
        <w:t>申请国家助学金资助学生减少未完成绩效目标。得分为40分。</w:t>
      </w:r>
    </w:p>
    <w:p w14:paraId="73C52CFD">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15.2025年学生资助中央追加补助经费（高中免学费）0.4万元，预算执行率为100%，绩效目标为</w:t>
      </w:r>
      <w:r>
        <w:rPr>
          <w:rFonts w:hint="eastAsia" w:ascii="仿宋" w:hAnsi="仿宋" w:eastAsia="仿宋" w:cs="仿宋"/>
          <w:sz w:val="32"/>
          <w:szCs w:val="32"/>
        </w:rPr>
        <w:t>落实“三免一助”政策和弥补由此产生的办公经费不足</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各项目标、指标细则已基本完成。</w:t>
      </w:r>
    </w:p>
    <w:p w14:paraId="179C6653">
      <w:pPr>
        <w:spacing w:line="560" w:lineRule="exact"/>
        <w:ind w:firstLine="640" w:firstLineChars="200"/>
        <w:rPr>
          <w:rFonts w:ascii="黑体" w:hAnsi="黑体" w:eastAsia="黑体"/>
          <w:sz w:val="32"/>
          <w:szCs w:val="32"/>
        </w:rPr>
      </w:pPr>
      <w:r>
        <w:rPr>
          <w:rFonts w:hint="eastAsia" w:ascii="黑体" w:hAnsi="黑体" w:eastAsia="黑体"/>
          <w:sz w:val="32"/>
          <w:szCs w:val="32"/>
        </w:rPr>
        <w:t>四、评价结论和评价等级</w:t>
      </w:r>
    </w:p>
    <w:p w14:paraId="3D767232">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w:t>
      </w:r>
      <w:r>
        <w:rPr>
          <w:rFonts w:hint="eastAsia" w:ascii="仿宋" w:hAnsi="仿宋" w:eastAsia="仿宋"/>
          <w:sz w:val="32"/>
          <w:szCs w:val="32"/>
          <w:lang w:eastAsia="zh-CN"/>
        </w:rPr>
        <w:t>单位</w:t>
      </w:r>
      <w:r>
        <w:rPr>
          <w:rFonts w:hint="eastAsia" w:ascii="仿宋" w:hAnsi="仿宋" w:eastAsia="仿宋"/>
          <w:sz w:val="32"/>
          <w:szCs w:val="32"/>
        </w:rPr>
        <w:t>职责定位和各项工作履职情况进行综合评价，给出总得分，满分100分，得出综合绩效评价等级。</w:t>
      </w:r>
      <w:r>
        <w:rPr>
          <w:rFonts w:hint="eastAsia" w:ascii="仿宋" w:hAnsi="仿宋" w:eastAsia="仿宋"/>
          <w:sz w:val="32"/>
          <w:szCs w:val="32"/>
          <w:lang w:eastAsia="zh-CN"/>
        </w:rPr>
        <w:t>单位</w:t>
      </w:r>
      <w:r>
        <w:rPr>
          <w:rFonts w:hint="eastAsia" w:ascii="仿宋" w:hAnsi="仿宋" w:eastAsia="仿宋"/>
          <w:sz w:val="32"/>
          <w:szCs w:val="32"/>
        </w:rPr>
        <w:t>整体支出综合绩效评价分为4个等级：得分</w:t>
      </w:r>
      <w:r>
        <w:rPr>
          <w:rFonts w:ascii="仿宋" w:hAnsi="仿宋" w:eastAsia="仿宋" w:cs="Arial"/>
          <w:sz w:val="32"/>
          <w:szCs w:val="32"/>
        </w:rPr>
        <w:t>≥</w:t>
      </w:r>
      <w:r>
        <w:rPr>
          <w:rFonts w:hint="eastAsia" w:ascii="仿宋" w:hAnsi="仿宋" w:eastAsia="仿宋"/>
          <w:sz w:val="32"/>
          <w:szCs w:val="32"/>
        </w:rPr>
        <w:t>85分为优秀；75</w:t>
      </w:r>
      <w:r>
        <w:rPr>
          <w:rFonts w:ascii="仿宋" w:hAnsi="仿宋" w:eastAsia="仿宋" w:cs="Arial"/>
          <w:sz w:val="32"/>
          <w:szCs w:val="32"/>
        </w:rPr>
        <w:t>≤</w:t>
      </w:r>
      <w:r>
        <w:rPr>
          <w:rFonts w:hint="eastAsia" w:ascii="仿宋" w:hAnsi="仿宋" w:eastAsia="仿宋"/>
          <w:sz w:val="32"/>
          <w:szCs w:val="32"/>
        </w:rPr>
        <w:t>得分＜85分为良好；60</w:t>
      </w:r>
      <w:r>
        <w:rPr>
          <w:rFonts w:ascii="仿宋" w:hAnsi="仿宋" w:eastAsia="仿宋" w:cs="Arial"/>
          <w:sz w:val="32"/>
          <w:szCs w:val="32"/>
        </w:rPr>
        <w:t>≤</w:t>
      </w:r>
      <w:r>
        <w:rPr>
          <w:rFonts w:hint="eastAsia" w:ascii="仿宋" w:hAnsi="仿宋" w:eastAsia="仿宋"/>
          <w:sz w:val="32"/>
          <w:szCs w:val="32"/>
        </w:rPr>
        <w:t>得分＜75分为一般；得分＜60分为较差。</w:t>
      </w:r>
    </w:p>
    <w:p w14:paraId="3943F66F">
      <w:pPr>
        <w:pStyle w:val="6"/>
        <w:ind w:firstLine="707" w:firstLineChars="221"/>
        <w:rPr>
          <w:rFonts w:hint="eastAsia"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通过对所有专项项目绩效自评结果与年初绩效目标对比倒查，学校年初设定的绩效目标清晰准确，绩效指标全面完整、基本科学合理，但对学生资助类和拆建的项目预算执行率的预估不是很准确，后期有待继续细化提高。绩效标准设置比较恰当适宜、易于评价。附项目评分表：</w:t>
      </w:r>
    </w:p>
    <w:tbl>
      <w:tblPr>
        <w:tblStyle w:val="4"/>
        <w:tblW w:w="8972" w:type="dxa"/>
        <w:tblInd w:w="0" w:type="dxa"/>
        <w:tblLayout w:type="autofit"/>
        <w:tblCellMar>
          <w:top w:w="0" w:type="dxa"/>
          <w:left w:w="108" w:type="dxa"/>
          <w:bottom w:w="0" w:type="dxa"/>
          <w:right w:w="108" w:type="dxa"/>
        </w:tblCellMar>
      </w:tblPr>
      <w:tblGrid>
        <w:gridCol w:w="704"/>
        <w:gridCol w:w="4253"/>
        <w:gridCol w:w="1370"/>
        <w:gridCol w:w="1370"/>
        <w:gridCol w:w="1275"/>
      </w:tblGrid>
      <w:tr w14:paraId="37921A11">
        <w:tblPrEx>
          <w:tblCellMar>
            <w:top w:w="0" w:type="dxa"/>
            <w:left w:w="108" w:type="dxa"/>
            <w:bottom w:w="0" w:type="dxa"/>
            <w:right w:w="108" w:type="dxa"/>
          </w:tblCellMar>
        </w:tblPrEx>
        <w:trPr>
          <w:trHeight w:val="284" w:hRule="exact"/>
        </w:trPr>
        <w:tc>
          <w:tcPr>
            <w:tcW w:w="704" w:type="dxa"/>
            <w:tcBorders>
              <w:top w:val="single" w:color="auto" w:sz="4" w:space="0"/>
              <w:left w:val="single" w:color="auto" w:sz="4" w:space="0"/>
              <w:bottom w:val="nil"/>
              <w:right w:val="single" w:color="auto" w:sz="4" w:space="0"/>
            </w:tcBorders>
            <w:shd w:val="clear" w:color="auto" w:fill="auto"/>
            <w:vAlign w:val="center"/>
          </w:tcPr>
          <w:p w14:paraId="0AF797B4">
            <w:pPr>
              <w:widowControl/>
              <w:jc w:val="center"/>
              <w:rPr>
                <w:rFonts w:ascii="仿宋" w:hAnsi="仿宋" w:eastAsia="仿宋" w:cs="宋体"/>
                <w:color w:val="000000"/>
                <w:kern w:val="0"/>
                <w:sz w:val="24"/>
              </w:rPr>
            </w:pPr>
            <w:bookmarkStart w:id="0" w:name="_Hlk192234782"/>
            <w:r>
              <w:rPr>
                <w:rFonts w:hint="eastAsia" w:ascii="仿宋" w:hAnsi="仿宋" w:eastAsia="仿宋" w:cs="宋体"/>
                <w:color w:val="000000"/>
                <w:kern w:val="0"/>
                <w:sz w:val="24"/>
              </w:rPr>
              <w:t>序号</w:t>
            </w:r>
          </w:p>
        </w:tc>
        <w:tc>
          <w:tcPr>
            <w:tcW w:w="4253" w:type="dxa"/>
            <w:tcBorders>
              <w:top w:val="single" w:color="auto" w:sz="4" w:space="0"/>
              <w:left w:val="nil"/>
              <w:bottom w:val="nil"/>
              <w:right w:val="single" w:color="auto" w:sz="4" w:space="0"/>
            </w:tcBorders>
            <w:shd w:val="clear" w:color="auto" w:fill="auto"/>
            <w:vAlign w:val="center"/>
          </w:tcPr>
          <w:p w14:paraId="382BFF40">
            <w:pPr>
              <w:widowControl/>
              <w:ind w:firstLine="530" w:firstLineChars="221"/>
              <w:jc w:val="center"/>
              <w:rPr>
                <w:rFonts w:ascii="仿宋" w:hAnsi="仿宋" w:eastAsia="仿宋" w:cs="宋体"/>
                <w:color w:val="000000"/>
                <w:kern w:val="0"/>
                <w:sz w:val="24"/>
              </w:rPr>
            </w:pPr>
            <w:r>
              <w:rPr>
                <w:rFonts w:hint="eastAsia" w:ascii="仿宋" w:hAnsi="仿宋" w:eastAsia="仿宋" w:cs="宋体"/>
                <w:color w:val="000000"/>
                <w:kern w:val="0"/>
                <w:sz w:val="24"/>
              </w:rPr>
              <w:t>项目名称</w:t>
            </w:r>
          </w:p>
        </w:tc>
        <w:tc>
          <w:tcPr>
            <w:tcW w:w="1370" w:type="dxa"/>
            <w:tcBorders>
              <w:top w:val="single" w:color="auto" w:sz="4" w:space="0"/>
              <w:left w:val="nil"/>
              <w:bottom w:val="single" w:color="auto" w:sz="4" w:space="0"/>
              <w:right w:val="single" w:color="auto" w:sz="4" w:space="0"/>
            </w:tcBorders>
            <w:shd w:val="clear" w:color="auto" w:fill="auto"/>
            <w:vAlign w:val="center"/>
          </w:tcPr>
          <w:p w14:paraId="28331945">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预算数</w:t>
            </w:r>
          </w:p>
        </w:tc>
        <w:tc>
          <w:tcPr>
            <w:tcW w:w="1370" w:type="dxa"/>
            <w:tcBorders>
              <w:top w:val="single" w:color="auto" w:sz="4" w:space="0"/>
              <w:left w:val="nil"/>
              <w:bottom w:val="single" w:color="auto" w:sz="4" w:space="0"/>
              <w:right w:val="nil"/>
            </w:tcBorders>
            <w:shd w:val="clear" w:color="auto" w:fill="auto"/>
            <w:vAlign w:val="center"/>
          </w:tcPr>
          <w:p w14:paraId="114AAA99">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执行数</w:t>
            </w:r>
          </w:p>
        </w:tc>
        <w:tc>
          <w:tcPr>
            <w:tcW w:w="1275" w:type="dxa"/>
            <w:tcBorders>
              <w:top w:val="single" w:color="auto" w:sz="4" w:space="0"/>
              <w:left w:val="single" w:color="auto" w:sz="4" w:space="0"/>
              <w:bottom w:val="nil"/>
              <w:right w:val="single" w:color="auto" w:sz="4" w:space="0"/>
            </w:tcBorders>
            <w:shd w:val="clear" w:color="auto" w:fill="auto"/>
            <w:vAlign w:val="center"/>
          </w:tcPr>
          <w:p w14:paraId="4A54C4B6">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自评得分</w:t>
            </w:r>
          </w:p>
        </w:tc>
      </w:tr>
      <w:bookmarkEnd w:id="0"/>
      <w:tr w14:paraId="64A529F4">
        <w:tblPrEx>
          <w:tblCellMar>
            <w:top w:w="0" w:type="dxa"/>
            <w:left w:w="108" w:type="dxa"/>
            <w:bottom w:w="0" w:type="dxa"/>
            <w:right w:w="108" w:type="dxa"/>
          </w:tblCellMar>
        </w:tblPrEx>
        <w:trPr>
          <w:trHeight w:val="334" w:hRule="exac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27C5A2">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w:t>
            </w:r>
          </w:p>
        </w:tc>
        <w:tc>
          <w:tcPr>
            <w:tcW w:w="42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929768">
            <w:pPr>
              <w:keepNext w:val="0"/>
              <w:keepLines w:val="0"/>
              <w:widowControl/>
              <w:suppressLineNumbers w:val="0"/>
              <w:jc w:val="left"/>
              <w:textAlignment w:val="bottom"/>
              <w:rPr>
                <w:rFonts w:ascii="宋体" w:hAnsi="宋体" w:cs="宋体"/>
                <w:kern w:val="0"/>
                <w:sz w:val="12"/>
                <w:szCs w:val="12"/>
              </w:rPr>
            </w:pPr>
            <w:r>
              <w:rPr>
                <w:rFonts w:hint="eastAsia" w:ascii="宋体" w:hAnsi="宋体" w:eastAsia="宋体" w:cs="宋体"/>
                <w:i w:val="0"/>
                <w:iCs w:val="0"/>
                <w:color w:val="000000"/>
                <w:kern w:val="0"/>
                <w:sz w:val="20"/>
                <w:szCs w:val="20"/>
                <w:u w:val="none"/>
                <w:lang w:val="en-US" w:eastAsia="zh-CN" w:bidi="ar"/>
              </w:rPr>
              <w:t>教学耗材及校本课程、试卷资料印刷费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4041E158">
            <w:pPr>
              <w:keepNext w:val="0"/>
              <w:keepLines w:val="0"/>
              <w:widowControl/>
              <w:suppressLineNumbers w:val="0"/>
              <w:jc w:val="right"/>
              <w:textAlignment w:val="bottom"/>
              <w:rPr>
                <w:rFonts w:hint="default" w:ascii="宋体" w:hAnsi="宋体" w:eastAsia="宋体" w:cs="宋体"/>
                <w:kern w:val="0"/>
                <w:sz w:val="16"/>
                <w:szCs w:val="16"/>
                <w:lang w:val="en-US" w:eastAsia="zh-CN"/>
              </w:rPr>
            </w:pPr>
            <w:r>
              <w:rPr>
                <w:rFonts w:hint="eastAsia" w:ascii="宋体" w:hAnsi="宋体" w:eastAsia="宋体" w:cs="宋体"/>
                <w:i w:val="0"/>
                <w:iCs w:val="0"/>
                <w:color w:val="000000"/>
                <w:kern w:val="0"/>
                <w:sz w:val="20"/>
                <w:szCs w:val="20"/>
                <w:u w:val="none"/>
                <w:lang w:val="en-US" w:eastAsia="zh-CN" w:bidi="ar"/>
              </w:rPr>
              <w:t>38</w:t>
            </w:r>
          </w:p>
        </w:tc>
        <w:tc>
          <w:tcPr>
            <w:tcW w:w="1370" w:type="dxa"/>
            <w:tcBorders>
              <w:top w:val="nil"/>
              <w:left w:val="nil"/>
              <w:bottom w:val="single" w:color="auto" w:sz="4" w:space="0"/>
              <w:right w:val="single" w:color="auto" w:sz="4" w:space="0"/>
            </w:tcBorders>
            <w:shd w:val="clear" w:color="auto" w:fill="auto"/>
            <w:noWrap/>
            <w:vAlign w:val="bottom"/>
          </w:tcPr>
          <w:p w14:paraId="1A6BE853">
            <w:pPr>
              <w:keepNext w:val="0"/>
              <w:keepLines w:val="0"/>
              <w:widowControl/>
              <w:suppressLineNumbers w:val="0"/>
              <w:jc w:val="right"/>
              <w:textAlignment w:val="bottom"/>
              <w:rPr>
                <w:rFonts w:ascii="宋体" w:hAnsi="宋体" w:cs="宋体"/>
                <w:kern w:val="0"/>
                <w:sz w:val="16"/>
                <w:szCs w:val="16"/>
              </w:rPr>
            </w:pPr>
            <w:r>
              <w:rPr>
                <w:rFonts w:hint="eastAsia" w:ascii="宋体" w:hAnsi="宋体" w:eastAsia="宋体" w:cs="宋体"/>
                <w:i w:val="0"/>
                <w:iCs w:val="0"/>
                <w:color w:val="000000"/>
                <w:kern w:val="0"/>
                <w:sz w:val="20"/>
                <w:szCs w:val="20"/>
                <w:u w:val="none"/>
                <w:lang w:val="en-US" w:eastAsia="zh-CN" w:bidi="ar"/>
              </w:rPr>
              <w:t>37.29</w:t>
            </w:r>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32EF61A2">
            <w:pPr>
              <w:keepNext w:val="0"/>
              <w:keepLines w:val="0"/>
              <w:widowControl/>
              <w:suppressLineNumbers w:val="0"/>
              <w:jc w:val="right"/>
              <w:textAlignment w:val="center"/>
              <w:rPr>
                <w:rFonts w:ascii="宋体" w:hAnsi="宋体" w:cs="宋体"/>
                <w:kern w:val="0"/>
                <w:sz w:val="16"/>
                <w:szCs w:val="16"/>
              </w:rPr>
            </w:pPr>
            <w:r>
              <w:rPr>
                <w:rFonts w:hint="eastAsia" w:ascii="宋体" w:hAnsi="宋体" w:eastAsia="宋体" w:cs="宋体"/>
                <w:i w:val="0"/>
                <w:iCs w:val="0"/>
                <w:color w:val="000000"/>
                <w:kern w:val="0"/>
                <w:sz w:val="22"/>
                <w:szCs w:val="22"/>
                <w:u w:val="none"/>
                <w:lang w:val="en-US" w:eastAsia="zh-CN" w:bidi="ar"/>
              </w:rPr>
              <w:t>99</w:t>
            </w:r>
          </w:p>
        </w:tc>
      </w:tr>
      <w:tr w14:paraId="52BC3A9E">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45F3304F">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2</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18572FB2">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校舍、设施维修改造费用</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6C2BE0C8">
            <w:pPr>
              <w:keepNext w:val="0"/>
              <w:keepLines w:val="0"/>
              <w:widowControl/>
              <w:suppressLineNumbers w:val="0"/>
              <w:jc w:val="right"/>
              <w:textAlignment w:val="bottom"/>
              <w:rPr>
                <w:rFonts w:hint="eastAsia" w:eastAsia="宋体"/>
                <w:sz w:val="16"/>
                <w:szCs w:val="16"/>
                <w:lang w:val="en-US" w:eastAsia="zh-CN"/>
              </w:rPr>
            </w:pPr>
            <w:r>
              <w:rPr>
                <w:rFonts w:hint="eastAsia" w:ascii="宋体" w:hAnsi="宋体" w:eastAsia="宋体" w:cs="宋体"/>
                <w:i w:val="0"/>
                <w:iCs w:val="0"/>
                <w:color w:val="000000"/>
                <w:kern w:val="0"/>
                <w:sz w:val="20"/>
                <w:szCs w:val="20"/>
                <w:u w:val="none"/>
                <w:lang w:val="en-US" w:eastAsia="zh-CN" w:bidi="ar"/>
              </w:rPr>
              <w:t>260.73</w:t>
            </w:r>
          </w:p>
        </w:tc>
        <w:tc>
          <w:tcPr>
            <w:tcW w:w="1370" w:type="dxa"/>
            <w:tcBorders>
              <w:top w:val="nil"/>
              <w:left w:val="nil"/>
              <w:bottom w:val="single" w:color="auto" w:sz="4" w:space="0"/>
              <w:right w:val="single" w:color="auto" w:sz="4" w:space="0"/>
            </w:tcBorders>
            <w:shd w:val="clear" w:color="auto" w:fill="auto"/>
            <w:noWrap/>
            <w:vAlign w:val="bottom"/>
          </w:tcPr>
          <w:p w14:paraId="08E7568C">
            <w:pPr>
              <w:keepNext w:val="0"/>
              <w:keepLines w:val="0"/>
              <w:widowControl/>
              <w:suppressLineNumbers w:val="0"/>
              <w:jc w:val="right"/>
              <w:textAlignment w:val="bottom"/>
              <w:rPr>
                <w:rFonts w:hint="eastAsia"/>
                <w:sz w:val="16"/>
                <w:szCs w:val="16"/>
              </w:rPr>
            </w:pPr>
            <w:r>
              <w:rPr>
                <w:rFonts w:hint="eastAsia" w:ascii="宋体" w:hAnsi="宋体" w:eastAsia="宋体" w:cs="宋体"/>
                <w:i w:val="0"/>
                <w:iCs w:val="0"/>
                <w:color w:val="000000"/>
                <w:kern w:val="0"/>
                <w:sz w:val="20"/>
                <w:szCs w:val="20"/>
                <w:u w:val="none"/>
                <w:lang w:val="en-US" w:eastAsia="zh-CN" w:bidi="ar"/>
              </w:rPr>
              <w:t>255.440806</w:t>
            </w:r>
          </w:p>
        </w:tc>
        <w:tc>
          <w:tcPr>
            <w:tcW w:w="1275" w:type="dxa"/>
            <w:tcBorders>
              <w:top w:val="nil"/>
              <w:left w:val="nil"/>
              <w:bottom w:val="single" w:color="auto" w:sz="4" w:space="0"/>
              <w:right w:val="single" w:color="auto" w:sz="4" w:space="0"/>
            </w:tcBorders>
            <w:shd w:val="clear" w:color="auto" w:fill="auto"/>
            <w:noWrap/>
            <w:vAlign w:val="center"/>
          </w:tcPr>
          <w:p w14:paraId="6A86C012">
            <w:pPr>
              <w:keepNext w:val="0"/>
              <w:keepLines w:val="0"/>
              <w:widowControl/>
              <w:suppressLineNumbers w:val="0"/>
              <w:jc w:val="right"/>
              <w:textAlignment w:val="center"/>
              <w:rPr>
                <w:rFonts w:hint="eastAsia"/>
                <w:color w:val="000000"/>
                <w:sz w:val="16"/>
                <w:szCs w:val="16"/>
              </w:rPr>
            </w:pPr>
            <w:r>
              <w:rPr>
                <w:rFonts w:hint="eastAsia" w:ascii="宋体" w:hAnsi="宋体" w:eastAsia="宋体" w:cs="宋体"/>
                <w:i w:val="0"/>
                <w:iCs w:val="0"/>
                <w:color w:val="000000"/>
                <w:kern w:val="0"/>
                <w:sz w:val="22"/>
                <w:szCs w:val="22"/>
                <w:u w:val="none"/>
                <w:lang w:val="en-US" w:eastAsia="zh-CN" w:bidi="ar"/>
              </w:rPr>
              <w:t>99</w:t>
            </w:r>
          </w:p>
        </w:tc>
      </w:tr>
      <w:tr w14:paraId="2F3453C6">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2A4C8ED1">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3</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71631639">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物业管理费</w:t>
            </w:r>
          </w:p>
        </w:tc>
        <w:tc>
          <w:tcPr>
            <w:tcW w:w="1370" w:type="dxa"/>
            <w:tcBorders>
              <w:top w:val="nil"/>
              <w:left w:val="single" w:color="auto" w:sz="4" w:space="0"/>
              <w:bottom w:val="single" w:color="auto" w:sz="4" w:space="0"/>
              <w:right w:val="single" w:color="auto" w:sz="4" w:space="0"/>
            </w:tcBorders>
            <w:shd w:val="clear" w:color="auto" w:fill="auto"/>
            <w:noWrap/>
            <w:vAlign w:val="center"/>
          </w:tcPr>
          <w:p w14:paraId="719937CB">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144</w:t>
            </w:r>
          </w:p>
        </w:tc>
        <w:tc>
          <w:tcPr>
            <w:tcW w:w="1370" w:type="dxa"/>
            <w:tcBorders>
              <w:top w:val="nil"/>
              <w:left w:val="nil"/>
              <w:bottom w:val="single" w:color="auto" w:sz="4" w:space="0"/>
              <w:right w:val="single" w:color="auto" w:sz="4" w:space="0"/>
            </w:tcBorders>
            <w:shd w:val="clear" w:color="auto" w:fill="auto"/>
            <w:noWrap/>
            <w:vAlign w:val="bottom"/>
          </w:tcPr>
          <w:p w14:paraId="281CE7DC">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116.7275</w:t>
            </w:r>
          </w:p>
        </w:tc>
        <w:tc>
          <w:tcPr>
            <w:tcW w:w="1275" w:type="dxa"/>
            <w:tcBorders>
              <w:top w:val="nil"/>
              <w:left w:val="nil"/>
              <w:bottom w:val="single" w:color="auto" w:sz="4" w:space="0"/>
              <w:right w:val="single" w:color="auto" w:sz="4" w:space="0"/>
            </w:tcBorders>
            <w:shd w:val="clear" w:color="auto" w:fill="auto"/>
            <w:noWrap/>
            <w:vAlign w:val="center"/>
          </w:tcPr>
          <w:p w14:paraId="7C60771D">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96</w:t>
            </w:r>
          </w:p>
        </w:tc>
      </w:tr>
      <w:tr w14:paraId="0911F85F">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63ED625B">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4</w:t>
            </w:r>
          </w:p>
        </w:tc>
        <w:tc>
          <w:tcPr>
            <w:tcW w:w="4253" w:type="dxa"/>
            <w:tcBorders>
              <w:top w:val="single" w:color="auto" w:sz="4" w:space="0"/>
              <w:left w:val="nil"/>
              <w:bottom w:val="single" w:color="auto" w:sz="4" w:space="0"/>
              <w:right w:val="single" w:color="auto" w:sz="4" w:space="0"/>
            </w:tcBorders>
            <w:shd w:val="clear" w:color="auto" w:fill="auto"/>
            <w:noWrap/>
            <w:vAlign w:val="bottom"/>
          </w:tcPr>
          <w:p w14:paraId="4A686FDE">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党组织活动经费</w:t>
            </w:r>
          </w:p>
        </w:tc>
        <w:tc>
          <w:tcPr>
            <w:tcW w:w="1370" w:type="dxa"/>
            <w:tcBorders>
              <w:top w:val="nil"/>
              <w:left w:val="nil"/>
              <w:bottom w:val="single" w:color="auto" w:sz="4" w:space="0"/>
              <w:right w:val="single" w:color="auto" w:sz="4" w:space="0"/>
            </w:tcBorders>
            <w:shd w:val="clear" w:color="auto" w:fill="auto"/>
            <w:noWrap/>
            <w:vAlign w:val="bottom"/>
          </w:tcPr>
          <w:p w14:paraId="4EB015CE">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13.13</w:t>
            </w:r>
          </w:p>
        </w:tc>
        <w:tc>
          <w:tcPr>
            <w:tcW w:w="1370" w:type="dxa"/>
            <w:tcBorders>
              <w:top w:val="nil"/>
              <w:left w:val="nil"/>
              <w:bottom w:val="single" w:color="auto" w:sz="4" w:space="0"/>
              <w:right w:val="single" w:color="auto" w:sz="4" w:space="0"/>
            </w:tcBorders>
            <w:shd w:val="clear" w:color="auto" w:fill="auto"/>
            <w:noWrap/>
            <w:vAlign w:val="bottom"/>
          </w:tcPr>
          <w:p w14:paraId="216E8917">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13.13</w:t>
            </w:r>
          </w:p>
        </w:tc>
        <w:tc>
          <w:tcPr>
            <w:tcW w:w="1275" w:type="dxa"/>
            <w:tcBorders>
              <w:top w:val="nil"/>
              <w:left w:val="nil"/>
              <w:bottom w:val="single" w:color="auto" w:sz="4" w:space="0"/>
              <w:right w:val="single" w:color="auto" w:sz="4" w:space="0"/>
            </w:tcBorders>
            <w:shd w:val="clear" w:color="auto" w:fill="auto"/>
            <w:noWrap/>
            <w:vAlign w:val="center"/>
          </w:tcPr>
          <w:p w14:paraId="2F8848C2">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r>
      <w:tr w14:paraId="5853CD58">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7031A290">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5</w:t>
            </w:r>
          </w:p>
        </w:tc>
        <w:tc>
          <w:tcPr>
            <w:tcW w:w="4253" w:type="dxa"/>
            <w:tcBorders>
              <w:top w:val="nil"/>
              <w:left w:val="nil"/>
              <w:bottom w:val="single" w:color="auto" w:sz="4" w:space="0"/>
              <w:right w:val="single" w:color="auto" w:sz="4" w:space="0"/>
            </w:tcBorders>
            <w:shd w:val="clear" w:color="auto" w:fill="auto"/>
            <w:noWrap/>
            <w:vAlign w:val="bottom"/>
          </w:tcPr>
          <w:p w14:paraId="616C1C6B">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电梯运维费</w:t>
            </w:r>
          </w:p>
        </w:tc>
        <w:tc>
          <w:tcPr>
            <w:tcW w:w="1370" w:type="dxa"/>
            <w:tcBorders>
              <w:top w:val="nil"/>
              <w:left w:val="nil"/>
              <w:bottom w:val="single" w:color="auto" w:sz="4" w:space="0"/>
              <w:right w:val="single" w:color="auto" w:sz="4" w:space="0"/>
            </w:tcBorders>
            <w:shd w:val="clear" w:color="auto" w:fill="auto"/>
            <w:noWrap/>
            <w:vAlign w:val="bottom"/>
          </w:tcPr>
          <w:p w14:paraId="275F5876">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370" w:type="dxa"/>
            <w:tcBorders>
              <w:top w:val="nil"/>
              <w:left w:val="nil"/>
              <w:bottom w:val="single" w:color="auto" w:sz="4" w:space="0"/>
              <w:right w:val="single" w:color="auto" w:sz="4" w:space="0"/>
            </w:tcBorders>
            <w:shd w:val="clear" w:color="auto" w:fill="auto"/>
            <w:noWrap/>
            <w:vAlign w:val="bottom"/>
          </w:tcPr>
          <w:p w14:paraId="6F1514B0">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275" w:type="dxa"/>
            <w:tcBorders>
              <w:top w:val="nil"/>
              <w:left w:val="nil"/>
              <w:bottom w:val="single" w:color="auto" w:sz="4" w:space="0"/>
              <w:right w:val="single" w:color="auto" w:sz="4" w:space="0"/>
            </w:tcBorders>
            <w:shd w:val="clear" w:color="auto" w:fill="auto"/>
            <w:noWrap/>
            <w:vAlign w:val="center"/>
          </w:tcPr>
          <w:p w14:paraId="65E7BCF2">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r>
      <w:tr w14:paraId="56534674">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61020396">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6</w:t>
            </w:r>
          </w:p>
        </w:tc>
        <w:tc>
          <w:tcPr>
            <w:tcW w:w="42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BA3AD1">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体育参赛经费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2DA6A1C2">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25.52</w:t>
            </w:r>
          </w:p>
        </w:tc>
        <w:tc>
          <w:tcPr>
            <w:tcW w:w="1370" w:type="dxa"/>
            <w:tcBorders>
              <w:top w:val="nil"/>
              <w:left w:val="nil"/>
              <w:bottom w:val="single" w:color="auto" w:sz="4" w:space="0"/>
              <w:right w:val="single" w:color="auto" w:sz="4" w:space="0"/>
            </w:tcBorders>
            <w:shd w:val="clear" w:color="auto" w:fill="auto"/>
            <w:noWrap/>
            <w:vAlign w:val="bottom"/>
          </w:tcPr>
          <w:p w14:paraId="294F5A70">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25.52</w:t>
            </w:r>
          </w:p>
        </w:tc>
        <w:tc>
          <w:tcPr>
            <w:tcW w:w="1275" w:type="dxa"/>
            <w:tcBorders>
              <w:top w:val="nil"/>
              <w:left w:val="nil"/>
              <w:bottom w:val="single" w:color="auto" w:sz="4" w:space="0"/>
              <w:right w:val="single" w:color="auto" w:sz="4" w:space="0"/>
            </w:tcBorders>
            <w:shd w:val="clear" w:color="auto" w:fill="auto"/>
            <w:noWrap/>
            <w:vAlign w:val="center"/>
          </w:tcPr>
          <w:p w14:paraId="278C503E">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92</w:t>
            </w:r>
          </w:p>
        </w:tc>
      </w:tr>
      <w:tr w14:paraId="497E03BB">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2BA075CF">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7</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2165F1E4">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劳动聘用人员经费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40772905">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29.9</w:t>
            </w:r>
          </w:p>
        </w:tc>
        <w:tc>
          <w:tcPr>
            <w:tcW w:w="1370" w:type="dxa"/>
            <w:tcBorders>
              <w:top w:val="nil"/>
              <w:left w:val="nil"/>
              <w:bottom w:val="single" w:color="auto" w:sz="4" w:space="0"/>
              <w:right w:val="single" w:color="auto" w:sz="4" w:space="0"/>
            </w:tcBorders>
            <w:shd w:val="clear" w:color="auto" w:fill="auto"/>
            <w:noWrap/>
            <w:vAlign w:val="bottom"/>
          </w:tcPr>
          <w:p w14:paraId="3F7292CC">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29.9</w:t>
            </w:r>
          </w:p>
        </w:tc>
        <w:tc>
          <w:tcPr>
            <w:tcW w:w="1275" w:type="dxa"/>
            <w:tcBorders>
              <w:top w:val="nil"/>
              <w:left w:val="nil"/>
              <w:bottom w:val="single" w:color="auto" w:sz="4" w:space="0"/>
              <w:right w:val="single" w:color="auto" w:sz="4" w:space="0"/>
            </w:tcBorders>
            <w:shd w:val="clear" w:color="auto" w:fill="auto"/>
            <w:noWrap/>
            <w:vAlign w:val="center"/>
          </w:tcPr>
          <w:p w14:paraId="149E0E70">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97</w:t>
            </w:r>
          </w:p>
        </w:tc>
      </w:tr>
      <w:tr w14:paraId="32FA12F6">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505B9C45">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8</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1F93BB3B">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提前下达2025年省级普通高中补助资金（高中免学费）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6CB47AC3">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1370" w:type="dxa"/>
            <w:tcBorders>
              <w:top w:val="nil"/>
              <w:left w:val="nil"/>
              <w:bottom w:val="single" w:color="auto" w:sz="4" w:space="0"/>
              <w:right w:val="single" w:color="auto" w:sz="4" w:space="0"/>
            </w:tcBorders>
            <w:shd w:val="clear" w:color="auto" w:fill="auto"/>
            <w:noWrap/>
            <w:vAlign w:val="bottom"/>
          </w:tcPr>
          <w:p w14:paraId="5690270D">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1275" w:type="dxa"/>
            <w:tcBorders>
              <w:top w:val="nil"/>
              <w:left w:val="nil"/>
              <w:bottom w:val="single" w:color="auto" w:sz="4" w:space="0"/>
              <w:right w:val="single" w:color="auto" w:sz="4" w:space="0"/>
            </w:tcBorders>
            <w:shd w:val="clear" w:color="auto" w:fill="auto"/>
            <w:noWrap/>
            <w:vAlign w:val="center"/>
          </w:tcPr>
          <w:p w14:paraId="20FFF374">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r>
      <w:tr w14:paraId="6A3B5001">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5D4A1568">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9</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16AA57DE">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提前下达2025年学生资助中央补助经费（高中助学金）</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38670684">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51.8</w:t>
            </w:r>
          </w:p>
        </w:tc>
        <w:tc>
          <w:tcPr>
            <w:tcW w:w="1370" w:type="dxa"/>
            <w:tcBorders>
              <w:top w:val="nil"/>
              <w:left w:val="nil"/>
              <w:bottom w:val="single" w:color="auto" w:sz="4" w:space="0"/>
              <w:right w:val="single" w:color="auto" w:sz="4" w:space="0"/>
            </w:tcBorders>
            <w:shd w:val="clear" w:color="auto" w:fill="auto"/>
            <w:noWrap/>
            <w:vAlign w:val="bottom"/>
          </w:tcPr>
          <w:p w14:paraId="471DFD33">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31.74</w:t>
            </w:r>
          </w:p>
        </w:tc>
        <w:tc>
          <w:tcPr>
            <w:tcW w:w="1275" w:type="dxa"/>
            <w:tcBorders>
              <w:top w:val="nil"/>
              <w:left w:val="nil"/>
              <w:bottom w:val="single" w:color="auto" w:sz="4" w:space="0"/>
              <w:right w:val="single" w:color="auto" w:sz="4" w:space="0"/>
            </w:tcBorders>
            <w:shd w:val="clear" w:color="auto" w:fill="auto"/>
            <w:noWrap/>
            <w:vAlign w:val="center"/>
          </w:tcPr>
          <w:p w14:paraId="0E0FF147">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85</w:t>
            </w:r>
          </w:p>
        </w:tc>
      </w:tr>
      <w:tr w14:paraId="78866269">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4C8D1867">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10</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36117EE0">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提前下达2025年学生资助中央补助经费（高中免学费）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77250E90">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370" w:type="dxa"/>
            <w:tcBorders>
              <w:top w:val="nil"/>
              <w:left w:val="nil"/>
              <w:bottom w:val="single" w:color="auto" w:sz="4" w:space="0"/>
              <w:right w:val="single" w:color="auto" w:sz="4" w:space="0"/>
            </w:tcBorders>
            <w:shd w:val="clear" w:color="auto" w:fill="auto"/>
            <w:noWrap/>
            <w:vAlign w:val="bottom"/>
          </w:tcPr>
          <w:p w14:paraId="4E716A2E">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1275" w:type="dxa"/>
            <w:tcBorders>
              <w:top w:val="nil"/>
              <w:left w:val="nil"/>
              <w:bottom w:val="single" w:color="auto" w:sz="4" w:space="0"/>
              <w:right w:val="single" w:color="auto" w:sz="4" w:space="0"/>
            </w:tcBorders>
            <w:shd w:val="clear" w:color="auto" w:fill="auto"/>
            <w:noWrap/>
            <w:vAlign w:val="center"/>
          </w:tcPr>
          <w:p w14:paraId="3C8418D5">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r>
      <w:tr w14:paraId="23657DAA">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6D610BC2">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11</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5682B49F">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提前下达2025年市级普通高中补助资金（高中免学费）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1B9DD15D">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w:t>
            </w:r>
          </w:p>
        </w:tc>
        <w:tc>
          <w:tcPr>
            <w:tcW w:w="1370" w:type="dxa"/>
            <w:tcBorders>
              <w:top w:val="nil"/>
              <w:left w:val="nil"/>
              <w:bottom w:val="single" w:color="auto" w:sz="4" w:space="0"/>
              <w:right w:val="single" w:color="auto" w:sz="4" w:space="0"/>
            </w:tcBorders>
            <w:shd w:val="clear" w:color="auto" w:fill="auto"/>
            <w:noWrap/>
            <w:vAlign w:val="bottom"/>
          </w:tcPr>
          <w:p w14:paraId="68BDE1C3">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w:t>
            </w:r>
          </w:p>
        </w:tc>
        <w:tc>
          <w:tcPr>
            <w:tcW w:w="1275" w:type="dxa"/>
            <w:tcBorders>
              <w:top w:val="nil"/>
              <w:left w:val="nil"/>
              <w:bottom w:val="single" w:color="auto" w:sz="4" w:space="0"/>
              <w:right w:val="single" w:color="auto" w:sz="4" w:space="0"/>
            </w:tcBorders>
            <w:shd w:val="clear" w:color="auto" w:fill="auto"/>
            <w:noWrap/>
            <w:vAlign w:val="center"/>
          </w:tcPr>
          <w:p w14:paraId="19551A77">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r>
      <w:tr w14:paraId="040F00EA">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4FBD72CC">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12</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44CBEA05">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省市运动会及各种比赛、高水平运动员资格认定经费市级补助</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1E4BB829">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370" w:type="dxa"/>
            <w:tcBorders>
              <w:top w:val="nil"/>
              <w:left w:val="nil"/>
              <w:bottom w:val="single" w:color="auto" w:sz="4" w:space="0"/>
              <w:right w:val="single" w:color="auto" w:sz="4" w:space="0"/>
            </w:tcBorders>
            <w:shd w:val="clear" w:color="auto" w:fill="auto"/>
            <w:noWrap/>
            <w:vAlign w:val="bottom"/>
          </w:tcPr>
          <w:p w14:paraId="2B4F44D9">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275" w:type="dxa"/>
            <w:tcBorders>
              <w:top w:val="nil"/>
              <w:left w:val="nil"/>
              <w:bottom w:val="single" w:color="auto" w:sz="4" w:space="0"/>
              <w:right w:val="single" w:color="auto" w:sz="4" w:space="0"/>
            </w:tcBorders>
            <w:shd w:val="clear" w:color="auto" w:fill="auto"/>
            <w:noWrap/>
            <w:vAlign w:val="center"/>
          </w:tcPr>
          <w:p w14:paraId="22A032E8">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87</w:t>
            </w:r>
          </w:p>
        </w:tc>
      </w:tr>
      <w:tr w14:paraId="09D817E7">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F68A09D">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13</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2A93D2BA">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2025年高中教育质量提升补助经费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4F5FB525">
            <w:pPr>
              <w:keepNext w:val="0"/>
              <w:keepLines w:val="0"/>
              <w:widowControl/>
              <w:suppressLineNumbers w:val="0"/>
              <w:jc w:val="righ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370" w:type="dxa"/>
            <w:tcBorders>
              <w:top w:val="nil"/>
              <w:left w:val="nil"/>
              <w:bottom w:val="single" w:color="auto" w:sz="4" w:space="0"/>
              <w:right w:val="single" w:color="auto" w:sz="4" w:space="0"/>
            </w:tcBorders>
            <w:shd w:val="clear" w:color="auto" w:fill="auto"/>
            <w:noWrap/>
            <w:vAlign w:val="bottom"/>
          </w:tcPr>
          <w:p w14:paraId="25B743B8">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275" w:type="dxa"/>
            <w:tcBorders>
              <w:top w:val="nil"/>
              <w:left w:val="nil"/>
              <w:bottom w:val="single" w:color="auto" w:sz="4" w:space="0"/>
              <w:right w:val="single" w:color="auto" w:sz="4" w:space="0"/>
            </w:tcBorders>
            <w:shd w:val="clear" w:color="auto" w:fill="auto"/>
            <w:noWrap/>
            <w:vAlign w:val="center"/>
          </w:tcPr>
          <w:p w14:paraId="6B3ADE84">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95</w:t>
            </w:r>
          </w:p>
        </w:tc>
      </w:tr>
      <w:tr w14:paraId="49B7C00F">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7DAA63D">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14</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16B71FED">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2025年学生资助中央追加补助经费（高中助学金）</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6477F20A">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1370" w:type="dxa"/>
            <w:tcBorders>
              <w:top w:val="nil"/>
              <w:left w:val="nil"/>
              <w:bottom w:val="single" w:color="auto" w:sz="4" w:space="0"/>
              <w:right w:val="single" w:color="auto" w:sz="4" w:space="0"/>
            </w:tcBorders>
            <w:shd w:val="clear" w:color="auto" w:fill="auto"/>
            <w:noWrap/>
            <w:vAlign w:val="bottom"/>
          </w:tcPr>
          <w:p w14:paraId="09BAA270">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w:t>
            </w:r>
          </w:p>
        </w:tc>
        <w:tc>
          <w:tcPr>
            <w:tcW w:w="1275" w:type="dxa"/>
            <w:tcBorders>
              <w:top w:val="nil"/>
              <w:left w:val="nil"/>
              <w:bottom w:val="single" w:color="auto" w:sz="4" w:space="0"/>
              <w:right w:val="single" w:color="auto" w:sz="4" w:space="0"/>
            </w:tcBorders>
            <w:shd w:val="clear" w:color="auto" w:fill="auto"/>
            <w:noWrap/>
            <w:vAlign w:val="center"/>
          </w:tcPr>
          <w:p w14:paraId="71E7202A">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40</w:t>
            </w:r>
          </w:p>
        </w:tc>
      </w:tr>
      <w:tr w14:paraId="4CAE29CB">
        <w:tblPrEx>
          <w:tblCellMar>
            <w:top w:w="0" w:type="dxa"/>
            <w:left w:w="108" w:type="dxa"/>
            <w:bottom w:w="0" w:type="dxa"/>
            <w:right w:w="108" w:type="dxa"/>
          </w:tblCellMar>
        </w:tblPrEx>
        <w:trPr>
          <w:trHeight w:val="284" w:hRule="exac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347B1206">
            <w:pPr>
              <w:widowControl/>
              <w:rPr>
                <w:rFonts w:ascii="仿宋" w:hAnsi="仿宋" w:eastAsia="仿宋" w:cs="宋体"/>
                <w:color w:val="000000"/>
                <w:kern w:val="0"/>
                <w:sz w:val="16"/>
                <w:szCs w:val="16"/>
              </w:rPr>
            </w:pPr>
            <w:r>
              <w:rPr>
                <w:rFonts w:hint="eastAsia" w:ascii="仿宋" w:hAnsi="仿宋" w:eastAsia="仿宋" w:cs="宋体"/>
                <w:color w:val="000000"/>
                <w:kern w:val="0"/>
                <w:sz w:val="16"/>
                <w:szCs w:val="16"/>
              </w:rPr>
              <w:t>15</w:t>
            </w:r>
          </w:p>
        </w:tc>
        <w:tc>
          <w:tcPr>
            <w:tcW w:w="4253" w:type="dxa"/>
            <w:tcBorders>
              <w:top w:val="nil"/>
              <w:left w:val="single" w:color="000000" w:sz="4" w:space="0"/>
              <w:bottom w:val="single" w:color="000000" w:sz="4" w:space="0"/>
              <w:right w:val="single" w:color="000000" w:sz="4" w:space="0"/>
            </w:tcBorders>
            <w:shd w:val="clear" w:color="auto" w:fill="auto"/>
            <w:noWrap/>
            <w:vAlign w:val="bottom"/>
          </w:tcPr>
          <w:p w14:paraId="476026DD">
            <w:pPr>
              <w:keepNext w:val="0"/>
              <w:keepLines w:val="0"/>
              <w:widowControl/>
              <w:suppressLineNumbers w:val="0"/>
              <w:jc w:val="left"/>
              <w:textAlignment w:val="bottom"/>
              <w:rPr>
                <w:rFonts w:hint="eastAsia"/>
                <w:sz w:val="12"/>
                <w:szCs w:val="12"/>
              </w:rPr>
            </w:pPr>
            <w:r>
              <w:rPr>
                <w:rFonts w:hint="eastAsia" w:ascii="宋体" w:hAnsi="宋体" w:eastAsia="宋体" w:cs="宋体"/>
                <w:i w:val="0"/>
                <w:iCs w:val="0"/>
                <w:color w:val="000000"/>
                <w:kern w:val="0"/>
                <w:sz w:val="20"/>
                <w:szCs w:val="20"/>
                <w:u w:val="none"/>
                <w:lang w:val="en-US" w:eastAsia="zh-CN" w:bidi="ar"/>
              </w:rPr>
              <w:t>2025年学生资助中央追加补助经费（高中免学费）</w:t>
            </w:r>
          </w:p>
        </w:tc>
        <w:tc>
          <w:tcPr>
            <w:tcW w:w="1370" w:type="dxa"/>
            <w:tcBorders>
              <w:top w:val="nil"/>
              <w:left w:val="single" w:color="auto" w:sz="4" w:space="0"/>
              <w:bottom w:val="single" w:color="auto" w:sz="4" w:space="0"/>
              <w:right w:val="single" w:color="auto" w:sz="4" w:space="0"/>
            </w:tcBorders>
            <w:shd w:val="clear" w:color="auto" w:fill="auto"/>
            <w:noWrap/>
            <w:vAlign w:val="bottom"/>
          </w:tcPr>
          <w:p w14:paraId="50FF53C3">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0.4</w:t>
            </w:r>
          </w:p>
        </w:tc>
        <w:tc>
          <w:tcPr>
            <w:tcW w:w="1370" w:type="dxa"/>
            <w:tcBorders>
              <w:top w:val="nil"/>
              <w:left w:val="nil"/>
              <w:bottom w:val="single" w:color="auto" w:sz="4" w:space="0"/>
              <w:right w:val="single" w:color="auto" w:sz="4" w:space="0"/>
            </w:tcBorders>
            <w:shd w:val="clear" w:color="auto" w:fill="auto"/>
            <w:noWrap/>
            <w:vAlign w:val="bottom"/>
          </w:tcPr>
          <w:p w14:paraId="22BD8FD2">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0.4</w:t>
            </w:r>
          </w:p>
        </w:tc>
        <w:tc>
          <w:tcPr>
            <w:tcW w:w="1275" w:type="dxa"/>
            <w:tcBorders>
              <w:top w:val="nil"/>
              <w:left w:val="nil"/>
              <w:bottom w:val="single" w:color="auto" w:sz="4" w:space="0"/>
              <w:right w:val="single" w:color="auto" w:sz="4" w:space="0"/>
            </w:tcBorders>
            <w:shd w:val="clear" w:color="auto" w:fill="auto"/>
            <w:noWrap/>
            <w:vAlign w:val="center"/>
          </w:tcPr>
          <w:p w14:paraId="52510D97">
            <w:pPr>
              <w:keepNext w:val="0"/>
              <w:keepLines w:val="0"/>
              <w:widowControl/>
              <w:suppressLineNumbers w:val="0"/>
              <w:jc w:val="righ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90</w:t>
            </w:r>
          </w:p>
        </w:tc>
      </w:tr>
    </w:tbl>
    <w:p w14:paraId="0E21CABB">
      <w:pPr>
        <w:spacing w:line="560" w:lineRule="exact"/>
        <w:ind w:firstLine="640" w:firstLineChars="200"/>
        <w:rPr>
          <w:rFonts w:hint="eastAsia" w:ascii="仿宋" w:hAnsi="仿宋" w:eastAsia="仿宋" w:cs="黑体"/>
          <w:kern w:val="2"/>
          <w:sz w:val="32"/>
          <w:szCs w:val="32"/>
          <w:lang w:val="en-US" w:eastAsia="zh-CN" w:bidi="ar-SA"/>
        </w:rPr>
      </w:pPr>
    </w:p>
    <w:p w14:paraId="55A41225">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5972F63C">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（一）存在的主要问题</w:t>
      </w:r>
    </w:p>
    <w:p w14:paraId="0F2D953A">
      <w:pPr>
        <w:spacing w:line="560" w:lineRule="exact"/>
        <w:ind w:firstLine="640" w:firstLineChars="200"/>
        <w:rPr>
          <w:rFonts w:hint="eastAsia" w:ascii="楷体" w:hAnsi="楷体" w:eastAsia="楷体"/>
          <w:bCs/>
          <w:sz w:val="32"/>
          <w:szCs w:val="32"/>
        </w:rPr>
      </w:pPr>
      <w:r>
        <w:rPr>
          <w:rFonts w:ascii="仿宋" w:hAnsi="仿宋" w:eastAsia="仿宋"/>
          <w:bCs/>
          <w:sz w:val="32"/>
          <w:szCs w:val="32"/>
        </w:rPr>
        <w:t>学校通过开展预算项目绩效自评工作</w:t>
      </w:r>
      <w:r>
        <w:rPr>
          <w:rFonts w:hint="eastAsia" w:ascii="仿宋" w:hAnsi="仿宋" w:eastAsia="仿宋"/>
          <w:bCs/>
          <w:sz w:val="32"/>
          <w:szCs w:val="32"/>
        </w:rPr>
        <w:t>，</w:t>
      </w:r>
      <w:r>
        <w:rPr>
          <w:rFonts w:hint="eastAsia" w:ascii="仿宋" w:hAnsi="仿宋" w:eastAsia="仿宋"/>
          <w:sz w:val="32"/>
          <w:szCs w:val="32"/>
        </w:rPr>
        <w:t>深刻认识到项目绩效评价工作的重要性、科学性和规范性。本着办人民满意的教育这一根本宗旨，按照上级要求，将相关项目的实施以绩效目标的形式规范化和标准化，从而发现工作中的不足，个别项目存在绩效目标制定不合理，不明晰，项目执行科室认识高度不够，绩效管理意识淡薄，支出进度缓慢的问题</w:t>
      </w:r>
      <w:r>
        <w:rPr>
          <w:rFonts w:hint="eastAsia" w:ascii="仿宋" w:hAnsi="仿宋" w:eastAsia="仿宋"/>
          <w:sz w:val="32"/>
          <w:szCs w:val="32"/>
          <w:lang w:eastAsia="zh-CN"/>
        </w:rPr>
        <w:t>。</w:t>
      </w:r>
    </w:p>
    <w:p w14:paraId="2E4FD2EB">
      <w:pPr>
        <w:numPr>
          <w:ilvl w:val="0"/>
          <w:numId w:val="3"/>
        </w:numPr>
        <w:spacing w:line="560" w:lineRule="exact"/>
        <w:ind w:left="0" w:leftChars="0" w:firstLine="640" w:firstLineChars="200"/>
        <w:rPr>
          <w:rFonts w:hint="eastAsia" w:ascii="楷体" w:hAnsi="楷体" w:eastAsia="楷体"/>
          <w:bCs/>
          <w:sz w:val="32"/>
          <w:szCs w:val="32"/>
        </w:rPr>
      </w:pPr>
      <w:r>
        <w:rPr>
          <w:rFonts w:hint="eastAsia" w:ascii="楷体" w:hAnsi="楷体" w:eastAsia="楷体"/>
          <w:bCs/>
          <w:sz w:val="32"/>
          <w:szCs w:val="32"/>
        </w:rPr>
        <w:t>针对问题提出具体的改进措施或建议</w:t>
      </w:r>
    </w:p>
    <w:p w14:paraId="54AD568F">
      <w:pPr>
        <w:spacing w:line="560" w:lineRule="exact"/>
        <w:ind w:firstLine="640" w:firstLineChars="200"/>
        <w:rPr>
          <w:rFonts w:hint="eastAsia" w:ascii="仿宋" w:hAnsi="仿宋" w:eastAsia="仿宋"/>
          <w:bCs/>
          <w:sz w:val="32"/>
          <w:szCs w:val="32"/>
        </w:rPr>
      </w:pPr>
      <w:r>
        <w:rPr>
          <w:rFonts w:ascii="仿宋" w:hAnsi="仿宋" w:eastAsia="仿宋"/>
          <w:bCs/>
          <w:sz w:val="32"/>
          <w:szCs w:val="32"/>
        </w:rPr>
        <w:t>强化绩效管理意识</w:t>
      </w:r>
      <w:r>
        <w:rPr>
          <w:rFonts w:hint="eastAsia" w:ascii="仿宋" w:hAnsi="仿宋" w:eastAsia="仿宋"/>
          <w:bCs/>
          <w:sz w:val="32"/>
          <w:szCs w:val="32"/>
        </w:rPr>
        <w:t>，利用</w:t>
      </w:r>
      <w:r>
        <w:rPr>
          <w:rFonts w:ascii="仿宋" w:hAnsi="仿宋" w:eastAsia="仿宋"/>
          <w:bCs/>
          <w:sz w:val="32"/>
          <w:szCs w:val="32"/>
        </w:rPr>
        <w:t>绩效评价相关目标和方法</w:t>
      </w:r>
      <w:r>
        <w:rPr>
          <w:rFonts w:hint="eastAsia" w:ascii="仿宋" w:hAnsi="仿宋" w:eastAsia="仿宋"/>
          <w:bCs/>
          <w:sz w:val="32"/>
          <w:szCs w:val="32"/>
        </w:rPr>
        <w:t>，</w:t>
      </w:r>
      <w:r>
        <w:rPr>
          <w:rFonts w:ascii="仿宋" w:hAnsi="仿宋" w:eastAsia="仿宋"/>
          <w:bCs/>
          <w:sz w:val="32"/>
          <w:szCs w:val="32"/>
        </w:rPr>
        <w:t>细化责任</w:t>
      </w:r>
      <w:r>
        <w:rPr>
          <w:rFonts w:hint="eastAsia" w:ascii="仿宋" w:hAnsi="仿宋" w:eastAsia="仿宋"/>
          <w:bCs/>
          <w:sz w:val="32"/>
          <w:szCs w:val="32"/>
        </w:rPr>
        <w:t>，</w:t>
      </w:r>
      <w:r>
        <w:rPr>
          <w:rFonts w:ascii="仿宋" w:hAnsi="仿宋" w:eastAsia="仿宋"/>
          <w:bCs/>
          <w:sz w:val="32"/>
          <w:szCs w:val="32"/>
        </w:rPr>
        <w:t>改进工作方法</w:t>
      </w:r>
      <w:r>
        <w:rPr>
          <w:rFonts w:hint="eastAsia" w:ascii="仿宋" w:hAnsi="仿宋" w:eastAsia="仿宋"/>
          <w:bCs/>
          <w:sz w:val="32"/>
          <w:szCs w:val="32"/>
        </w:rPr>
        <w:t>，</w:t>
      </w:r>
      <w:r>
        <w:rPr>
          <w:rFonts w:ascii="仿宋" w:hAnsi="仿宋" w:eastAsia="仿宋"/>
          <w:bCs/>
          <w:sz w:val="32"/>
          <w:szCs w:val="32"/>
        </w:rPr>
        <w:t>促进学校管理水平的提升和提高财政资金的使用效率</w:t>
      </w:r>
      <w:r>
        <w:rPr>
          <w:rFonts w:hint="eastAsia" w:ascii="仿宋" w:hAnsi="仿宋" w:eastAsia="仿宋"/>
          <w:bCs/>
          <w:sz w:val="32"/>
          <w:szCs w:val="32"/>
        </w:rPr>
        <w:t>，</w:t>
      </w:r>
      <w:r>
        <w:rPr>
          <w:rFonts w:ascii="仿宋" w:hAnsi="仿宋" w:eastAsia="仿宋"/>
          <w:bCs/>
          <w:sz w:val="32"/>
          <w:szCs w:val="32"/>
        </w:rPr>
        <w:t>实现绩效目标的达成</w:t>
      </w:r>
      <w:r>
        <w:rPr>
          <w:rFonts w:hint="eastAsia" w:ascii="仿宋" w:hAnsi="仿宋" w:eastAsia="仿宋"/>
          <w:bCs/>
          <w:sz w:val="32"/>
          <w:szCs w:val="32"/>
        </w:rPr>
        <w:t>。</w:t>
      </w:r>
    </w:p>
    <w:p w14:paraId="5E11C32F">
      <w:pPr>
        <w:spacing w:line="560" w:lineRule="exact"/>
        <w:ind w:firstLine="640" w:firstLineChars="200"/>
        <w:rPr>
          <w:rFonts w:hint="eastAsia" w:ascii="仿宋" w:hAnsi="仿宋" w:eastAsia="仿宋"/>
          <w:bCs/>
          <w:sz w:val="32"/>
          <w:szCs w:val="32"/>
          <w:lang w:val="en-US" w:eastAsia="zh-CN"/>
        </w:rPr>
      </w:pPr>
    </w:p>
    <w:p w14:paraId="496E0678">
      <w:pPr>
        <w:spacing w:line="560" w:lineRule="exact"/>
        <w:ind w:firstLine="4800" w:firstLineChars="1500"/>
        <w:rPr>
          <w:rFonts w:hint="eastAsia" w:ascii="仿宋" w:hAnsi="仿宋" w:eastAsia="仿宋"/>
          <w:bCs/>
          <w:sz w:val="32"/>
          <w:szCs w:val="32"/>
          <w:lang w:val="en-US" w:eastAsia="zh-CN"/>
        </w:rPr>
      </w:pPr>
      <w:r>
        <w:rPr>
          <w:rFonts w:hint="eastAsia" w:ascii="仿宋" w:hAnsi="仿宋" w:eastAsia="仿宋"/>
          <w:bCs/>
          <w:sz w:val="32"/>
          <w:szCs w:val="32"/>
          <w:lang w:val="en-US" w:eastAsia="zh-CN"/>
        </w:rPr>
        <w:t>石家庄市第十五中学</w:t>
      </w:r>
    </w:p>
    <w:p w14:paraId="34830BE2">
      <w:pPr>
        <w:spacing w:line="560" w:lineRule="exact"/>
        <w:ind w:firstLine="5120" w:firstLineChars="1600"/>
        <w:rPr>
          <w:rFonts w:hint="default" w:ascii="仿宋" w:hAnsi="仿宋" w:eastAsia="仿宋"/>
          <w:bCs/>
          <w:sz w:val="32"/>
          <w:szCs w:val="32"/>
          <w:lang w:val="en-US" w:eastAsia="zh-CN"/>
        </w:rPr>
      </w:pPr>
      <w:r>
        <w:rPr>
          <w:rFonts w:hint="eastAsia" w:ascii="仿宋" w:hAnsi="仿宋" w:eastAsia="仿宋"/>
          <w:bCs/>
          <w:sz w:val="32"/>
          <w:szCs w:val="32"/>
          <w:lang w:val="en-US" w:eastAsia="zh-CN"/>
        </w:rPr>
        <w:t>2026年4月16日</w:t>
      </w:r>
      <w:bookmarkStart w:id="1" w:name="_GoBack"/>
      <w:bookmarkEnd w:id="1"/>
    </w:p>
    <w:p w14:paraId="36B641AB">
      <w:pPr>
        <w:spacing w:line="560" w:lineRule="exact"/>
        <w:ind w:firstLine="4800" w:firstLineChars="1500"/>
        <w:rPr>
          <w:rFonts w:hint="eastAsia" w:ascii="仿宋" w:hAnsi="仿宋" w:eastAsia="仿宋"/>
          <w:bCs/>
          <w:sz w:val="32"/>
          <w:szCs w:val="32"/>
          <w:lang w:val="en-US" w:eastAsia="zh-CN"/>
        </w:rPr>
      </w:pPr>
    </w:p>
    <w:p w14:paraId="57DAB05C">
      <w:pPr>
        <w:spacing w:line="560" w:lineRule="exact"/>
        <w:ind w:firstLine="640" w:firstLineChars="200"/>
        <w:rPr>
          <w:rFonts w:ascii="仿宋" w:hAnsi="仿宋" w:eastAsia="仿宋"/>
          <w:bCs/>
          <w:sz w:val="32"/>
          <w:szCs w:val="32"/>
        </w:rPr>
      </w:pPr>
    </w:p>
    <w:p w14:paraId="65862311">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D3E62">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1CD7A13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FEA4A"/>
    <w:multiLevelType w:val="singleLevel"/>
    <w:tmpl w:val="D44FEA4A"/>
    <w:lvl w:ilvl="0" w:tentative="0">
      <w:start w:val="2"/>
      <w:numFmt w:val="chineseCounting"/>
      <w:suff w:val="nothing"/>
      <w:lvlText w:val="（%1）"/>
      <w:lvlJc w:val="left"/>
      <w:rPr>
        <w:rFonts w:hint="eastAsia"/>
      </w:rPr>
    </w:lvl>
  </w:abstractNum>
  <w:abstractNum w:abstractNumId="1">
    <w:nsid w:val="0516AA81"/>
    <w:multiLevelType w:val="singleLevel"/>
    <w:tmpl w:val="0516AA81"/>
    <w:lvl w:ilvl="0" w:tentative="0">
      <w:start w:val="2"/>
      <w:numFmt w:val="chineseCounting"/>
      <w:suff w:val="nothing"/>
      <w:lvlText w:val="（%1）"/>
      <w:lvlJc w:val="left"/>
      <w:pPr>
        <w:ind w:left="642" w:firstLine="0"/>
      </w:pPr>
      <w:rPr>
        <w:rFonts w:hint="eastAsia"/>
      </w:rPr>
    </w:lvl>
  </w:abstractNum>
  <w:abstractNum w:abstractNumId="2">
    <w:nsid w:val="24E633C0"/>
    <w:multiLevelType w:val="singleLevel"/>
    <w:tmpl w:val="24E633C0"/>
    <w:lvl w:ilvl="0" w:tentative="0">
      <w:start w:val="6"/>
      <w:numFmt w:val="decimal"/>
      <w:lvlText w:val="%1."/>
      <w:lvlJc w:val="left"/>
      <w:pPr>
        <w:tabs>
          <w:tab w:val="left" w:pos="312"/>
        </w:tabs>
      </w:pPr>
    </w:lvl>
  </w:abstractNum>
  <w:abstractNum w:abstractNumId="3">
    <w:nsid w:val="5E68489B"/>
    <w:multiLevelType w:val="singleLevel"/>
    <w:tmpl w:val="5E68489B"/>
    <w:lvl w:ilvl="0" w:tentative="0">
      <w:start w:val="1"/>
      <w:numFmt w:val="chineseCounting"/>
      <w:suff w:val="nothing"/>
      <w:lvlText w:val="（%1）"/>
      <w:lvlJc w:val="left"/>
      <w:rPr>
        <w:rFonts w:ascii="楷体" w:hAnsi="楷体" w:eastAsia="楷体"/>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0B0260"/>
    <w:rsid w:val="001F187B"/>
    <w:rsid w:val="007E6C1F"/>
    <w:rsid w:val="00956A93"/>
    <w:rsid w:val="009E575C"/>
    <w:rsid w:val="00AF167E"/>
    <w:rsid w:val="00AF566A"/>
    <w:rsid w:val="00B478EA"/>
    <w:rsid w:val="00B6553A"/>
    <w:rsid w:val="00BC6576"/>
    <w:rsid w:val="00CE06BA"/>
    <w:rsid w:val="00F441CC"/>
    <w:rsid w:val="01B104CA"/>
    <w:rsid w:val="02106AB0"/>
    <w:rsid w:val="02B43A28"/>
    <w:rsid w:val="046F331E"/>
    <w:rsid w:val="07956271"/>
    <w:rsid w:val="095A2027"/>
    <w:rsid w:val="09721397"/>
    <w:rsid w:val="0BB63BED"/>
    <w:rsid w:val="0EB97A43"/>
    <w:rsid w:val="0EBD2122"/>
    <w:rsid w:val="0F214EAE"/>
    <w:rsid w:val="11B71E6A"/>
    <w:rsid w:val="1AAF0063"/>
    <w:rsid w:val="1B740D26"/>
    <w:rsid w:val="1BE140DE"/>
    <w:rsid w:val="1D3F35B6"/>
    <w:rsid w:val="1E0A5972"/>
    <w:rsid w:val="1E542E40"/>
    <w:rsid w:val="235A2EF8"/>
    <w:rsid w:val="248C197D"/>
    <w:rsid w:val="252959AF"/>
    <w:rsid w:val="277A6671"/>
    <w:rsid w:val="292D35B7"/>
    <w:rsid w:val="2DED6716"/>
    <w:rsid w:val="2FD933F6"/>
    <w:rsid w:val="336F02F9"/>
    <w:rsid w:val="33EB6CFF"/>
    <w:rsid w:val="35A12947"/>
    <w:rsid w:val="37387040"/>
    <w:rsid w:val="3B625C0A"/>
    <w:rsid w:val="3CEE1963"/>
    <w:rsid w:val="436B78D3"/>
    <w:rsid w:val="44F20D8A"/>
    <w:rsid w:val="4A5E47CC"/>
    <w:rsid w:val="4AE178D7"/>
    <w:rsid w:val="4AE20F59"/>
    <w:rsid w:val="4C9C27FE"/>
    <w:rsid w:val="4FF45DA9"/>
    <w:rsid w:val="502A44B1"/>
    <w:rsid w:val="512260B4"/>
    <w:rsid w:val="52BD6ACB"/>
    <w:rsid w:val="55537534"/>
    <w:rsid w:val="561A74F1"/>
    <w:rsid w:val="58B17416"/>
    <w:rsid w:val="597244E8"/>
    <w:rsid w:val="5A470DD9"/>
    <w:rsid w:val="5B20299D"/>
    <w:rsid w:val="5EB71C30"/>
    <w:rsid w:val="66AF0CE5"/>
    <w:rsid w:val="68AC2130"/>
    <w:rsid w:val="6AC537CF"/>
    <w:rsid w:val="6E5B14A6"/>
    <w:rsid w:val="711B255E"/>
    <w:rsid w:val="7BB51E06"/>
    <w:rsid w:val="7C387F7C"/>
    <w:rsid w:val="7FE8342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customStyle="1" w:styleId="6">
    <w:name w:val="插入文本样式-插入职责分类绩效目标文件"/>
    <w:basedOn w:val="1"/>
    <w:qFormat/>
    <w:uiPriority w:val="0"/>
    <w:pPr>
      <w:widowControl/>
      <w:spacing w:line="500" w:lineRule="exact"/>
      <w:ind w:firstLine="560"/>
      <w:jc w:val="left"/>
    </w:pPr>
    <w:rPr>
      <w:rFonts w:ascii="Times New Roman" w:hAnsi="Times New Roman" w:eastAsia="方正仿宋_GBK" w:cs="Times New Roman"/>
      <w:kern w:val="0"/>
      <w:sz w:val="28"/>
      <w:szCs w:val="24"/>
      <w:lang w:eastAsia="uk-U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573</Words>
  <Characters>590</Characters>
  <Lines>4</Lines>
  <Paragraphs>1</Paragraphs>
  <TotalTime>0</TotalTime>
  <ScaleCrop>false</ScaleCrop>
  <LinksUpToDate>false</LinksUpToDate>
  <CharactersWithSpaces>612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心驰远方</cp:lastModifiedBy>
  <cp:lastPrinted>2026-03-03T01:23:00Z</cp:lastPrinted>
  <dcterms:modified xsi:type="dcterms:W3CDTF">2026-04-20T01:53:45Z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96934721B1514D3FBAA28020338CE855_12</vt:lpwstr>
  </property>
  <property fmtid="{D5CDD505-2E9C-101B-9397-08002B2CF9AE}" pid="4" name="KSOTemplateDocerSaveRecord">
    <vt:lpwstr>eyJoZGlkIjoiNzUyY2VlZjc1ZGRkN2UwYTBiYmU5NzQ1MTYyMjhiZjciLCJ1c2VySWQiOiIzNTkzOTYxODkifQ==</vt:lpwstr>
  </property>
</Properties>
</file>