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2"/>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石家庄市人民政府办公室(本级)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301001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56"/>
          <w:szCs w:val="56"/>
        </w:rPr>
      </w:pPr>
      <w:r>
        <w:rPr>
          <w:rFonts w:hint="eastAsia" w:ascii="方正小标宋简体" w:hAnsi="方正小标宋简体" w:eastAsia="方正小标宋简体" w:cs="方正小标宋简体"/>
          <w:b w:val="0"/>
          <w:sz w:val="56"/>
          <w:szCs w:val="56"/>
        </w:rPr>
        <w:t>石家庄市人民政府办公室(本级)</w:t>
      </w:r>
    </w:p>
    <w:p>
      <w:pPr>
        <w:widowControl/>
        <w:spacing w:before="0" w:beforeLines="0" w:beforeAutospacing="0" w:after="0" w:afterLines="0" w:afterAutospacing="0" w:line="360" w:lineRule="auto"/>
        <w:jc w:val="center"/>
        <w:rPr>
          <w:rFonts w:hint="eastAsia" w:ascii="方正小标宋简体" w:hAnsi="方正小标宋简体" w:eastAsia="方正小标宋简体" w:cs="方正小标宋简体"/>
          <w:sz w:val="56"/>
          <w:szCs w:val="56"/>
        </w:rPr>
      </w:pPr>
      <w:r>
        <w:rPr>
          <w:rFonts w:hint="eastAsia" w:ascii="方正小标宋简体" w:hAnsi="方正小标宋简体" w:eastAsia="方正小标宋简体" w:cs="方正小标宋简体"/>
          <w:b w:val="0"/>
          <w:sz w:val="56"/>
          <w:szCs w:val="56"/>
        </w:rPr>
        <w:t>2025年度</w:t>
      </w:r>
      <w:r>
        <w:rPr>
          <w:rFonts w:hint="eastAsia" w:ascii="方正小标宋简体" w:hAnsi="方正小标宋简体" w:eastAsia="方正小标宋简体" w:cs="方正小标宋简体"/>
          <w:b w:val="0"/>
          <w:sz w:val="56"/>
          <w:szCs w:val="56"/>
          <w:lang w:eastAsia="zh-CN"/>
        </w:rPr>
        <w:t>单位</w:t>
      </w:r>
      <w:r>
        <w:rPr>
          <w:rFonts w:hint="eastAsia" w:ascii="方正小标宋简体" w:hAnsi="方正小标宋简体" w:eastAsia="方正小标宋简体" w:cs="方正小标宋简体"/>
          <w:b w:val="0"/>
          <w:sz w:val="56"/>
          <w:szCs w:val="56"/>
        </w:rPr>
        <w:t>决算公开文本</w:t>
      </w: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石家庄市人民政府办公室(本级)</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九</w:t>
      </w:r>
      <w:r>
        <w:rPr>
          <w:rFonts w:ascii="Times New Roman" w:eastAsia="楷体_GB2312"/>
          <w:b w:val="0"/>
          <w:sz w:val="44"/>
          <w:szCs w:val="44"/>
        </w:rPr>
        <w:t>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color="auto" w:sz="0" w:space="0"/>
            <w:left w:val="none" w:color="auto" w:sz="0" w:space="0"/>
            <w:bottom w:val="none" w:color="auto" w:sz="0" w:space="0"/>
            <w:right w:val="none" w:color="auto" w:sz="0" w:space="0"/>
          </w:pgBorders>
          <w:cols w:space="0" w:num="1"/>
          <w:titlePg/>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(一)协助市政府领导组织起草或审核上报省政府、省政府办公厅和致函省政府各部门的公文</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以及以市政府、市政府办公室名义发布的公文</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负责市政府、市政府办公室日常公文办理。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(二)负责市政府领导活动的组织和协调工作</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负责市政府会议的准备和服务工作</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协助市政府领导组织落实会议决定事项。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(三)研究市政府各部门和各县(市、 区)政府请示市政府的事项</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提出审核意见</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报市政府领导审批。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(四)根据市政府领导的批示</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对市政府各部门间出现的争议问题提出处理意见</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报市政府领导决定。​</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(五)组织起草市政府领导重要讲话及其他重要文稿。​</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(六)组织承办人大代表建议和政协委员提案工作。 ​</w:t>
      </w:r>
      <w:r>
        <w:rPr>
          <w:rFonts w:hint="eastAsia" w:ascii="仿宋_GB2312" w:hAnsi="仿宋_GB2312" w:eastAsia="仿宋_GB2312" w:cs="仿宋_GB2312"/>
          <w:b w:val="0"/>
          <w:sz w:val="32"/>
          <w:szCs w:val="32"/>
          <w:lang w:val="en-US" w:eastAsia="zh-CN"/>
        </w:rPr>
        <w:t xml:space="preserve">  </w:t>
      </w:r>
      <w:r>
        <w:rPr>
          <w:rFonts w:hint="eastAsia" w:ascii="仿宋_GB2312" w:hAnsi="仿宋_GB2312" w:eastAsia="仿宋_GB2312" w:cs="仿宋_GB2312"/>
          <w:b w:val="0"/>
          <w:sz w:val="32"/>
          <w:szCs w:val="32"/>
        </w:rPr>
        <w:t>(七)负责承办市政府提请市人大常委会任免议案和提请市政府任命工作人员的行政任免有关手续</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负责承办市政府任命工作人员的宪法宣誓工作。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(八)负责市政府值班工作</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及时报告重要情况</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传达和督促落实市政府领导工作要求。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(九)根据市政府工作部署和市政府领导要求</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组织专题调研</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及时反映情况</w:t>
      </w:r>
      <w:r>
        <w:rPr>
          <w:rFonts w:hint="eastAsia" w:ascii="仿宋_GB2312" w:hAnsi="仿宋_GB2312" w:eastAsia="仿宋_GB2312" w:cs="仿宋_GB2312"/>
          <w:b w:val="0"/>
          <w:sz w:val="32"/>
          <w:szCs w:val="32"/>
          <w:lang w:eastAsia="zh-CN"/>
        </w:rPr>
        <w:t>，</w:t>
      </w:r>
      <w:r>
        <w:rPr>
          <w:rFonts w:hint="eastAsia" w:ascii="仿宋_GB2312" w:hAnsi="仿宋_GB2312" w:eastAsia="仿宋_GB2312" w:cs="仿宋_GB2312"/>
          <w:b w:val="0"/>
          <w:sz w:val="32"/>
          <w:szCs w:val="32"/>
        </w:rPr>
        <w:t>提出建议。​</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(十) 负责推进、指导、协调、监督、考核评估全市政务公开和政府信息公开工作。​</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sz w:val="32"/>
          <w:szCs w:val="32"/>
        </w:rPr>
        <w:t>(十一)负责政务信息服务工作。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hint="eastAsia" w:ascii="仿宋_GB2312" w:hAnsi="仿宋_GB2312" w:eastAsia="仿宋_GB2312" w:cs="仿宋_GB2312"/>
          <w:b w:val="0"/>
          <w:sz w:val="32"/>
          <w:szCs w:val="32"/>
        </w:rPr>
      </w:pPr>
      <w:r>
        <w:rPr>
          <w:rFonts w:hint="eastAsia" w:ascii="仿宋_GB2312" w:hAnsi="仿宋_GB2312" w:eastAsia="仿宋_GB2312" w:cs="仿宋_GB2312"/>
          <w:b w:val="0"/>
          <w:sz w:val="32"/>
          <w:szCs w:val="32"/>
        </w:rPr>
        <w:t xml:space="preserve">(十二 )负责协调联络有关市政府新闻宣传和舆情回应等工作。 </w:t>
      </w:r>
    </w:p>
    <w:p>
      <w:pPr>
        <w:keepNext w:val="0"/>
        <w:keepLines w:val="0"/>
        <w:pageBreakBefore w:val="0"/>
        <w:widowControl/>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rPr>
          <w:rFonts w:ascii="Times New Roman" w:eastAsia="仿宋_GB2312"/>
          <w:sz w:val="32"/>
          <w:szCs w:val="32"/>
        </w:rPr>
      </w:pPr>
      <w:r>
        <w:rPr>
          <w:rFonts w:hint="eastAsia" w:ascii="仿宋_GB2312" w:hAnsi="仿宋_GB2312" w:eastAsia="仿宋_GB2312" w:cs="仿宋_GB2312"/>
          <w:b w:val="0"/>
          <w:sz w:val="32"/>
          <w:szCs w:val="32"/>
        </w:rPr>
        <w:t>(十三)完成市政府交办的其他任务。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4"/>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石家庄市人民政府办公室(本级)</w:t>
            </w:r>
          </w:p>
        </w:tc>
        <w:tc>
          <w:tcPr>
            <w:tcW w:w="2445" w:type="dxa"/>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行政部门</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4"/>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部门（单位）：石家庄市人民政府办公室(本级)</w:t>
            </w:r>
          </w:p>
        </w:tc>
        <w:tc>
          <w:tcPr>
            <w:tcW w:w="2945" w:type="dxa"/>
            <w:gridSpan w:val="2"/>
            <w:tcBorders>
              <w:top w:val="nil"/>
              <w:left w:val="nil"/>
              <w:bottom w:val="single" w:color="000000" w:themeColor="text1" w:sz="8" w:space="0"/>
              <w:right w:val="nil"/>
            </w:tcBorders>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7,632.48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908.73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281.76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部门（单位）：石家庄市人民政府办公室(本级)                                                                                                         </w:t>
            </w:r>
          </w:p>
        </w:tc>
        <w:tc>
          <w:tcPr>
            <w:tcW w:w="3405" w:type="dxa"/>
            <w:gridSpan w:val="4"/>
            <w:tcBorders>
              <w:top w:val="nil"/>
              <w:left w:val="nil"/>
              <w:bottom w:val="single" w:color="000000" w:themeColor="text1" w:sz="8" w:space="0"/>
              <w:right w:val="nil"/>
            </w:tcBorders>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9,027.33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9,027.33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7,632.48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7,632.48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7,632.48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7,632.48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3,098.28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3,098.28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4,534.19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4,534.19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204.36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部门（单位）：石家庄市人民政府办公室(本级)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4,493.13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7,632.48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7,632.48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605.42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605.42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303.30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303.30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106.90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106.90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部门（单位）：石家庄市人民政府办公室(本级)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7,632.48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7,632.48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908.73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908.73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204.36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204.36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281.76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281.76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9,027.33</w:t>
            </w:r>
          </w:p>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部门（单位）：石家庄市人民政府办公室(本级)</w:t>
            </w:r>
          </w:p>
        </w:tc>
        <w:tc>
          <w:tcPr>
            <w:tcW w:w="2813" w:type="dxa"/>
            <w:gridSpan w:val="2"/>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9,027.33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4,493.13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4,534.19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7,632.48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7,632.48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3,098.28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4,534.19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908.73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605.42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605.42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303.30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303.30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204.36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106.90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106.90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97.46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281.76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6"/>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部门（单位）：石家庄市人民政府办公室(本级)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6"/>
                <w:lang w:val="en-US" w:eastAsia="zh-CN" w:bidi="ar"/>
              </w:rPr>
              <w:t>年度</w:t>
            </w:r>
          </w:p>
        </w:tc>
        <w:tc>
          <w:tcPr>
            <w:tcW w:w="4212" w:type="dxa"/>
            <w:gridSpan w:val="3"/>
            <w:tcBorders>
              <w:top w:val="nil"/>
              <w:left w:val="nil"/>
              <w:bottom w:val="single" w:color="000000" w:sz="8" w:space="0"/>
              <w:right w:val="nil"/>
            </w:tcBorders>
            <w:shd w:val="clear" w:color="auto" w:fill="auto"/>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3,471.45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413.12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基本工资</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922.85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24.59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津贴补贴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862.39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奖金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775.15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伙食补助费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绩效工资</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303.30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114.52</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106.90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97.46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68.70</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281.76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租赁费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121.64</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608.56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1.63</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603.48</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33.05</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19.99</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131.96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0.66</w:t>
            </w:r>
          </w:p>
        </w:tc>
        <w:tc>
          <w:tcPr>
            <w:tcW w:w="66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18.69</w:t>
            </w:r>
          </w:p>
        </w:tc>
        <w:tc>
          <w:tcPr>
            <w:tcW w:w="666" w:type="dxa"/>
            <w:tcBorders>
              <w:top w:val="nil"/>
              <w:left w:val="nil"/>
              <w:bottom w:val="single" w:color="000000" w:sz="8"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4,080.01</w:t>
            </w:r>
          </w:p>
        </w:tc>
        <w:tc>
          <w:tcPr>
            <w:tcW w:w="5811" w:type="dxa"/>
            <w:gridSpan w:val="6"/>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部门（单位）：石家庄市人民政府办公室(本级)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注：本表反映部门本年度政府性基金预算财政拨款收入、支出及结转和结余情况。（2025年度我单位无相关支出，空表列示）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部门（单位）：石家庄市人民政府办公室(本级)</w:t>
            </w:r>
          </w:p>
        </w:tc>
        <w:tc>
          <w:tcPr>
            <w:tcW w:w="2680" w:type="dxa"/>
            <w:gridSpan w:val="4"/>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注：本表反映部门本年度国有资本经营预算财政拨款支出情况。（2025年度我单位无相关支出，空表列示）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4"/>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部门（单位）：石家庄市人民政府办公室(本级)</w:t>
            </w:r>
          </w:p>
        </w:tc>
        <w:tc>
          <w:tcPr>
            <w:tcW w:w="2166" w:type="dxa"/>
            <w:gridSpan w:val="3"/>
            <w:tcBorders>
              <w:top w:val="nil"/>
              <w:left w:val="nil"/>
              <w:bottom w:val="single" w:color="000000" w:themeColor="text1" w:sz="8" w:space="0"/>
              <w:right w:val="nil"/>
            </w:tcBorders>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21.30</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19.02</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19.02</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8" w:type="default"/>
          <w:footerReference r:id="rId9" w:type="default"/>
          <w:pgSz w:w="11906" w:h="16838"/>
          <w:pgMar w:top="1531" w:right="1984" w:bottom="1531" w:left="2098" w:header="851" w:footer="992" w:gutter="0"/>
          <w:pgBorders>
            <w:top w:val="none" w:color="auto" w:sz="0" w:space="0"/>
            <w:left w:val="none" w:color="auto" w:sz="0" w:space="0"/>
            <w:bottom w:val="none" w:color="auto" w:sz="0" w:space="0"/>
            <w:right w:val="none" w:color="auto" w:sz="0" w:space="0"/>
          </w:pgBorders>
          <w:cols w:space="720" w:num="1"/>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0" w:type="default"/>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本单位2025年度收、支总计（含结转和结余）均为9,027.33万元。与2024年度决算相比，收支各减少559.25万元，下降5.8%，主要原因是</w:t>
      </w:r>
      <w:r>
        <w:rPr>
          <w:rFonts w:hint="eastAsia" w:ascii="Times New Roman" w:eastAsia="仿宋_GB2312"/>
          <w:b w:val="0"/>
          <w:sz w:val="32"/>
          <w:szCs w:val="32"/>
          <w:lang w:eastAsia="zh-CN"/>
        </w:rPr>
        <w:t>项目经费压减</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本年收入合计9,027.33万元，其中：财政拨款收入9,027.33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本单位2025年度本年支出合计9,027.33万元，其中：基本支出4,493.13万元，占49.8%；项目支出4,534.19万元，占50.2%；经营支出0.00万元，占0.0%；上缴上级支出0.00万元，占0.0%；对附属单位补助支出0.00万元，占0.0%。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本单位2025年度财政拨款收、支总计（含结转和结余）均为9,027.33万元。与2024年度相比，财政拨款收支各减少559.25万元，降低5.8%，主要原因是</w:t>
      </w:r>
      <w:r>
        <w:rPr>
          <w:rFonts w:hint="eastAsia" w:ascii="Times New Roman" w:eastAsia="仿宋_GB2312"/>
          <w:b w:val="0"/>
          <w:sz w:val="32"/>
          <w:szCs w:val="32"/>
          <w:lang w:eastAsia="zh-CN"/>
        </w:rPr>
        <w:t>项目经费压减</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本单位2025年度财政拨款本年收入9,027.33万元,比上年减少559.25万元，降低5.8%，主要原因是；本年支出9,027.33万元，比上年减少559.25万元，降低5.8%，主要原因是</w:t>
      </w:r>
      <w:r>
        <w:rPr>
          <w:rFonts w:hint="eastAsia" w:ascii="Times New Roman" w:eastAsia="仿宋_GB2312"/>
          <w:b w:val="0"/>
          <w:sz w:val="32"/>
          <w:szCs w:val="32"/>
          <w:lang w:eastAsia="zh-CN"/>
        </w:rPr>
        <w:t>项目经费压减</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20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一般公共预算财政拨款本年收入9,027.33万元,比上年减少559.25万元，降低5.8%，</w:t>
      </w:r>
      <w:r>
        <w:rPr>
          <w:rFonts w:ascii="Times New Roman" w:eastAsia="仿宋_GB2312"/>
          <w:b w:val="0"/>
          <w:sz w:val="32"/>
          <w:szCs w:val="32"/>
        </w:rPr>
        <w:t>主要原因是</w:t>
      </w:r>
      <w:r>
        <w:rPr>
          <w:rFonts w:hint="eastAsia" w:ascii="Times New Roman" w:eastAsia="仿宋_GB2312"/>
          <w:b w:val="0"/>
          <w:sz w:val="32"/>
          <w:szCs w:val="32"/>
          <w:lang w:eastAsia="zh-CN"/>
        </w:rPr>
        <w:t>项目经费压减</w:t>
      </w:r>
      <w:r>
        <w:rPr>
          <w:rFonts w:ascii="Times New Roman" w:eastAsia="仿宋_GB2312"/>
          <w:b w:val="0"/>
          <w:sz w:val="32"/>
          <w:szCs w:val="32"/>
        </w:rPr>
        <w:t>；本年支出9,027.33万元，比上年减少559.25万元，降低5.8%，主要原因是</w:t>
      </w:r>
      <w:r>
        <w:rPr>
          <w:rFonts w:hint="eastAsia" w:ascii="Times New Roman" w:eastAsia="仿宋_GB2312"/>
          <w:b w:val="0"/>
          <w:sz w:val="32"/>
          <w:szCs w:val="32"/>
          <w:lang w:eastAsia="zh-CN"/>
        </w:rPr>
        <w:t>项目经费压减</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政府性基金预算财政拨款本年收入0.00万元，比上年增加0.00万元，增长0.00%；本年支出0.00万元，比上年增加0.00万元，增长0.00%，主要原因是我单位无政府性基金预算财政拨款</w:t>
      </w:r>
      <w:r>
        <w:rPr>
          <w:rFonts w:hint="eastAsia" w:ascii="Times New Roman" w:eastAsia="仿宋_GB2312"/>
          <w:b w:val="0"/>
          <w:sz w:val="32"/>
          <w:szCs w:val="32"/>
          <w:lang w:eastAsia="zh-CN"/>
        </w:rPr>
        <w:t>收支</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国有资本经营预算财政拨款本年收入0.00万元，比上年增加0.00万元，增长0.00%；本年支出0.00万元，比上年增加0.00万元，增长0.00%，主要原因是我单位无国有资本经营预算财政拨款</w:t>
      </w:r>
      <w:r>
        <w:rPr>
          <w:rFonts w:hint="eastAsia" w:ascii="Times New Roman" w:eastAsia="仿宋_GB2312"/>
          <w:b w:val="0"/>
          <w:sz w:val="32"/>
          <w:szCs w:val="32"/>
          <w:lang w:eastAsia="zh-CN"/>
        </w:rPr>
        <w:t>收支</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本单位2025年度财政拨款本年收入9,027.33万元，完成年初预算的96.8%，比年初预算减少296.35万元，决算数小于预算数主要原因是</w:t>
      </w:r>
      <w:r>
        <w:rPr>
          <w:rFonts w:hint="eastAsia" w:ascii="Times New Roman" w:eastAsia="仿宋_GB2312"/>
          <w:b w:val="0"/>
          <w:sz w:val="32"/>
          <w:szCs w:val="32"/>
          <w:lang w:eastAsia="zh-CN"/>
        </w:rPr>
        <w:t>项目支出减少</w:t>
      </w:r>
      <w:r>
        <w:rPr>
          <w:rFonts w:ascii="Times New Roman" w:eastAsia="仿宋_GB2312"/>
          <w:b w:val="0"/>
          <w:sz w:val="32"/>
          <w:szCs w:val="32"/>
        </w:rPr>
        <w:t>；本年支出9,027.33万元，完成年初预算的96.8%，比年初预算减少296.35万元，决算数小于预算数主要原因是</w:t>
      </w:r>
      <w:r>
        <w:rPr>
          <w:rFonts w:hint="eastAsia" w:ascii="Times New Roman" w:eastAsia="仿宋_GB2312"/>
          <w:b w:val="0"/>
          <w:sz w:val="32"/>
          <w:szCs w:val="32"/>
          <w:lang w:eastAsia="zh-CN"/>
        </w:rPr>
        <w:t>项目支出减少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一般公共预算财政拨款本年收入完成年初预算的96.8%，比年初预算减少296.35万元；支出完成年初预算的96.8%，比年初预算减少296.35万元，主要原因是</w:t>
      </w:r>
      <w:r>
        <w:rPr>
          <w:rFonts w:hint="eastAsia" w:ascii="Times New Roman" w:eastAsia="仿宋_GB2312"/>
          <w:b w:val="0"/>
          <w:sz w:val="32"/>
          <w:szCs w:val="32"/>
          <w:lang w:eastAsia="zh-CN"/>
        </w:rPr>
        <w:t>项目支出减少</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政府性基金预算财政拨款本年收入完成年初预算的0.0%，比年初预算增加0.00万元；支出完成年初预算的0.0%，比年初预算增加0.00万元，主要原因是我单位无政府性基金预算财政拨款</w:t>
      </w:r>
      <w:r>
        <w:rPr>
          <w:rFonts w:hint="eastAsia" w:ascii="Times New Roman" w:eastAsia="仿宋_GB2312"/>
          <w:b w:val="0"/>
          <w:sz w:val="32"/>
          <w:szCs w:val="32"/>
          <w:lang w:eastAsia="zh-CN"/>
        </w:rPr>
        <w:t>收支</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国有资本经营预算财政拨款本年收入完成年初预算的0.0%，比年初预算增加0.00万元；支出完成年初预算的0.0%，比年初预算增加0.00万元，主要原因是我单位无国有资本经营预算财政拨款支出。</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2025年度财政拨款支出9,027.33万元，主要用于以下方面：</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200" w:firstLineChars="200"/>
        <w:jc w:val="left"/>
        <w:rPr>
          <w:rFonts w:ascii="Times New Roman" w:eastAsia="仿宋_GB2312"/>
          <w:b w:val="0"/>
          <w:sz w:val="32"/>
          <w:szCs w:val="32"/>
        </w:rPr>
      </w:pPr>
      <w:r>
        <w:rPr>
          <w:rFonts w:ascii="Times New Roman" w:eastAsia="仿宋_GB2312"/>
          <w:b w:val="0"/>
          <w:sz w:val="32"/>
          <w:szCs w:val="32"/>
        </w:rPr>
        <w:t>一般公共服务（类）支出7,632.48万元，占84.5%，主要用于人员经费、日常公用和项目支出等支出；社会保障和就业 （类）支出908.73万元，占10.1%，主要用于养老保险等支出；卫生健康（类）支出204.36万元，占2.3%，主要用于医疗保险等支出；住房保障（类）支出281.76万元，占3.1%，主要用于住房公积金等支出；</w:t>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2025年度财政拨款基本支出4,493.13万元，其中：</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人员经费4,080.01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公用经费413.12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本单位2025年度“三公”经费财政拨款支出预算为21.30万元，支出决算为19.02万元，完成预算的89.3%，较预算减少2.29万元，降低10.7%，主要原因是</w:t>
      </w:r>
      <w:r>
        <w:rPr>
          <w:rFonts w:hint="eastAsia" w:ascii="Times New Roman" w:eastAsia="仿宋_GB2312"/>
          <w:b w:val="0"/>
          <w:sz w:val="32"/>
          <w:szCs w:val="32"/>
          <w:lang w:eastAsia="zh-CN"/>
        </w:rPr>
        <w:t>压减三公经费预算</w:t>
      </w:r>
      <w:r>
        <w:rPr>
          <w:rFonts w:ascii="Times New Roman" w:eastAsia="仿宋_GB2312"/>
          <w:b w:val="0"/>
          <w:sz w:val="32"/>
          <w:szCs w:val="32"/>
        </w:rPr>
        <w:t>；较2024年度决算增加14.53万元，增长324.6%，主要原因是</w:t>
      </w:r>
      <w:r>
        <w:rPr>
          <w:rFonts w:hint="eastAsia" w:ascii="Times New Roman" w:eastAsia="仿宋_GB2312"/>
          <w:b w:val="0"/>
          <w:sz w:val="32"/>
          <w:szCs w:val="32"/>
          <w:lang w:eastAsia="zh-CN"/>
        </w:rPr>
        <w:t>因公出国费用增加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本单位2025年度因公出国（境）费支出预算为21.30万元,支出决算19.02万元。完成预算的89.3%。因公出国（境）费支出较预算减少2.29万元，降低10.7%,主要原因是</w:t>
      </w:r>
      <w:r>
        <w:rPr>
          <w:rFonts w:hint="eastAsia" w:ascii="Times New Roman" w:eastAsia="仿宋_GB2312"/>
          <w:b w:val="0"/>
          <w:sz w:val="32"/>
          <w:szCs w:val="32"/>
          <w:lang w:eastAsia="zh-CN"/>
        </w:rPr>
        <w:t>压减三公经费预算</w:t>
      </w:r>
      <w:r>
        <w:rPr>
          <w:rFonts w:ascii="Times New Roman" w:eastAsia="仿宋_GB2312"/>
          <w:b w:val="0"/>
          <w:sz w:val="32"/>
          <w:szCs w:val="32"/>
        </w:rPr>
        <w:t>；较上年增加14.53万元，增长324.6%,主要原因是</w:t>
      </w:r>
      <w:r>
        <w:rPr>
          <w:rFonts w:hint="eastAsia" w:ascii="Times New Roman" w:eastAsia="仿宋_GB2312"/>
          <w:b w:val="0"/>
          <w:sz w:val="32"/>
          <w:szCs w:val="32"/>
          <w:lang w:eastAsia="zh-CN"/>
        </w:rPr>
        <w:t>因公出国次数增加</w:t>
      </w:r>
      <w:r>
        <w:rPr>
          <w:rFonts w:ascii="Times New Roman" w:eastAsia="仿宋_GB2312"/>
          <w:b w:val="0"/>
          <w:sz w:val="32"/>
          <w:szCs w:val="32"/>
        </w:rPr>
        <w:t>。因公出国（境）团组4个、共5人、参加其他单位组织的因公出国（境）团组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人/无本部门组织的出国（境）团组。</w:t>
      </w:r>
    </w:p>
    <w:p>
      <w:pPr>
        <w:adjustRightInd w:val="0"/>
        <w:snapToGrid w:val="0"/>
        <w:spacing w:line="580" w:lineRule="exact"/>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我单位无公务用车；较上年增加0.00万元，增长0.00%,主要原因是我单位无公务用车</w:t>
      </w:r>
      <w:r>
        <w:rPr>
          <w:rFonts w:hint="eastAsia" w:ascii="Times New Roman" w:eastAsia="仿宋_GB2312"/>
          <w:b w:val="0"/>
          <w:sz w:val="32"/>
          <w:szCs w:val="32"/>
          <w:lang w:eastAsia="zh-CN"/>
        </w:rPr>
        <w:t>，</w:t>
      </w:r>
      <w:r>
        <w:rPr>
          <w:rFonts w:ascii="Times New Roman" w:hAnsi="Times New Roman" w:eastAsia="仿宋_GB2312" w:cs="Times New Roman"/>
          <w:kern w:val="2"/>
          <w:sz w:val="32"/>
          <w:szCs w:val="32"/>
          <w:lang w:val="zh-CN"/>
        </w:rPr>
        <w:t>未发生</w:t>
      </w:r>
      <w:r>
        <w:rPr>
          <w:rFonts w:hint="eastAsia" w:ascii="Times New Roman" w:hAnsi="Times New Roman" w:eastAsia="仿宋_GB2312" w:cs="Times New Roman"/>
          <w:kern w:val="2"/>
          <w:sz w:val="32"/>
          <w:szCs w:val="32"/>
          <w:lang w:val="zh-CN" w:eastAsia="zh-CN"/>
        </w:rPr>
        <w:t>“</w:t>
      </w:r>
      <w:r>
        <w:rPr>
          <w:rFonts w:ascii="Times New Roman" w:hAnsi="Times New Roman" w:eastAsia="仿宋_GB2312" w:cs="Times New Roman"/>
          <w:kern w:val="2"/>
          <w:sz w:val="32"/>
          <w:szCs w:val="32"/>
          <w:lang w:val="zh-CN"/>
        </w:rPr>
        <w:t>公务用车运行维护费</w:t>
      </w:r>
      <w:r>
        <w:rPr>
          <w:rFonts w:hint="eastAsia" w:ascii="Times New Roman" w:hAnsi="Times New Roman" w:eastAsia="仿宋_GB2312" w:cs="Times New Roman"/>
          <w:kern w:val="2"/>
          <w:sz w:val="32"/>
          <w:szCs w:val="32"/>
          <w:lang w:val="zh-CN" w:eastAsia="zh-CN"/>
        </w:rPr>
        <w:t>”</w:t>
      </w:r>
      <w:r>
        <w:rPr>
          <w:rFonts w:ascii="Times New Roman" w:hAnsi="Times New Roman" w:eastAsia="仿宋_GB2312" w:cs="Times New Roman"/>
          <w:kern w:val="2"/>
          <w:sz w:val="32"/>
          <w:szCs w:val="32"/>
          <w:lang w:val="zh-CN"/>
        </w:rPr>
        <w:t>经费支出</w:t>
      </w:r>
      <w:r>
        <w:rPr>
          <w:rFonts w:hint="eastAsia" w:ascii="Times New Roman" w:hAnsi="Times New Roman" w:eastAsia="仿宋_GB2312" w:cs="Times New Roman"/>
          <w:kern w:val="2"/>
          <w:sz w:val="32"/>
          <w:szCs w:val="32"/>
          <w:lang w:val="zh-CN"/>
        </w:rPr>
        <w:t>。</w:t>
      </w:r>
      <w:r>
        <w:rPr>
          <w:rFonts w:ascii="Times New Roman" w:eastAsia="仿宋_GB2312"/>
          <w:b w:val="0"/>
          <w:sz w:val="32"/>
          <w:szCs w:val="32"/>
        </w:rPr>
        <w:t>其中：</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本单位2025年度公务用车购置量0辆，发生“公务用车购置”经费支出0.00万元。公务用车购置费支出较预算增加0.00万元，增长0.0%,主要原因是；较上年增加0.00万元，增长0.00%,主要原因是我单位无公务用车。</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我单位无公务用车；较上年增加0.00万元，增长0.00%，主要原因是我单位无公务用车。</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本单位2025年度公务接待费支出预算为0.00万元，支出决算0.00万元，完成预算的0.0%。公务接待费支出较预算增加0.00万元，增长0.0%,主要原因是我单位未发生公务接待；较上年度增加0.00万元，增长0.00%</w:t>
      </w:r>
      <w:bookmarkStart w:id="0" w:name="_GoBack"/>
      <w:bookmarkEnd w:id="0"/>
      <w:r>
        <w:rPr>
          <w:rFonts w:ascii="Times New Roman" w:eastAsia="仿宋_GB2312"/>
          <w:b w:val="0"/>
          <w:sz w:val="32"/>
          <w:szCs w:val="32"/>
        </w:rPr>
        <w:t>,主要原因是我单位未发生公务接待。本年度共发生公务接待0批次、0人次。</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本单位2025年度机关运行经费支出413.12万元，较2024年度增加25.24万元，增长6.5%。主要原因是</w:t>
      </w:r>
      <w:r>
        <w:rPr>
          <w:rFonts w:hint="eastAsia" w:ascii="Times New Roman" w:eastAsia="仿宋_GB2312"/>
          <w:b w:val="0"/>
          <w:sz w:val="32"/>
          <w:szCs w:val="32"/>
          <w:lang w:eastAsia="zh-CN"/>
        </w:rPr>
        <w:t>人员经费增加</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本单位2025年度政府采购支出总额233.52万元，从采购类型来看，政府采购货物支出9.34万元、政府采购工程支出0.00万元、政府采购服务支出224.19万元。授予中小企业合同金额192.45万元，占政府采购支出总额的82.4%，其中授予小微企业合同金额76.85万元，占政府采购支出总额的32.9%。</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20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4534.19</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19</w:t>
      </w:r>
      <w:r>
        <w:rPr>
          <w:rFonts w:ascii="Times New Roman" w:eastAsia="仿宋_GB2312"/>
          <w:b w:val="0"/>
          <w:sz w:val="32"/>
          <w:szCs w:val="32"/>
        </w:rPr>
        <w:t>个，涉及资金</w:t>
      </w:r>
      <w:r>
        <w:rPr>
          <w:rFonts w:hint="eastAsia" w:ascii="Times New Roman" w:eastAsia="仿宋_GB2312"/>
          <w:b w:val="0"/>
          <w:sz w:val="32"/>
          <w:szCs w:val="32"/>
          <w:lang w:val="en-US" w:eastAsia="zh-CN"/>
        </w:rPr>
        <w:t>4534.19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12345市政府公开电话及12342环境举报专线专项经费</w:t>
      </w:r>
      <w:r>
        <w:rPr>
          <w:rFonts w:hint="eastAsia" w:ascii="Times New Roman" w:eastAsia="仿宋_GB2312"/>
          <w:b w:val="0"/>
          <w:sz w:val="32"/>
          <w:szCs w:val="32"/>
          <w:lang w:eastAsia="zh-CN"/>
        </w:rPr>
        <w:t>”</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3308.54</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12345热线全年共受理企业群众诉求事项402.7万件，全年接通率、服务满意度均稳定在99%以上，月均接线员人数320人，通过市12345政务服务便民热线微信公众号转发相关政策文件、公布领导接听活动时间安排等相关文章101篇。根据项目执行情况和项目绩效情况，“12345市政府公开电话及12342环境举报专线专项经费”项目管理全面规范，制度完善，资金使用符合相关政策要求</w:t>
      </w:r>
      <w:r>
        <w:rPr>
          <w:rFonts w:ascii="Times New Roman" w:eastAsia="仿宋_GB2312"/>
          <w:b w:val="0"/>
          <w:sz w:val="32"/>
          <w:szCs w:val="32"/>
        </w:rPr>
        <w:t>。</w:t>
      </w:r>
      <w:r>
        <w:rPr>
          <w:rFonts w:hint="eastAsia" w:ascii="Times New Roman" w:eastAsia="仿宋_GB2312"/>
          <w:b w:val="0"/>
          <w:sz w:val="32"/>
          <w:szCs w:val="32"/>
          <w:lang w:eastAsia="zh-CN"/>
        </w:rPr>
        <w:t>评价得分</w:t>
      </w:r>
      <w:r>
        <w:rPr>
          <w:rFonts w:hint="eastAsia" w:ascii="Times New Roman" w:eastAsia="仿宋_GB2312"/>
          <w:b w:val="0"/>
          <w:sz w:val="32"/>
          <w:szCs w:val="32"/>
          <w:lang w:val="en-US" w:eastAsia="zh-CN"/>
        </w:rPr>
        <w:t>99.62分，评价等级为“优”。</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right="0" w:rightChars="0" w:firstLine="640" w:firstLineChars="200"/>
        <w:jc w:val="left"/>
        <w:textAlignment w:val="auto"/>
        <w:outlineLvl w:val="9"/>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仿宋" w:hAnsi="仿宋" w:eastAsia="仿宋" w:cs="仿宋"/>
          <w:b w:val="0"/>
          <w:kern w:val="2"/>
          <w:sz w:val="32"/>
          <w:szCs w:val="32"/>
          <w:highlight w:val="none"/>
          <w:shd w:val="clear" w:color="auto" w:fill="auto"/>
          <w:lang w:val="en-US" w:eastAsia="zh-CN" w:bidi="ar-SA"/>
        </w:rPr>
        <w:t>12345市政府公开电话及12342环境举报专线专项经费</w:t>
      </w:r>
      <w:r>
        <w:rPr>
          <w:rFonts w:hint="eastAsia" w:ascii="Times New Roman" w:hAnsi="Times New Roman" w:eastAsia="仿宋_GB2312"/>
          <w:kern w:val="2"/>
          <w:sz w:val="32"/>
          <w:szCs w:val="32"/>
          <w:lang w:val="zh-CN"/>
        </w:rPr>
        <w:t>和市政府微博、微信建设运维经费等</w:t>
      </w:r>
      <w:r>
        <w:rPr>
          <w:rFonts w:hint="eastAsia" w:ascii="Times New Roman" w:hAnsi="Times New Roman" w:eastAsia="仿宋_GB2312"/>
          <w:kern w:val="2"/>
          <w:sz w:val="32"/>
          <w:szCs w:val="32"/>
          <w:lang w:val="en-US" w:eastAsia="zh-CN"/>
        </w:rPr>
        <w:t>10</w:t>
      </w:r>
      <w:r>
        <w:rPr>
          <w:rFonts w:ascii="Times New Roman" w:hAnsi="Times New Roman" w:eastAsia="仿宋_GB2312"/>
          <w:kern w:val="2"/>
          <w:sz w:val="32"/>
          <w:szCs w:val="32"/>
          <w:lang w:val="zh-CN"/>
        </w:rPr>
        <w:t>个项目</w:t>
      </w:r>
      <w:r>
        <w:rPr>
          <w:rFonts w:ascii="Times New Roman" w:eastAsia="仿宋_GB2312"/>
          <w:b w:val="0"/>
          <w:sz w:val="32"/>
          <w:szCs w:val="32"/>
        </w:rPr>
        <w:t>绩效自评结果。</w:t>
      </w:r>
    </w:p>
    <w:p>
      <w:pPr>
        <w:pStyle w:val="11"/>
        <w:widowControl/>
        <w:spacing w:beforeAutospacing="0" w:afterAutospacing="0"/>
        <w:ind w:firstLine="640" w:firstLineChars="200"/>
        <w:rPr>
          <w:rFonts w:hint="eastAsia" w:ascii="仿宋_GB2312" w:hAnsi="仿宋_GB2312" w:eastAsia="仿宋_GB2312" w:cs="仿宋_GB2312"/>
          <w:color w:val="auto"/>
          <w:kern w:val="2"/>
          <w:sz w:val="32"/>
          <w:szCs w:val="32"/>
          <w:shd w:val="clear"/>
          <w:lang w:val="zh-CN"/>
        </w:rPr>
      </w:pPr>
      <w:r>
        <w:rPr>
          <w:rFonts w:hint="eastAsia" w:ascii="仿宋_GB2312" w:hAnsi="仿宋_GB2312" w:eastAsia="仿宋_GB2312" w:cs="仿宋_GB2312"/>
          <w:sz w:val="32"/>
          <w:szCs w:val="32"/>
          <w:highlight w:val="none"/>
          <w:lang w:val="en-US" w:eastAsia="zh-CN"/>
        </w:rPr>
        <w:t>12345及12342市政府公开电话运营经费</w:t>
      </w:r>
      <w:r>
        <w:rPr>
          <w:rFonts w:ascii="Times New Roman" w:hAnsi="Times New Roman" w:eastAsia="仿宋_GB2312"/>
          <w:kern w:val="2"/>
          <w:sz w:val="32"/>
          <w:szCs w:val="32"/>
          <w:lang w:val="zh-CN"/>
        </w:rPr>
        <w:t>项目</w:t>
      </w:r>
      <w:r>
        <w:rPr>
          <w:rFonts w:hint="eastAsia" w:ascii="Times New Roman" w:eastAsia="仿宋_GB2312"/>
          <w:b w:val="0"/>
          <w:sz w:val="32"/>
          <w:szCs w:val="32"/>
          <w:lang w:eastAsia="zh-CN"/>
        </w:rPr>
        <w:t>：</w:t>
      </w:r>
      <w:r>
        <w:rPr>
          <w:rFonts w:ascii="Times New Roman" w:eastAsia="仿宋_GB2312"/>
          <w:b w:val="0"/>
          <w:sz w:val="32"/>
          <w:szCs w:val="32"/>
        </w:rPr>
        <w:t>根据年初设定的绩效目标，</w:t>
      </w:r>
      <w:r>
        <w:rPr>
          <w:rFonts w:hint="eastAsia" w:ascii="仿宋_GB2312" w:hAnsi="仿宋_GB2312" w:eastAsia="仿宋_GB2312" w:cs="仿宋_GB2312"/>
          <w:sz w:val="32"/>
          <w:szCs w:val="32"/>
          <w:highlight w:val="none"/>
          <w:lang w:val="en-US" w:eastAsia="zh-CN"/>
        </w:rPr>
        <w:t>12345及12342市政府公开电话运营经费</w:t>
      </w:r>
      <w:r>
        <w:rPr>
          <w:rFonts w:ascii="Times New Roman" w:hAnsi="Times New Roman" w:eastAsia="仿宋_GB2312"/>
          <w:kern w:val="2"/>
          <w:sz w:val="32"/>
          <w:szCs w:val="32"/>
          <w:lang w:val="zh-CN"/>
        </w:rPr>
        <w:t>项目绩效自评得分为</w:t>
      </w:r>
      <w:r>
        <w:rPr>
          <w:rFonts w:hint="eastAsia" w:ascii="Times New Roman" w:hAnsi="Times New Roman" w:eastAsia="仿宋_GB2312"/>
          <w:kern w:val="2"/>
          <w:sz w:val="32"/>
          <w:szCs w:val="32"/>
          <w:lang w:val="en-US" w:eastAsia="zh-CN"/>
        </w:rPr>
        <w:t>99.62</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3440.67</w:t>
      </w:r>
      <w:r>
        <w:rPr>
          <w:rFonts w:ascii="Times New Roman" w:eastAsia="仿宋_GB2312"/>
          <w:b w:val="0"/>
          <w:sz w:val="32"/>
          <w:szCs w:val="32"/>
        </w:rPr>
        <w:t>万元，执行数为</w:t>
      </w:r>
      <w:r>
        <w:rPr>
          <w:rFonts w:hint="eastAsia" w:ascii="Times New Roman" w:eastAsia="仿宋_GB2312"/>
          <w:b w:val="0"/>
          <w:sz w:val="32"/>
          <w:szCs w:val="32"/>
          <w:lang w:val="en-US" w:eastAsia="zh-CN"/>
        </w:rPr>
        <w:t>3308.54</w:t>
      </w:r>
      <w:r>
        <w:rPr>
          <w:rFonts w:ascii="Times New Roman" w:eastAsia="仿宋_GB2312"/>
          <w:b w:val="0"/>
          <w:sz w:val="32"/>
          <w:szCs w:val="32"/>
        </w:rPr>
        <w:t>万元，完成预算的</w:t>
      </w:r>
      <w:r>
        <w:rPr>
          <w:rFonts w:hint="eastAsia" w:ascii="Times New Roman" w:eastAsia="仿宋_GB2312"/>
          <w:b w:val="0"/>
          <w:sz w:val="32"/>
          <w:szCs w:val="32"/>
          <w:lang w:val="en-US" w:eastAsia="zh-CN"/>
        </w:rPr>
        <w:t>96.16</w:t>
      </w:r>
      <w:r>
        <w:rPr>
          <w:rFonts w:ascii="Times New Roman" w:eastAsia="仿宋_GB2312"/>
          <w:b w:val="0"/>
          <w:sz w:val="32"/>
          <w:szCs w:val="32"/>
        </w:rPr>
        <w:t>%。</w:t>
      </w:r>
      <w:r>
        <w:rPr>
          <w:rFonts w:hint="eastAsia" w:ascii="Times New Roman" w:eastAsia="仿宋_GB2312"/>
          <w:b w:val="0"/>
          <w:color w:val="auto"/>
          <w:sz w:val="32"/>
          <w:szCs w:val="32"/>
          <w:lang w:eastAsia="zh-CN"/>
        </w:rPr>
        <w:t>通过项目实施</w:t>
      </w:r>
      <w:r>
        <w:rPr>
          <w:rFonts w:hint="eastAsia" w:ascii="仿宋_GB2312" w:hAnsi="仿宋_GB2312" w:eastAsia="仿宋_GB2312" w:cs="仿宋_GB2312"/>
          <w:color w:val="auto"/>
          <w:kern w:val="2"/>
          <w:sz w:val="32"/>
          <w:szCs w:val="32"/>
          <w:shd w:val="clear"/>
          <w:lang w:val="zh-CN"/>
        </w:rPr>
        <w:t>确保市政府公开电话正常运转，</w:t>
      </w:r>
      <w:r>
        <w:rPr>
          <w:rFonts w:hint="eastAsia" w:ascii="仿宋_GB2312" w:hAnsi="仿宋_GB2312" w:eastAsia="仿宋_GB2312" w:cs="仿宋_GB2312"/>
          <w:color w:val="auto"/>
          <w:sz w:val="32"/>
          <w:szCs w:val="32"/>
          <w:shd w:val="clear"/>
        </w:rPr>
        <w:t>畅通群众诉求渠道</w:t>
      </w:r>
      <w:r>
        <w:rPr>
          <w:rFonts w:hint="eastAsia" w:ascii="仿宋_GB2312" w:hAnsi="仿宋_GB2312" w:eastAsia="仿宋_GB2312" w:cs="仿宋_GB2312"/>
          <w:color w:val="auto"/>
          <w:sz w:val="32"/>
          <w:szCs w:val="32"/>
          <w:shd w:val="clear"/>
          <w:lang w:eastAsia="zh-CN"/>
        </w:rPr>
        <w:t>。</w:t>
      </w:r>
      <w:r>
        <w:rPr>
          <w:rFonts w:hint="eastAsia" w:ascii="仿宋_GB2312" w:hAnsi="仿宋_GB2312" w:eastAsia="仿宋_GB2312" w:cs="仿宋_GB2312"/>
          <w:color w:val="auto"/>
          <w:kern w:val="2"/>
          <w:sz w:val="32"/>
          <w:szCs w:val="32"/>
          <w:shd w:val="clear"/>
          <w:lang w:val="zh-CN"/>
        </w:rPr>
        <w:t>存在的主要问题及原因是：承办单位解决群众合理诉求的力度仍需加大，</w:t>
      </w:r>
      <w:r>
        <w:rPr>
          <w:rFonts w:hint="eastAsia" w:ascii="仿宋_GB2312" w:hAnsi="仿宋_GB2312" w:eastAsia="仿宋_GB2312" w:cs="仿宋_GB2312"/>
          <w:color w:val="auto"/>
          <w:kern w:val="2"/>
          <w:sz w:val="32"/>
          <w:szCs w:val="32"/>
          <w:shd w:val="clear" w:fill="FFFFFF" w:themeFill="background1"/>
          <w:lang w:val="zh-CN"/>
        </w:rPr>
        <w:t>下一步将</w:t>
      </w:r>
      <w:r>
        <w:rPr>
          <w:rFonts w:hint="eastAsia" w:ascii="仿宋_GB2312" w:hAnsi="仿宋_GB2312" w:eastAsia="仿宋_GB2312" w:cs="仿宋_GB2312"/>
          <w:color w:val="auto"/>
          <w:sz w:val="32"/>
          <w:szCs w:val="32"/>
          <w:shd w:val="clear"/>
          <w:lang w:eastAsia="zh-CN"/>
        </w:rPr>
        <w:t>强化</w:t>
      </w:r>
      <w:r>
        <w:rPr>
          <w:rFonts w:hint="eastAsia" w:ascii="仿宋_GB2312" w:hAnsi="仿宋_GB2312" w:eastAsia="仿宋_GB2312" w:cs="仿宋_GB2312"/>
          <w:color w:val="auto"/>
          <w:sz w:val="32"/>
          <w:szCs w:val="32"/>
          <w:shd w:val="clear"/>
        </w:rPr>
        <w:t>督办力度，</w:t>
      </w:r>
      <w:r>
        <w:rPr>
          <w:rFonts w:hint="eastAsia" w:ascii="仿宋_GB2312" w:hAnsi="仿宋_GB2312" w:eastAsia="仿宋_GB2312" w:cs="仿宋_GB2312"/>
          <w:color w:val="auto"/>
          <w:kern w:val="2"/>
          <w:sz w:val="32"/>
          <w:szCs w:val="32"/>
          <w:shd w:val="clear" w:fill="FFFFFF" w:themeFill="background1"/>
          <w:lang w:val="zh-CN"/>
        </w:rPr>
        <w:t>持续</w:t>
      </w:r>
      <w:r>
        <w:rPr>
          <w:rFonts w:hint="eastAsia" w:ascii="仿宋_GB2312" w:hAnsi="仿宋_GB2312" w:eastAsia="仿宋_GB2312" w:cs="仿宋_GB2312"/>
          <w:color w:val="auto"/>
          <w:sz w:val="32"/>
          <w:szCs w:val="32"/>
          <w:shd w:val="clear"/>
        </w:rPr>
        <w:t>提升政府服务水平</w:t>
      </w:r>
      <w:r>
        <w:rPr>
          <w:rFonts w:hint="eastAsia" w:ascii="仿宋_GB2312" w:hAnsi="仿宋_GB2312" w:eastAsia="仿宋_GB2312" w:cs="仿宋_GB2312"/>
          <w:color w:val="auto"/>
          <w:sz w:val="32"/>
          <w:szCs w:val="32"/>
          <w:shd w:val="clear"/>
          <w:lang w:eastAsia="zh-CN"/>
        </w:rPr>
        <w:t>及</w:t>
      </w:r>
      <w:r>
        <w:rPr>
          <w:rFonts w:hint="eastAsia" w:ascii="仿宋_GB2312" w:hAnsi="仿宋_GB2312" w:eastAsia="仿宋_GB2312" w:cs="仿宋_GB2312"/>
          <w:color w:val="auto"/>
          <w:sz w:val="32"/>
          <w:szCs w:val="32"/>
          <w:shd w:val="clear"/>
        </w:rPr>
        <w:t>维护社会稳定能力</w:t>
      </w:r>
      <w:r>
        <w:rPr>
          <w:rFonts w:hint="eastAsia" w:ascii="仿宋_GB2312" w:hAnsi="仿宋_GB2312" w:eastAsia="仿宋_GB2312" w:cs="仿宋_GB2312"/>
          <w:color w:val="auto"/>
          <w:kern w:val="2"/>
          <w:sz w:val="32"/>
          <w:szCs w:val="32"/>
          <w:shd w:val="clear"/>
          <w:lang w:val="zh-CN"/>
        </w:rPr>
        <w:t>。</w:t>
      </w:r>
    </w:p>
    <w:p>
      <w:pPr>
        <w:pStyle w:val="11"/>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Times New Roman" w:hAnsi="Times New Roman" w:eastAsia="仿宋_GB2312"/>
          <w:kern w:val="2"/>
          <w:sz w:val="32"/>
          <w:szCs w:val="32"/>
          <w:lang w:val="zh-CN"/>
        </w:rPr>
        <w:t>市政府微博、微信建设运维经费项目：根据年初设定的绩效目标，市政府微博、微信建设运维经费项目绩效自评得分为</w:t>
      </w:r>
      <w:r>
        <w:rPr>
          <w:rFonts w:hint="eastAsia" w:ascii="Times New Roman" w:hAnsi="Times New Roman" w:eastAsia="仿宋_GB2312"/>
          <w:kern w:val="2"/>
          <w:sz w:val="32"/>
          <w:szCs w:val="32"/>
          <w:lang w:val="en-US" w:eastAsia="zh-CN"/>
        </w:rPr>
        <w:t>99.99分（绩效自评表附后）。全年预算数为104万元，执行数为103.9万元，完成预算的99.90%。通过</w:t>
      </w:r>
      <w:r>
        <w:rPr>
          <w:rFonts w:hint="eastAsia" w:ascii="仿宋_GB2312" w:hAnsi="仿宋_GB2312" w:eastAsia="仿宋_GB2312" w:cs="仿宋_GB2312"/>
          <w:b w:val="0"/>
          <w:sz w:val="32"/>
          <w:szCs w:val="32"/>
          <w:lang w:eastAsia="zh-CN"/>
        </w:rPr>
        <w:t>项目实施，将政务新媒体打造成了更加权威的信息发布、解读回应、政民互动、办事服务平台，为企业和群众提供了足够的互动机会。未发现问题。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公务服务和会务服务保障经费：根据年初设定的绩效目标，公务服务和会务服务保障经费项目绩效自评得分为</w:t>
      </w:r>
      <w:r>
        <w:rPr>
          <w:rFonts w:hint="eastAsia" w:ascii="仿宋_GB2312" w:hAnsi="仿宋_GB2312" w:eastAsia="仿宋_GB2312" w:cs="仿宋_GB2312"/>
          <w:b w:val="0"/>
          <w:sz w:val="32"/>
          <w:szCs w:val="32"/>
          <w:lang w:val="en-US" w:eastAsia="zh-CN"/>
        </w:rPr>
        <w:t>99.99分（绩效自评表附后）。全年预算数为185万元，执行数为184.77万元，完成预算的99.87%。通过项目实施保障5号楼的公务服务及会务服务，确保5号楼各项会议正常运转。未发现问题。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办公室综合业务保障经费：根据年初设定的绩效目标，办公室综合业务保障经费项目绩效自评得分为</w:t>
      </w:r>
      <w:r>
        <w:rPr>
          <w:rFonts w:hint="eastAsia" w:ascii="仿宋_GB2312" w:hAnsi="仿宋_GB2312" w:eastAsia="仿宋_GB2312" w:cs="仿宋_GB2312"/>
          <w:b w:val="0"/>
          <w:sz w:val="32"/>
          <w:szCs w:val="32"/>
          <w:lang w:val="en-US" w:eastAsia="zh-CN"/>
        </w:rPr>
        <w:t>99.13分（绩效自评表附后）。全年预算数为217.66万元，执行数为198.78万元，完成预算的91.33%。该经费主要用于业务委托、工作调研、会议召开等，确保市政府办公室正常运转。未发现问题。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公益损害及环境污染举报奖励经费：根据年初设定的绩效目标，公益损害及环境污染举报奖励经费项目绩效自评得分为</w:t>
      </w:r>
      <w:r>
        <w:rPr>
          <w:rFonts w:hint="eastAsia" w:ascii="仿宋_GB2312" w:hAnsi="仿宋_GB2312" w:eastAsia="仿宋_GB2312" w:cs="仿宋_GB2312"/>
          <w:b w:val="0"/>
          <w:sz w:val="32"/>
          <w:szCs w:val="32"/>
          <w:lang w:val="en-US" w:eastAsia="zh-CN"/>
        </w:rPr>
        <w:t>90.29分（绩效自评表附后）。全年预算数为5万元，执行数为0.146万元，完成预算的2.92%。通过项目实施提升市民举报积极性，维护城市良好公共环境。未发现问题。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市政府驻京联络处经费：根据年初设定的绩效目标，市政府驻京联络处经费项目绩效自评得分为</w:t>
      </w:r>
      <w:r>
        <w:rPr>
          <w:rFonts w:hint="eastAsia" w:ascii="仿宋_GB2312" w:hAnsi="仿宋_GB2312" w:eastAsia="仿宋_GB2312" w:cs="仿宋_GB2312"/>
          <w:b w:val="0"/>
          <w:sz w:val="32"/>
          <w:szCs w:val="32"/>
          <w:lang w:val="en-US" w:eastAsia="zh-CN"/>
        </w:rPr>
        <w:t>100分（绩效自评表附后）。全年预算数为500万元，执行数为500万元，完成预算的100%。该经费用于驻京联络处日常办公，确保工作正常运转。未发现问题。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法律顾问经费：根据年初设定的绩效目标，业务培训费项目绩效自评得分为</w:t>
      </w:r>
      <w:r>
        <w:rPr>
          <w:rFonts w:hint="eastAsia" w:ascii="仿宋_GB2312" w:hAnsi="仿宋_GB2312" w:eastAsia="仿宋_GB2312" w:cs="仿宋_GB2312"/>
          <w:b w:val="0"/>
          <w:sz w:val="32"/>
          <w:szCs w:val="32"/>
          <w:lang w:val="en-US" w:eastAsia="zh-CN"/>
        </w:rPr>
        <w:t>98.96分（绩效自评表附后）。全年预算数为12万元，执行数为10.75万元，完成预算的89.58%。通过项目实施，用于聘请律师进行法律指导，确保业务文件合法合规。未发现问题。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业务培训费：根据年初设定的绩效目标，业务培训费项目绩效自评得分为</w:t>
      </w:r>
      <w:r>
        <w:rPr>
          <w:rFonts w:hint="eastAsia" w:ascii="仿宋_GB2312" w:hAnsi="仿宋_GB2312" w:eastAsia="仿宋_GB2312" w:cs="仿宋_GB2312"/>
          <w:b w:val="0"/>
          <w:sz w:val="32"/>
          <w:szCs w:val="32"/>
          <w:lang w:val="en-US" w:eastAsia="zh-CN"/>
        </w:rPr>
        <w:t>100分（绩效自评表附后）。全年预算数为21.71万元，执行数为21.71万元，完成预算的100%。通过项目实施，组织大型培训活动，促进人员综合素质的提升。未发现问题。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val="0"/>
          <w:sz w:val="32"/>
          <w:szCs w:val="32"/>
          <w:lang w:eastAsia="zh-CN"/>
        </w:rPr>
        <w:t>文件资料印刷费：根据年初设定的绩效目标，文件资料印刷费项目绩效自评得分为</w:t>
      </w:r>
      <w:r>
        <w:rPr>
          <w:rFonts w:hint="eastAsia" w:ascii="仿宋_GB2312" w:hAnsi="仿宋_GB2312" w:eastAsia="仿宋_GB2312" w:cs="仿宋_GB2312"/>
          <w:b w:val="0"/>
          <w:sz w:val="32"/>
          <w:szCs w:val="32"/>
          <w:lang w:val="en-US" w:eastAsia="zh-CN"/>
        </w:rPr>
        <w:t>100分（绩效自评表附后）。全年预算数为74.92万元，执行数为74.92万元，完成预算的100%。通过项目实施，用于文件印刷，确保全年日常工作开展。未发现问题。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eastAsia="zh-CN"/>
        </w:rPr>
        <w:t>专项邮电费：根据年初设定的绩效目标，专项邮电费项目绩效自评得分为</w:t>
      </w:r>
      <w:r>
        <w:rPr>
          <w:rFonts w:hint="eastAsia" w:ascii="仿宋_GB2312" w:hAnsi="仿宋_GB2312" w:eastAsia="仿宋_GB2312" w:cs="仿宋_GB2312"/>
          <w:b w:val="0"/>
          <w:sz w:val="32"/>
          <w:szCs w:val="32"/>
          <w:lang w:val="en-US" w:eastAsia="zh-CN"/>
        </w:rPr>
        <w:t>96.83分（绩效自评表附后）。全年预算数为15万元，执行数为15万元，完成预算的68.29%。该项目经费主要用于交换中心邮件费，确保公文在区县间正常流转。未发现问题。</w:t>
      </w:r>
    </w:p>
    <w:p>
      <w:pPr>
        <w:pStyle w:val="11"/>
        <w:widowControl/>
        <w:spacing w:beforeAutospacing="0" w:afterAutospacing="0"/>
        <w:ind w:firstLine="640" w:firstLineChars="200"/>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br w:type="page"/>
      </w:r>
    </w:p>
    <w:tbl>
      <w:tblPr>
        <w:tblW w:w="90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350"/>
        <w:gridCol w:w="966"/>
        <w:gridCol w:w="980"/>
        <w:gridCol w:w="966"/>
        <w:gridCol w:w="981"/>
        <w:gridCol w:w="884"/>
        <w:gridCol w:w="244"/>
        <w:gridCol w:w="974"/>
        <w:gridCol w:w="17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882" w:hRule="atLeast"/>
        </w:trPr>
        <w:tc>
          <w:tcPr>
            <w:tcW w:w="9052" w:type="dxa"/>
            <w:gridSpan w:val="9"/>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71" w:hRule="atLeast"/>
        </w:trPr>
        <w:tc>
          <w:tcPr>
            <w:tcW w:w="9052" w:type="dxa"/>
            <w:gridSpan w:val="9"/>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345" w:type="dxa"/>
            <w:gridSpan w:val="8"/>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707" w:type="dxa"/>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0" w:hRule="atLeast"/>
        </w:trPr>
        <w:tc>
          <w:tcPr>
            <w:tcW w:w="1350" w:type="dxa"/>
            <w:tcBorders>
              <w:top w:val="single" w:color="000000" w:sz="4" w:space="0"/>
              <w:left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4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12345市政府公开电话及12342环境举报专线专项经费（专项资金）</w:t>
            </w:r>
          </w:p>
        </w:tc>
        <w:tc>
          <w:tcPr>
            <w:tcW w:w="98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809"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46"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94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02"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3440.67</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98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3440.67</w:t>
            </w:r>
          </w:p>
        </w:tc>
        <w:tc>
          <w:tcPr>
            <w:tcW w:w="88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21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3308.539683</w:t>
            </w:r>
          </w:p>
        </w:tc>
        <w:tc>
          <w:tcPr>
            <w:tcW w:w="170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3440.67</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8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3440.67</w:t>
            </w:r>
          </w:p>
        </w:tc>
        <w:tc>
          <w:tcPr>
            <w:tcW w:w="88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21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3308.539683</w:t>
            </w:r>
          </w:p>
        </w:tc>
        <w:tc>
          <w:tcPr>
            <w:tcW w:w="1707"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8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21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912"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83"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912"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用于市政府公开电话人员及场地等费用，确保市政府公开电话正常运转</w:t>
            </w:r>
          </w:p>
        </w:tc>
        <w:tc>
          <w:tcPr>
            <w:tcW w:w="3083" w:type="dxa"/>
            <w:gridSpan w:val="4"/>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用于市政府12345公开电话人员及场地等费用，确保市政府公开电话正常运转</w:t>
            </w:r>
          </w:p>
        </w:tc>
        <w:tc>
          <w:tcPr>
            <w:tcW w:w="170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912"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3083"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912"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3083"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707"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restart"/>
            <w:tcBorders>
              <w:top w:val="single" w:color="000000" w:sz="4" w:space="0"/>
              <w:left w:val="single" w:color="000000" w:sz="4" w:space="0"/>
              <w:bottom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94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350"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vMerge w:val="restart"/>
            <w:tcBorders>
              <w:top w:val="single" w:color="000000" w:sz="4" w:space="0"/>
              <w:left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980" w:type="dxa"/>
            <w:tcBorders>
              <w:top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94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实际工作的接线人数</w:t>
            </w:r>
          </w:p>
        </w:tc>
        <w:tc>
          <w:tcPr>
            <w:tcW w:w="11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≥300人</w:t>
            </w:r>
          </w:p>
        </w:tc>
        <w:tc>
          <w:tcPr>
            <w:tcW w:w="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314人</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350"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80" w:type="dxa"/>
            <w:tcBorders>
              <w:top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94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接线效果与预期对比</w:t>
            </w:r>
          </w:p>
        </w:tc>
        <w:tc>
          <w:tcPr>
            <w:tcW w:w="11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350"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80" w:type="dxa"/>
            <w:tcBorders>
              <w:top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94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接线的时效性</w:t>
            </w:r>
          </w:p>
        </w:tc>
        <w:tc>
          <w:tcPr>
            <w:tcW w:w="11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≤60秒</w:t>
            </w:r>
          </w:p>
        </w:tc>
        <w:tc>
          <w:tcPr>
            <w:tcW w:w="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30秒</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350"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vMerge w:val="continue"/>
            <w:tcBorders>
              <w:top w:val="single" w:color="000000" w:sz="4" w:space="0"/>
              <w:left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80" w:type="dxa"/>
            <w:tcBorders>
              <w:top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94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租赁成本</w:t>
            </w:r>
          </w:p>
        </w:tc>
        <w:tc>
          <w:tcPr>
            <w:tcW w:w="11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≤422万元</w:t>
            </w:r>
          </w:p>
        </w:tc>
        <w:tc>
          <w:tcPr>
            <w:tcW w:w="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422万元</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50"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80" w:type="dxa"/>
            <w:tcBorders>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94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1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96.16%</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35" w:hRule="atLeast"/>
        </w:trPr>
        <w:tc>
          <w:tcPr>
            <w:tcW w:w="1350"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left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980" w:type="dxa"/>
            <w:tcBorders>
              <w:top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947" w:type="dxa"/>
            <w:gridSpan w:val="2"/>
            <w:tcBorders>
              <w:top w:val="single" w:color="000000" w:sz="4" w:space="0"/>
              <w:left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群众知晓率</w:t>
            </w:r>
          </w:p>
        </w:tc>
        <w:tc>
          <w:tcPr>
            <w:tcW w:w="11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35" w:hRule="atLeast"/>
        </w:trPr>
        <w:tc>
          <w:tcPr>
            <w:tcW w:w="1350"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96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1947"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群众满意度</w:t>
            </w:r>
          </w:p>
        </w:tc>
        <w:tc>
          <w:tcPr>
            <w:tcW w:w="11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97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50"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5995"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7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99.62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50" w:type="dxa"/>
            <w:tcBorders>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702" w:type="dxa"/>
            <w:gridSpan w:val="8"/>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据实支付，结余资金已退回财政。</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90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419"/>
        <w:gridCol w:w="822"/>
        <w:gridCol w:w="1009"/>
        <w:gridCol w:w="1012"/>
        <w:gridCol w:w="1012"/>
        <w:gridCol w:w="1016"/>
        <w:gridCol w:w="1027"/>
        <w:gridCol w:w="16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9013" w:type="dxa"/>
            <w:gridSpan w:val="8"/>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outlineLvl w:val="9"/>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013" w:type="dxa"/>
            <w:gridSpan w:val="8"/>
            <w:shd w:val="clear"/>
            <w:vAlign w:val="bottom"/>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bottom"/>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317" w:type="dxa"/>
            <w:gridSpan w:val="7"/>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696" w:type="dxa"/>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tcBorders>
              <w:top w:val="single" w:color="000000" w:sz="4" w:space="0"/>
              <w:left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82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2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市政府微博、微信建设运维经费（专项资金）</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739"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83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43"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103.9</w:t>
            </w:r>
          </w:p>
        </w:tc>
        <w:tc>
          <w:tcPr>
            <w:tcW w:w="169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righ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103.9</w:t>
            </w:r>
          </w:p>
        </w:tc>
        <w:tc>
          <w:tcPr>
            <w:tcW w:w="169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left"/>
              <w:outlineLvl w:val="9"/>
              <w:rPr>
                <w:rFonts w:hint="eastAsia" w:ascii="宋体" w:hAnsi="宋体" w:eastAsia="宋体" w:cs="宋体"/>
                <w:i w:val="0"/>
                <w:color w:val="000000"/>
                <w:sz w:val="20"/>
                <w:szCs w:val="20"/>
                <w:u w:val="none"/>
              </w:rPr>
            </w:pPr>
          </w:p>
        </w:tc>
        <w:tc>
          <w:tcPr>
            <w:tcW w:w="169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43"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5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843"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用于市政府微博、微信公众号建设运维，确保工作正常开展</w:t>
            </w:r>
          </w:p>
        </w:tc>
        <w:tc>
          <w:tcPr>
            <w:tcW w:w="305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资金主要用于市政府微博、微信公众号建设运维，确保工作正常开展</w:t>
            </w:r>
          </w:p>
        </w:tc>
        <w:tc>
          <w:tcPr>
            <w:tcW w:w="169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843"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305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69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2843"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305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696" w:type="dxa"/>
            <w:vMerge w:val="continue"/>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restart"/>
            <w:tcBorders>
              <w:top w:val="single" w:color="000000" w:sz="4" w:space="0"/>
              <w:left w:val="single" w:color="000000" w:sz="4" w:space="0"/>
              <w:bottom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82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vMerge w:val="restart"/>
            <w:tcBorders>
              <w:top w:val="single" w:color="000000" w:sz="4" w:space="0"/>
              <w:left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09" w:type="dxa"/>
            <w:tcBorders>
              <w:top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实际发送的微博、微信公众号条数</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≥30条/月</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245条</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vMerge w:val="continue"/>
            <w:tcBorders>
              <w:top w:val="single" w:color="000000" w:sz="4" w:space="0"/>
              <w:left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009" w:type="dxa"/>
            <w:tcBorders>
              <w:top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业务完成质量</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vMerge w:val="continue"/>
            <w:tcBorders>
              <w:top w:val="single" w:color="000000" w:sz="4" w:space="0"/>
              <w:left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009" w:type="dxa"/>
            <w:tcBorders>
              <w:top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业务完成的时效性与计划差额</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≤1天</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0.5天</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19"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vMerge w:val="continue"/>
            <w:tcBorders>
              <w:top w:val="single" w:color="000000" w:sz="4" w:space="0"/>
              <w:left w:val="single" w:color="000000" w:sz="4" w:space="0"/>
              <w:right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1009" w:type="dxa"/>
            <w:tcBorders>
              <w:top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≤104万元</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103.9万元</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419"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09" w:type="dxa"/>
            <w:tcBorders>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99.90%</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419"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left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09" w:type="dxa"/>
            <w:tcBorders>
              <w:top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微博、微信公众号市民知晓度</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419"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82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0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024"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群众满意度</w:t>
            </w:r>
          </w:p>
        </w:tc>
        <w:tc>
          <w:tcPr>
            <w:tcW w:w="101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19" w:type="dxa"/>
            <w:vMerge w:val="continue"/>
            <w:tcBorders>
              <w:top w:val="single" w:color="000000" w:sz="4" w:space="0"/>
              <w:left w:val="single" w:color="000000" w:sz="4" w:space="0"/>
              <w:bottom w:val="single" w:color="000000" w:sz="4" w:space="0"/>
            </w:tcBorders>
            <w:shd w:val="clear"/>
            <w:vAlign w:val="center"/>
          </w:tcPr>
          <w:p>
            <w:pPr>
              <w:keepNext w:val="0"/>
              <w:keepLines w:val="0"/>
              <w:pageBreakBefore w:val="0"/>
              <w:widowControl/>
              <w:kinsoku/>
              <w:wordWrap/>
              <w:overflowPunct/>
              <w:topLinePunct w:val="0"/>
              <w:autoSpaceDE/>
              <w:autoSpaceDN/>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宋体"/>
                <w:i w:val="0"/>
                <w:color w:val="000000"/>
                <w:sz w:val="20"/>
                <w:szCs w:val="20"/>
                <w:u w:val="none"/>
              </w:rPr>
            </w:pPr>
          </w:p>
        </w:tc>
        <w:tc>
          <w:tcPr>
            <w:tcW w:w="5898"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69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419" w:type="dxa"/>
            <w:tcBorders>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left"/>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594"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firstLine="0" w:firstLineChars="0"/>
              <w:jc w:val="center"/>
              <w:textAlignment w:val="center"/>
              <w:outlineLvl w:val="9"/>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据实支付，结余资金已退回财政。</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86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380"/>
        <w:gridCol w:w="999"/>
        <w:gridCol w:w="993"/>
        <w:gridCol w:w="999"/>
        <w:gridCol w:w="999"/>
        <w:gridCol w:w="1005"/>
        <w:gridCol w:w="1023"/>
        <w:gridCol w:w="12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8680" w:type="dxa"/>
            <w:gridSpan w:val="8"/>
            <w:shd w:val="cle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680" w:type="dxa"/>
            <w:gridSpan w:val="8"/>
            <w:shd w:val="cle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398" w:type="dxa"/>
            <w:gridSpan w:val="7"/>
            <w:shd w:val="cle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282" w:type="dxa"/>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9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公务服务和会务服务保障经费（专项资金）</w:t>
            </w: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310"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9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2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9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184.7668</w:t>
            </w:r>
          </w:p>
        </w:tc>
        <w:tc>
          <w:tcPr>
            <w:tcW w:w="128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9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184.7668</w:t>
            </w:r>
          </w:p>
        </w:tc>
        <w:tc>
          <w:tcPr>
            <w:tcW w:w="128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93"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991"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27"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2991"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用于业务委托、调研等，确保市政府办公室正常运转</w:t>
            </w:r>
          </w:p>
        </w:tc>
        <w:tc>
          <w:tcPr>
            <w:tcW w:w="3027"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完成全年业务委托、调研等，确保市政府办公室正常运转</w:t>
            </w:r>
          </w:p>
        </w:tc>
        <w:tc>
          <w:tcPr>
            <w:tcW w:w="128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2991"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27"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2991"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27"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28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9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vMerge w:val="restart"/>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993" w:type="dxa"/>
            <w:tcBorders>
              <w:top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服务天数</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=365天</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365天</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服务时效</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≤0.5小时</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5分钟</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3"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≤185万元</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184.7668万元</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93" w:type="dxa"/>
            <w:tcBorders>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99.87%</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tcBorders>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993"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突发事件处理效率较上年提升</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9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93"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99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5号楼工作人员满意度</w:t>
            </w:r>
          </w:p>
        </w:tc>
        <w:tc>
          <w:tcPr>
            <w:tcW w:w="100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2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6018"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80" w:type="dxa"/>
            <w:tcBorders>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300"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据实支付，结余资金已退回财政。</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85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252"/>
        <w:gridCol w:w="1008"/>
        <w:gridCol w:w="1017"/>
        <w:gridCol w:w="1008"/>
        <w:gridCol w:w="1017"/>
        <w:gridCol w:w="1012"/>
        <w:gridCol w:w="1026"/>
        <w:gridCol w:w="11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8532" w:type="dxa"/>
            <w:gridSpan w:val="8"/>
            <w:shd w:val="cle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532" w:type="dxa"/>
            <w:gridSpan w:val="8"/>
            <w:shd w:val="cle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340" w:type="dxa"/>
            <w:gridSpan w:val="7"/>
            <w:shd w:val="cle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192" w:type="dxa"/>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252"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办公室综合业务保障经费（专项资金）</w:t>
            </w:r>
          </w:p>
        </w:tc>
        <w:tc>
          <w:tcPr>
            <w:tcW w:w="101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230"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3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1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217.66</w:t>
            </w: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1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217.66</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198.7846</w:t>
            </w:r>
          </w:p>
        </w:tc>
        <w:tc>
          <w:tcPr>
            <w:tcW w:w="119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1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217.66</w:t>
            </w: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1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217.66</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198.7846</w:t>
            </w:r>
          </w:p>
        </w:tc>
        <w:tc>
          <w:tcPr>
            <w:tcW w:w="119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17"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17"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033"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5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33"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用于业务委托、调研等，确保市政府办公室正常运转</w:t>
            </w:r>
          </w:p>
        </w:tc>
        <w:tc>
          <w:tcPr>
            <w:tcW w:w="305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完成全年的业务委托、调研等，确保市政府办公室正常运转</w:t>
            </w:r>
          </w:p>
        </w:tc>
        <w:tc>
          <w:tcPr>
            <w:tcW w:w="119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5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33"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5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9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restart"/>
            <w:tcBorders>
              <w:top w:val="single" w:color="000000" w:sz="4" w:space="0"/>
              <w:left w:val="single" w:color="000000" w:sz="4" w:space="0"/>
              <w:bottom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1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vMerge w:val="restart"/>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产出指标（40分）</w:t>
            </w:r>
          </w:p>
        </w:tc>
        <w:tc>
          <w:tcPr>
            <w:tcW w:w="1017" w:type="dxa"/>
            <w:tcBorders>
              <w:top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委托服务单位数量</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≥5个</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9个</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1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业务完成质量</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1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业务完成的时效性</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≤1星期</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3天</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1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委托业务次均成本</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≤10万元</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6.55万元</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0" w:hRule="atLeast"/>
        </w:trPr>
        <w:tc>
          <w:tcPr>
            <w:tcW w:w="1252"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预算执行率指标（10分）</w:t>
            </w:r>
          </w:p>
        </w:tc>
        <w:tc>
          <w:tcPr>
            <w:tcW w:w="1017" w:type="dxa"/>
            <w:tcBorders>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91.33%</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252"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tcBorders>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效益指标（40分） </w:t>
            </w:r>
          </w:p>
        </w:tc>
        <w:tc>
          <w:tcPr>
            <w:tcW w:w="101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工作正常开展率</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trPr>
        <w:tc>
          <w:tcPr>
            <w:tcW w:w="1252"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1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02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委托业务申请科室满意度</w:t>
            </w:r>
          </w:p>
        </w:tc>
        <w:tc>
          <w:tcPr>
            <w:tcW w:w="101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52"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6088"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19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99.13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52" w:type="dxa"/>
            <w:tcBorders>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280"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厉行勤俭节约、绿色办公，节约开支。</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91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425"/>
        <w:gridCol w:w="1035"/>
        <w:gridCol w:w="1035"/>
        <w:gridCol w:w="1035"/>
        <w:gridCol w:w="1035"/>
        <w:gridCol w:w="1035"/>
        <w:gridCol w:w="1035"/>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9150" w:type="dxa"/>
            <w:gridSpan w:val="8"/>
            <w:shd w:val="cle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150" w:type="dxa"/>
            <w:gridSpan w:val="8"/>
            <w:shd w:val="cle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635" w:type="dxa"/>
            <w:gridSpan w:val="7"/>
            <w:shd w:val="cle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515" w:type="dxa"/>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90" w:hRule="atLeast"/>
        </w:trPr>
        <w:tc>
          <w:tcPr>
            <w:tcW w:w="1425"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公益损害及环境污染举报奖励经费（专项资金）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8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0.146</w:t>
            </w:r>
          </w:p>
        </w:tc>
        <w:tc>
          <w:tcPr>
            <w:tcW w:w="151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0.146</w:t>
            </w:r>
          </w:p>
        </w:tc>
        <w:tc>
          <w:tcPr>
            <w:tcW w:w="151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10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0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用于公益损害及环境污染举报奖励，提升市民举报积极性</w:t>
            </w: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全年完成公益损害及环境污染举报奖励 79 次，提升市民举报积极性</w:t>
            </w:r>
          </w:p>
        </w:tc>
        <w:tc>
          <w:tcPr>
            <w:tcW w:w="151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51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restart"/>
            <w:tcBorders>
              <w:top w:val="single" w:color="000000" w:sz="4" w:space="0"/>
              <w:left w:val="single" w:color="000000" w:sz="4" w:space="0"/>
              <w:bottom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42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restart"/>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35" w:type="dxa"/>
            <w:tcBorders>
              <w:top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奖励次数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≥50次</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79次</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42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奖励金额</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42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奖励的及时性</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≤2月</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1个月</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42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0.146万元</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42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2.92%</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0.29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42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市民举报积极性提升率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42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举报人满意度</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42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6210"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51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90.29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425" w:type="dxa"/>
            <w:tcBorders>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725"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按照市民实际举报和核实情况进行奖励。</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88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245"/>
        <w:gridCol w:w="1035"/>
        <w:gridCol w:w="1035"/>
        <w:gridCol w:w="1035"/>
        <w:gridCol w:w="1035"/>
        <w:gridCol w:w="1035"/>
        <w:gridCol w:w="1035"/>
        <w:gridCol w:w="1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8835" w:type="dxa"/>
            <w:gridSpan w:val="8"/>
            <w:shd w:val="cle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835" w:type="dxa"/>
            <w:gridSpan w:val="8"/>
            <w:shd w:val="cle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455" w:type="dxa"/>
            <w:gridSpan w:val="7"/>
            <w:shd w:val="cle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380" w:type="dxa"/>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驻京联络处服务保障经费（专项资金）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450"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3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10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0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用于驻京联络处服务保障，确保工作正常开展</w:t>
            </w: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保障驻京联络处服务365天工作正常开展</w:t>
            </w:r>
          </w:p>
        </w:tc>
        <w:tc>
          <w:tcPr>
            <w:tcW w:w="13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restart"/>
            <w:tcBorders>
              <w:top w:val="single" w:color="000000" w:sz="4" w:space="0"/>
              <w:left w:val="single" w:color="000000" w:sz="4" w:space="0"/>
              <w:bottom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restart"/>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35" w:type="dxa"/>
            <w:tcBorders>
              <w:top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实际服务保障天数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=365天</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365天</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服务的时效性</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≤0.5小时</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5分钟</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4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≤500万元</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500万元</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4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24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服务保障的工作效率较上年提升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0" w:hRule="atLeast"/>
        </w:trPr>
        <w:tc>
          <w:tcPr>
            <w:tcW w:w="124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被服务领导满意度</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45"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6210"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45" w:type="dxa"/>
            <w:tcBorders>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590"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91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697"/>
        <w:gridCol w:w="964"/>
        <w:gridCol w:w="1"/>
        <w:gridCol w:w="959"/>
        <w:gridCol w:w="1091"/>
        <w:gridCol w:w="1090"/>
        <w:gridCol w:w="1082"/>
        <w:gridCol w:w="1091"/>
        <w:gridCol w:w="11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9102" w:type="dxa"/>
            <w:gridSpan w:val="9"/>
            <w:shd w:val="cle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9102" w:type="dxa"/>
            <w:gridSpan w:val="9"/>
            <w:shd w:val="cle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55" w:hRule="atLeast"/>
        </w:trPr>
        <w:tc>
          <w:tcPr>
            <w:tcW w:w="7975" w:type="dxa"/>
            <w:gridSpan w:val="8"/>
            <w:shd w:val="cle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127" w:type="dxa"/>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55" w:hRule="atLeast"/>
        </w:trPr>
        <w:tc>
          <w:tcPr>
            <w:tcW w:w="1697"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965"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5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法律顾问经费（专项资金）</w:t>
            </w:r>
          </w:p>
        </w:tc>
        <w:tc>
          <w:tcPr>
            <w:tcW w:w="109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300"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24"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18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73"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9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w:t>
            </w:r>
          </w:p>
        </w:tc>
        <w:tc>
          <w:tcPr>
            <w:tcW w:w="112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w:t>
            </w:r>
          </w:p>
        </w:tc>
        <w:tc>
          <w:tcPr>
            <w:tcW w:w="112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05"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gridSpan w:val="2"/>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0"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65" w:hRule="atLeast"/>
        </w:trPr>
        <w:tc>
          <w:tcPr>
            <w:tcW w:w="169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015" w:type="dxa"/>
            <w:gridSpan w:val="4"/>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263"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15" w:type="dxa"/>
            <w:gridSpan w:val="4"/>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用于聘请律师进行法律指导，确保业务文件合法合规</w:t>
            </w:r>
          </w:p>
        </w:tc>
        <w:tc>
          <w:tcPr>
            <w:tcW w:w="3263"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全年完成聘请律师进行法律指导32次，保障了业务文件合法合规</w:t>
            </w:r>
          </w:p>
        </w:tc>
        <w:tc>
          <w:tcPr>
            <w:tcW w:w="112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1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15"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0" w:hRule="atLeast"/>
        </w:trPr>
        <w:tc>
          <w:tcPr>
            <w:tcW w:w="169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015" w:type="dxa"/>
            <w:gridSpan w:val="4"/>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263"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697" w:type="dxa"/>
            <w:vMerge w:val="restart"/>
            <w:tcBorders>
              <w:top w:val="single" w:color="000000" w:sz="4" w:space="0"/>
              <w:left w:val="single" w:color="000000" w:sz="4" w:space="0"/>
              <w:bottom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96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18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vMerge w:val="restart"/>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产出指标（40分）</w:t>
            </w:r>
          </w:p>
        </w:tc>
        <w:tc>
          <w:tcPr>
            <w:tcW w:w="960" w:type="dxa"/>
            <w:gridSpan w:val="2"/>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18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实际聘请律师次数</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≥6次</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32次</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18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法律指导质量</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18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法律指导的时效性</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≤3天</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1天</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18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≤12万元</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10.75万元</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0"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60" w:type="dxa"/>
            <w:gridSpan w:val="2"/>
            <w:tcBorders>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18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89.58%</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8.96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vMerge w:val="restart"/>
            <w:tcBorders>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效益指标（40分）</w:t>
            </w:r>
          </w:p>
        </w:tc>
        <w:tc>
          <w:tcPr>
            <w:tcW w:w="960" w:type="dxa"/>
            <w:gridSpan w:val="2"/>
            <w:vMerge w:val="restart"/>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181"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单位业务合规性较上年提升</w:t>
            </w:r>
          </w:p>
        </w:tc>
        <w:tc>
          <w:tcPr>
            <w:tcW w:w="1082"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09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2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vMerge w:val="continue"/>
            <w:tcBorders>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0" w:type="dxa"/>
            <w:gridSpan w:val="2"/>
            <w:vMerge w:val="continue"/>
            <w:tcBorders>
              <w:top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2181"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82"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9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6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960" w:type="dxa"/>
            <w:gridSpan w:val="2"/>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18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法律咨询业务申请科室满意度</w:t>
            </w:r>
          </w:p>
        </w:tc>
        <w:tc>
          <w:tcPr>
            <w:tcW w:w="1082"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9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697"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6278"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12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98.96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55" w:hRule="atLeast"/>
        </w:trPr>
        <w:tc>
          <w:tcPr>
            <w:tcW w:w="1697" w:type="dxa"/>
            <w:tcBorders>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405" w:type="dxa"/>
            <w:gridSpan w:val="8"/>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根据实际工作需要聘请律师，节约财政资金。</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91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380"/>
        <w:gridCol w:w="1035"/>
        <w:gridCol w:w="1035"/>
        <w:gridCol w:w="1035"/>
        <w:gridCol w:w="1035"/>
        <w:gridCol w:w="1035"/>
        <w:gridCol w:w="1035"/>
        <w:gridCol w:w="15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9135" w:type="dxa"/>
            <w:gridSpan w:val="8"/>
            <w:shd w:val="clear"/>
            <w:vAlign w:val="center"/>
          </w:tcPr>
          <w:p>
            <w:pPr>
              <w:keepNext w:val="0"/>
              <w:keepLines w:val="0"/>
              <w:widowControl/>
              <w:suppressLineNumbers w:val="0"/>
              <w:jc w:val="center"/>
              <w:textAlignment w:val="center"/>
              <w:rPr>
                <w:rFonts w:hint="default" w:ascii="方正小标宋_GBK" w:hAnsi="方正小标宋_GBK" w:eastAsia="方正小标宋_GBK" w:cs="方正小标宋_GBK"/>
                <w:i w:val="0"/>
                <w:color w:val="000000"/>
                <w:kern w:val="0"/>
                <w:sz w:val="32"/>
                <w:szCs w:val="32"/>
                <w:u w:val="none"/>
                <w:lang w:val="en-US" w:eastAsia="zh-CN" w:bidi="ar"/>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135" w:type="dxa"/>
            <w:gridSpan w:val="8"/>
            <w:shd w:val="cle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7590" w:type="dxa"/>
            <w:gridSpan w:val="7"/>
            <w:shd w:val="cle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545" w:type="dxa"/>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业务培训费（专项资金）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61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54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w:t>
            </w:r>
          </w:p>
        </w:tc>
        <w:tc>
          <w:tcPr>
            <w:tcW w:w="15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10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105"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组织大型培训活动，确保培训人员综合素质提高</w:t>
            </w:r>
          </w:p>
        </w:tc>
        <w:tc>
          <w:tcPr>
            <w:tcW w:w="3105"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全年完成大型培训活动 1次，确保培训人员综合素质提高</w:t>
            </w:r>
          </w:p>
        </w:tc>
        <w:tc>
          <w:tcPr>
            <w:tcW w:w="1545"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105"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restart"/>
            <w:tcBorders>
              <w:top w:val="single" w:color="000000" w:sz="4" w:space="0"/>
              <w:left w:val="single" w:color="000000" w:sz="4" w:space="0"/>
              <w:bottom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restart"/>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35" w:type="dxa"/>
            <w:tcBorders>
              <w:top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培训次数</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=2次</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2次</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培训人员综合素质得到提高</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按年初计划及时培训</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≤1星期</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1星期</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培训成本</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≤27万元</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21.7076万元</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35" w:type="dxa"/>
            <w:tcBorders>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35"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确保培训人员综合素质较培训前有所提升</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满意度指标（10分）</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07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参训人员满意度</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03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38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6210"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54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380" w:type="dxa"/>
            <w:tcBorders>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755"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无</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95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264"/>
        <w:gridCol w:w="953"/>
        <w:gridCol w:w="1007"/>
        <w:gridCol w:w="953"/>
        <w:gridCol w:w="1526"/>
        <w:gridCol w:w="1304"/>
        <w:gridCol w:w="1526"/>
        <w:gridCol w:w="1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9594" w:type="dxa"/>
            <w:gridSpan w:val="8"/>
            <w:shd w:val="cle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9594" w:type="dxa"/>
            <w:gridSpan w:val="8"/>
            <w:shd w:val="cle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533" w:type="dxa"/>
            <w:gridSpan w:val="7"/>
            <w:shd w:val="cle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061" w:type="dxa"/>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64"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文件资料印刷费（专项资金）</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891"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6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830"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0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74.91824</w:t>
            </w: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74.91824 </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74.9175</w:t>
            </w:r>
          </w:p>
        </w:tc>
        <w:tc>
          <w:tcPr>
            <w:tcW w:w="106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74.91824</w:t>
            </w: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74.91824</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74.9175</w:t>
            </w:r>
          </w:p>
        </w:tc>
        <w:tc>
          <w:tcPr>
            <w:tcW w:w="10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07"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913"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4356"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2913"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用于文件印刷，确保工作正常开展</w:t>
            </w:r>
          </w:p>
        </w:tc>
        <w:tc>
          <w:tcPr>
            <w:tcW w:w="4356"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用于文件印刷，确保全年日常工作开展</w:t>
            </w:r>
          </w:p>
        </w:tc>
        <w:tc>
          <w:tcPr>
            <w:tcW w:w="106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2913"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4356"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2913"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4356"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6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restart"/>
            <w:tcBorders>
              <w:top w:val="single" w:color="000000" w:sz="4" w:space="0"/>
              <w:left w:val="single" w:color="000000" w:sz="4" w:space="0"/>
              <w:bottom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0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264"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vMerge w:val="restart"/>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（40分）</w:t>
            </w:r>
          </w:p>
        </w:tc>
        <w:tc>
          <w:tcPr>
            <w:tcW w:w="1007" w:type="dxa"/>
            <w:tcBorders>
              <w:top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印刷文件数量</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≥10000次</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20000次</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264"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印刷品合格率</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264"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印刷的及时性</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≤3天</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2天</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264"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00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≤80万元</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74.9175万元</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64"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07" w:type="dxa"/>
            <w:tcBorders>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0" w:hRule="atLeast"/>
        </w:trPr>
        <w:tc>
          <w:tcPr>
            <w:tcW w:w="1264"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tcBorders>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 xml:space="preserve">（40分） </w:t>
            </w:r>
          </w:p>
        </w:tc>
        <w:tc>
          <w:tcPr>
            <w:tcW w:w="1007"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公共服务水平提升情况与计划对比</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0" w:hRule="atLeast"/>
        </w:trPr>
        <w:tc>
          <w:tcPr>
            <w:tcW w:w="1264"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953"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00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服务对象满意度指标</w:t>
            </w:r>
          </w:p>
        </w:tc>
        <w:tc>
          <w:tcPr>
            <w:tcW w:w="2479"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使用人满意度</w:t>
            </w:r>
          </w:p>
        </w:tc>
        <w:tc>
          <w:tcPr>
            <w:tcW w:w="13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52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264"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7269"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06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64" w:type="dxa"/>
            <w:tcBorders>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8330"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据实支付，结余资金已退回财政。</w:t>
            </w:r>
          </w:p>
        </w:tc>
      </w:tr>
    </w:tbl>
    <w:p>
      <w:pPr>
        <w:widowControl/>
        <w:spacing w:before="0" w:beforeLines="0" w:beforeAutospacing="0" w:after="0" w:afterLines="0" w:afterAutospacing="0" w:line="360" w:lineRule="auto"/>
        <w:ind w:firstLine="200" w:firstLineChars="200"/>
        <w:jc w:val="left"/>
        <w:rPr>
          <w:rFonts w:ascii="Times New Roman" w:eastAsia="仿宋_GB2312"/>
          <w:b/>
          <w:sz w:val="32"/>
          <w:szCs w:val="32"/>
        </w:rPr>
      </w:pPr>
      <w:r>
        <w:rPr>
          <w:rFonts w:ascii="Times New Roman" w:eastAsia="仿宋_GB2312"/>
          <w:b/>
          <w:sz w:val="32"/>
          <w:szCs w:val="32"/>
        </w:rPr>
        <w:br w:type="page"/>
      </w:r>
    </w:p>
    <w:tbl>
      <w:tblPr>
        <w:tblW w:w="90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100"/>
        <w:gridCol w:w="1101"/>
        <w:gridCol w:w="1100"/>
        <w:gridCol w:w="1101"/>
        <w:gridCol w:w="1101"/>
        <w:gridCol w:w="1101"/>
        <w:gridCol w:w="1187"/>
        <w:gridCol w:w="13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Ex>
        <w:trPr>
          <w:trHeight w:val="540" w:hRule="atLeast"/>
        </w:trPr>
        <w:tc>
          <w:tcPr>
            <w:tcW w:w="9097" w:type="dxa"/>
            <w:gridSpan w:val="8"/>
            <w:shd w:val="cle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32"/>
                <w:szCs w:val="32"/>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15" w:hRule="atLeast"/>
        </w:trPr>
        <w:tc>
          <w:tcPr>
            <w:tcW w:w="9097" w:type="dxa"/>
            <w:gridSpan w:val="8"/>
            <w:shd w:val="cle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55" w:hRule="atLeast"/>
        </w:trPr>
        <w:tc>
          <w:tcPr>
            <w:tcW w:w="7791" w:type="dxa"/>
            <w:gridSpan w:val="7"/>
            <w:shd w:val="cle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填报单位：石家庄市人民政府办公室</w:t>
            </w:r>
          </w:p>
        </w:tc>
        <w:tc>
          <w:tcPr>
            <w:tcW w:w="1306" w:type="dxa"/>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55" w:hRule="atLeast"/>
        </w:trPr>
        <w:tc>
          <w:tcPr>
            <w:tcW w:w="1100"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hint="eastAsia" w:ascii="宋体" w:hAnsi="宋体" w:eastAsia="宋体" w:cs="宋体"/>
                <w:i w:val="0"/>
                <w:color w:val="000000"/>
                <w:kern w:val="0"/>
                <w:sz w:val="20"/>
                <w:szCs w:val="20"/>
                <w:u w:val="none"/>
                <w:lang w:val="en-US" w:eastAsia="zh-CN" w:bidi="ar"/>
              </w:rPr>
              <w:t xml:space="preserve"> 基本情况</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220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专项邮电费（专项资金）</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94"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石家庄市人民政府办公室本级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10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2201"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220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88"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10.243106</w:t>
            </w:r>
          </w:p>
        </w:tc>
        <w:tc>
          <w:tcPr>
            <w:tcW w:w="130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10.243106</w:t>
            </w:r>
          </w:p>
        </w:tc>
        <w:tc>
          <w:tcPr>
            <w:tcW w:w="130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05"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jc w:val="left"/>
              <w:rPr>
                <w:rFonts w:hint="eastAsia" w:ascii="宋体" w:hAnsi="宋体" w:eastAsia="宋体" w:cs="宋体"/>
                <w:i w:val="0"/>
                <w:color w:val="000000"/>
                <w:sz w:val="20"/>
                <w:szCs w:val="20"/>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65" w:hRule="atLeast"/>
        </w:trPr>
        <w:tc>
          <w:tcPr>
            <w:tcW w:w="1100"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3302"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389"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302"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用于交换中心邮件费，确保公文在区县间正常流转</w:t>
            </w:r>
          </w:p>
        </w:tc>
        <w:tc>
          <w:tcPr>
            <w:tcW w:w="3389" w:type="dxa"/>
            <w:gridSpan w:val="3"/>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全年完成公文邮寄100次，确保公文在区县间正常流转</w:t>
            </w:r>
          </w:p>
        </w:tc>
        <w:tc>
          <w:tcPr>
            <w:tcW w:w="130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1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302"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389"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0" w:hRule="atLeast"/>
        </w:trPr>
        <w:tc>
          <w:tcPr>
            <w:tcW w:w="1100"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302"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3389" w:type="dxa"/>
            <w:gridSpan w:val="3"/>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100" w:type="dxa"/>
            <w:vMerge w:val="restart"/>
            <w:tcBorders>
              <w:top w:val="single" w:color="000000" w:sz="4" w:space="0"/>
              <w:left w:val="single" w:color="000000" w:sz="4" w:space="0"/>
              <w:bottom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hint="eastAsia" w:ascii="宋体" w:hAnsi="宋体" w:eastAsia="宋体" w:cs="宋体"/>
                <w:i w:val="0"/>
                <w:color w:val="000000"/>
                <w:kern w:val="0"/>
                <w:sz w:val="20"/>
                <w:szCs w:val="20"/>
                <w:u w:val="none"/>
                <w:lang w:val="en-US" w:eastAsia="zh-CN" w:bidi="ar"/>
              </w:rPr>
              <w:t xml:space="preserve"> 年度绩效指标完成情况</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220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vMerge w:val="restart"/>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产出指标（40分）</w:t>
            </w:r>
          </w:p>
        </w:tc>
        <w:tc>
          <w:tcPr>
            <w:tcW w:w="1100" w:type="dxa"/>
            <w:tcBorders>
              <w:top w:val="single" w:color="000000" w:sz="4" w:space="0"/>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220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邮寄次数</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≥100次</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220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邮寄的合格率</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220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及时到达</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≤2天</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1天</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40"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vMerge w:val="continue"/>
            <w:tcBorders>
              <w:top w:val="single" w:color="000000" w:sz="4" w:space="0"/>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220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项目预算控制数</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≤15万</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10.243106万元</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0"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00" w:type="dxa"/>
            <w:tcBorders>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220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预算执行情况</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68.29%</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6.83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vMerge w:val="restart"/>
            <w:tcBorders>
              <w:left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效益指标（40分）</w:t>
            </w:r>
          </w:p>
        </w:tc>
        <w:tc>
          <w:tcPr>
            <w:tcW w:w="1100" w:type="dxa"/>
            <w:vMerge w:val="restart"/>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2202" w:type="dxa"/>
            <w:gridSpan w:val="2"/>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公文在县区之间正常流转</w:t>
            </w:r>
          </w:p>
        </w:tc>
        <w:tc>
          <w:tcPr>
            <w:tcW w:w="1101"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187"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06" w:type="dxa"/>
            <w:vMerge w:val="restart"/>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5"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vMerge w:val="continue"/>
            <w:tcBorders>
              <w:left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0" w:type="dxa"/>
            <w:vMerge w:val="continue"/>
            <w:tcBorders>
              <w:top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2202" w:type="dxa"/>
            <w:gridSpan w:val="2"/>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87"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1100" w:type="dxa"/>
            <w:tcBorders>
              <w:top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2202" w:type="dxa"/>
            <w:gridSpan w:val="2"/>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寄件人及收件人满意度</w:t>
            </w:r>
          </w:p>
        </w:tc>
        <w:tc>
          <w:tcPr>
            <w:tcW w:w="110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18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100" w:type="dxa"/>
            <w:vMerge w:val="continue"/>
            <w:tcBorders>
              <w:top w:val="single" w:color="000000" w:sz="4" w:space="0"/>
              <w:left w:val="single" w:color="000000" w:sz="4" w:space="0"/>
              <w:bottom w:val="single" w:color="000000" w:sz="4" w:space="0"/>
            </w:tcBorders>
            <w:shd w:val="clear"/>
            <w:vAlign w:val="center"/>
          </w:tcPr>
          <w:p>
            <w:pPr>
              <w:jc w:val="center"/>
              <w:rPr>
                <w:rFonts w:hint="eastAsia" w:ascii="宋体" w:hAnsi="宋体" w:eastAsia="宋体" w:cs="宋体"/>
                <w:i w:val="0"/>
                <w:color w:val="000000"/>
                <w:sz w:val="20"/>
                <w:szCs w:val="20"/>
                <w:u w:val="none"/>
              </w:rPr>
            </w:pPr>
          </w:p>
        </w:tc>
        <w:tc>
          <w:tcPr>
            <w:tcW w:w="6691"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06"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96.83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75" w:hRule="atLeast"/>
        </w:trPr>
        <w:tc>
          <w:tcPr>
            <w:tcW w:w="1100" w:type="dxa"/>
            <w:tcBorders>
              <w:left w:val="single" w:color="000000" w:sz="4" w:space="0"/>
              <w:bottom w:val="single" w:color="000000" w:sz="4" w:space="0"/>
              <w:right w:val="single" w:color="000000" w:sz="4" w:space="0"/>
            </w:tcBorders>
            <w:shd w:val="cle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hint="eastAsia" w:ascii="宋体" w:hAnsi="宋体" w:eastAsia="宋体" w:cs="宋体"/>
                <w:i w:val="0"/>
                <w:color w:val="000000"/>
                <w:kern w:val="0"/>
                <w:sz w:val="20"/>
                <w:szCs w:val="20"/>
                <w:u w:val="none"/>
                <w:lang w:val="en-US" w:eastAsia="zh-CN" w:bidi="ar"/>
              </w:rPr>
              <w:t xml:space="preserve"> 存在问题、原因及下一步整改措施</w:t>
            </w:r>
          </w:p>
        </w:tc>
        <w:tc>
          <w:tcPr>
            <w:tcW w:w="7997" w:type="dxa"/>
            <w:gridSpan w:val="7"/>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实行无纸化办公，文件线上流转，线下邮寄文件次数减少。</w:t>
            </w:r>
          </w:p>
        </w:tc>
      </w:tr>
    </w:tbl>
    <w:p>
      <w:pPr>
        <w:widowControl/>
        <w:spacing w:before="0" w:beforeLines="0" w:beforeAutospacing="0" w:after="0" w:afterLines="0" w:afterAutospacing="0" w:line="360" w:lineRule="auto"/>
        <w:jc w:val="left"/>
        <w:rPr>
          <w:rFonts w:ascii="Times New Roman" w:eastAsia="仿宋_GB2312"/>
          <w:sz w:val="32"/>
          <w:szCs w:val="32"/>
        </w:rPr>
      </w:pPr>
    </w:p>
    <w:p>
      <w:pPr>
        <w:widowControl/>
        <w:spacing w:before="0" w:beforeLines="0" w:beforeAutospacing="0" w:after="0" w:afterLines="0" w:afterAutospacing="0" w:line="360" w:lineRule="auto"/>
        <w:ind w:firstLine="20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200"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color="auto" w:sz="0" w:space="0"/>
        <w:left w:val="none" w:color="auto" w:sz="0" w:space="0"/>
        <w:bottom w:val="none" w:color="auto" w:sz="0" w:space="0"/>
        <w:right w:val="none" w:color="auto"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77AB0EC-2243-4CEB-9996-0AF86099A5EF}"/>
  </w:font>
  <w:font w:name="黑体">
    <w:panose1 w:val="02010609060101010101"/>
    <w:charset w:val="86"/>
    <w:family w:val="auto"/>
    <w:pitch w:val="default"/>
    <w:sig w:usb0="800002BF" w:usb1="38CF7CFA" w:usb2="00000016" w:usb3="00000000" w:csb0="00040001" w:csb1="00000000"/>
    <w:embedRegular r:id="rId2" w:fontKey="{A9688694-9276-45A0-8404-25A46BD2CD3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embedRegular r:id="rId3" w:fontKey="{1C1ADE4D-CE0C-4A8C-BD37-818737CC4D15}"/>
  </w:font>
  <w:font w:name="仿宋">
    <w:panose1 w:val="02010609060101010101"/>
    <w:charset w:val="86"/>
    <w:family w:val="modern"/>
    <w:pitch w:val="default"/>
    <w:sig w:usb0="800002BF" w:usb1="38CF7CFA" w:usb2="00000016" w:usb3="00000000" w:csb0="00040001" w:csb1="00000000"/>
    <w:embedRegular r:id="rId4" w:fontKey="{A304F617-BF52-40B7-99B4-F110E49696BD}"/>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C5CF70AC-A789-41B4-BFB6-CC48550B506F}"/>
  </w:font>
  <w:font w:name="楷体_GB2312">
    <w:panose1 w:val="02010609030101010101"/>
    <w:charset w:val="86"/>
    <w:family w:val="auto"/>
    <w:pitch w:val="default"/>
    <w:sig w:usb0="00000001" w:usb1="080E0000" w:usb2="00000000" w:usb3="00000000" w:csb0="00040000" w:csb1="00000000"/>
    <w:embedRegular r:id="rId6" w:fontKey="{24337F82-2809-40FF-BB1F-0D27F9FFC9F3}"/>
  </w:font>
  <w:font w:name="微软雅黑">
    <w:panose1 w:val="020B0503020204020204"/>
    <w:charset w:val="86"/>
    <w:family w:val="auto"/>
    <w:pitch w:val="default"/>
    <w:sig w:usb0="80000287" w:usb1="280F3C52" w:usb2="00000016" w:usb3="00000000" w:csb0="0004001F" w:csb1="00000000"/>
    <w:embedRegular r:id="rId7" w:fontKey="{3B475F49-4CF5-4199-888A-FDF4860A0995}"/>
  </w:font>
  <w:font w:name="方正小标宋_GBK">
    <w:panose1 w:val="02000000000000000000"/>
    <w:charset w:val="86"/>
    <w:family w:val="script"/>
    <w:pitch w:val="default"/>
    <w:sig w:usb0="00000000" w:usb1="00000000" w:usb2="00000000" w:usb3="00000000" w:csb0="00000000" w:csb1="00000000"/>
    <w:embedRegular r:id="rId8" w:fontKey="{0689A3DA-C2EC-4AB4-9DBA-66A14964F261}"/>
  </w:font>
  <w:font w:name="仿宋_GB2312">
    <w:panose1 w:val="02010609030101010101"/>
    <w:charset w:val="86"/>
    <w:family w:val="auto"/>
    <w:pitch w:val="default"/>
    <w:sig w:usb0="00000001" w:usb1="080E0000" w:usb2="00000000" w:usb3="00000000" w:csb0="00040000" w:csb1="00000000"/>
    <w:embedRegular r:id="rId9" w:fontKey="{73AC614F-3DF3-41A4-9C2D-2FBD2D931069}"/>
  </w:font>
  <w:font w:name="ArialUnicodeMS">
    <w:altName w:val="Malgun Gothic"/>
    <w:panose1 w:val="00000000000000000000"/>
    <w:charset w:val="81"/>
    <w:family w:val="auto"/>
    <w:pitch w:val="default"/>
    <w:sig w:usb0="00000000" w:usb1="00000000" w:usb2="00000010" w:usb3="00000000" w:csb0="00080001" w:csb1="00000000"/>
    <w:embedRegular r:id="rId10" w:fontKey="{82AEB97C-B08B-4512-842D-4CAC711832A1}"/>
  </w:font>
  <w:font w:name="Malgun Gothic">
    <w:panose1 w:val="020B0503020000020004"/>
    <w:charset w:val="81"/>
    <w:family w:val="auto"/>
    <w:pitch w:val="default"/>
    <w:sig w:usb0="900002AF" w:usb1="01D77CFB" w:usb2="00000012" w:usb3="00000000" w:csb0="00080001" w:csb1="00000000"/>
  </w:font>
  <w:font w:name="方正魏碑简体">
    <w:altName w:val="微软雅黑"/>
    <w:panose1 w:val="00000000000000000000"/>
    <w:charset w:val="86"/>
    <w:family w:val="auto"/>
    <w:pitch w:val="default"/>
    <w:sig w:usb0="00000000" w:usb1="00000000" w:usb2="00000010" w:usb3="00000000" w:csb0="00040000" w:csb1="00000000"/>
  </w:font>
  <w:font w:name="思源黑体 CN Heavy">
    <w:altName w:val="黑体"/>
    <w:panose1 w:val="00000000000000000000"/>
    <w:charset w:val="86"/>
    <w:family w:val="swiss"/>
    <w:pitch w:val="default"/>
    <w:sig w:usb0="00000000" w:usb1="00000000" w:usb2="00000016" w:usb3="00000000" w:csb0="00060107" w:csb1="00000000"/>
  </w:font>
  <w:font w:name="DengXian-Regular">
    <w:altName w:val="宋体"/>
    <w:panose1 w:val="00000000000000000000"/>
    <w:charset w:val="86"/>
    <w:family w:val="auto"/>
    <w:pitch w:val="default"/>
    <w:sig w:usb0="00000000" w:usb1="00000000" w:usb2="00000010"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11" w:fontKey="{C8000C2B-FA97-4BBB-9FC1-D7972B246471}"/>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姚体">
    <w:panose1 w:val="02010601030101010101"/>
    <w:charset w:val="86"/>
    <w:family w:val="auto"/>
    <w:pitch w:val="default"/>
    <w:sig w:usb0="00000003" w:usb1="080E0000" w:usb2="00000000" w:usb3="00000000" w:csb0="00040000" w:csb1="0000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GulimChe">
    <w:panose1 w:val="020B0609000101010101"/>
    <w:charset w:val="81"/>
    <w:family w:val="auto"/>
    <w:pitch w:val="default"/>
    <w:sig w:usb0="B00002AF" w:usb1="69D77CFB" w:usb2="00000030" w:usb3="00000000" w:csb0="4008009F" w:csb1="DFD70000"/>
  </w:font>
  <w:font w:name="Microsoft JhengHei">
    <w:panose1 w:val="020B0604030504040204"/>
    <w:charset w:val="88"/>
    <w:family w:val="auto"/>
    <w:pitch w:val="default"/>
    <w:sig w:usb0="00000087" w:usb1="28AF4000" w:usb2="00000016" w:usb3="00000000" w:csb0="00100009" w:csb1="00000000"/>
  </w:font>
  <w:font w:name="AngsanaUPC">
    <w:panose1 w:val="02020603050405020304"/>
    <w:charset w:val="00"/>
    <w:family w:val="auto"/>
    <w:pitch w:val="default"/>
    <w:sig w:usb0="81000003" w:usb1="00000000" w:usb2="00000000" w:usb3="00000000" w:csb0="00010001" w:csb1="00000000"/>
  </w:font>
  <w:font w:name="Arial Black">
    <w:panose1 w:val="020B0A04020102020204"/>
    <w:charset w:val="00"/>
    <w:family w:val="auto"/>
    <w:pitch w:val="default"/>
    <w:sig w:usb0="00000287" w:usb1="00000000" w:usb2="00000000" w:usb3="00000000" w:csb0="2000009F" w:csb1="DFD70000"/>
  </w:font>
  <w:font w:name="Blackadder ITC">
    <w:panose1 w:val="04020505051007020D02"/>
    <w:charset w:val="00"/>
    <w:family w:val="auto"/>
    <w:pitch w:val="default"/>
    <w:sig w:usb0="00000003" w:usb1="00000000" w:usb2="00000000" w:usb3="00000000" w:csb0="20000001" w:csb1="00000000"/>
  </w:font>
  <w:font w:name="Bodoni MT Black">
    <w:panose1 w:val="02070A03080606020203"/>
    <w:charset w:val="00"/>
    <w:family w:val="auto"/>
    <w:pitch w:val="default"/>
    <w:sig w:usb0="00000003" w:usb1="00000000" w:usb2="00000000" w:usb3="00000000" w:csb0="20000001" w:csb1="00000000"/>
  </w:font>
  <w:font w:name="Brush Script MT">
    <w:panose1 w:val="03060802040406070304"/>
    <w:charset w:val="00"/>
    <w:family w:val="auto"/>
    <w:pitch w:val="default"/>
    <w:sig w:usb0="00000003" w:usb1="00000000" w:usb2="00000000" w:usb3="00000000" w:csb0="20000001" w:csb1="00000000"/>
  </w:font>
  <w:font w:name="Cambria Math">
    <w:panose1 w:val="02040503050406030204"/>
    <w:charset w:val="00"/>
    <w:family w:val="auto"/>
    <w:pitch w:val="default"/>
    <w:sig w:usb0="E00002FF" w:usb1="420024FF" w:usb2="00000000" w:usb3="00000000" w:csb0="2000019F" w:csb1="00000000"/>
  </w:font>
  <w:font w:name="Candara">
    <w:panose1 w:val="020E0502030303020204"/>
    <w:charset w:val="00"/>
    <w:family w:val="auto"/>
    <w:pitch w:val="default"/>
    <w:sig w:usb0="A00002EF" w:usb1="4000A44B" w:usb2="00000000" w:usb3="00000000" w:csb0="2000019F" w:csb1="00000000"/>
  </w:font>
  <w:font w:name="Arial">
    <w:panose1 w:val="020B0604020202020204"/>
    <w:charset w:val="00"/>
    <w:family w:val="auto"/>
    <w:pitch w:val="default"/>
    <w:sig w:usb0="E0002AFF" w:usb1="C0007843" w:usb2="00000009" w:usb3="00000000" w:csb0="400001FF" w:csb1="FFFF0000"/>
  </w:font>
  <w:font w:name="方正小标宋_GBK">
    <w:panose1 w:val="02000000000000000000"/>
    <w:charset w:val="00"/>
    <w:family w:val="auto"/>
    <w:pitch w:val="default"/>
    <w:sig w:usb0="00000000" w:usb1="00000000" w:usb2="00000000" w:usb3="00000000" w:csb0="00000000" w:csb1="00000000"/>
    <w:embedRegular r:id="rId12" w:fontKey="{E6882C7A-044B-486E-98E6-16E8406FBD59}"/>
  </w:font>
  <w:font w:name="方正仿宋_GB2312">
    <w:panose1 w:val="02000000000000000000"/>
    <w:charset w:val="00"/>
    <w:family w:val="auto"/>
    <w:pitch w:val="default"/>
    <w:sig w:usb0="00000000" w:usb1="00000000" w:usb2="00000000" w:usb3="00000000" w:csb0="00000000" w:csb1="00000000"/>
  </w:font>
  <w:font w:name="方正仿宋_GBK">
    <w:altName w:val="微软雅黑"/>
    <w:panose1 w:val="03000509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011026"/>
    <w:rsid w:val="03450B90"/>
    <w:rsid w:val="03476BF8"/>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BE7A48"/>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215A9F"/>
    <w:rsid w:val="0E866524"/>
    <w:rsid w:val="0E9268D3"/>
    <w:rsid w:val="0E957F1F"/>
    <w:rsid w:val="0F0E7284"/>
    <w:rsid w:val="0F28110F"/>
    <w:rsid w:val="0F37083F"/>
    <w:rsid w:val="0F4351D1"/>
    <w:rsid w:val="0F743E39"/>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99214D"/>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B24ECD"/>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684735"/>
    <w:rsid w:val="2172069C"/>
    <w:rsid w:val="21834E87"/>
    <w:rsid w:val="21987BC4"/>
    <w:rsid w:val="21A07A04"/>
    <w:rsid w:val="21BE314A"/>
    <w:rsid w:val="220451AB"/>
    <w:rsid w:val="2237486E"/>
    <w:rsid w:val="223D1378"/>
    <w:rsid w:val="22451BC7"/>
    <w:rsid w:val="225E1376"/>
    <w:rsid w:val="22913051"/>
    <w:rsid w:val="22940650"/>
    <w:rsid w:val="22AD4B1E"/>
    <w:rsid w:val="22C43743"/>
    <w:rsid w:val="22D31DF3"/>
    <w:rsid w:val="22F426FC"/>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6F52B6"/>
    <w:rsid w:val="27AA3D97"/>
    <w:rsid w:val="280A3758"/>
    <w:rsid w:val="28292E99"/>
    <w:rsid w:val="284E28FF"/>
    <w:rsid w:val="28660F1D"/>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5C08AD"/>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77959"/>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5ED01BF"/>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6021F0"/>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990B30"/>
    <w:rsid w:val="64DC72D7"/>
    <w:rsid w:val="64FA42B4"/>
    <w:rsid w:val="653619A6"/>
    <w:rsid w:val="65610A02"/>
    <w:rsid w:val="658C0E37"/>
    <w:rsid w:val="65A11EA3"/>
    <w:rsid w:val="65AC3D66"/>
    <w:rsid w:val="65BB5334"/>
    <w:rsid w:val="663E1DBA"/>
    <w:rsid w:val="664C43CE"/>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8827A3"/>
    <w:rsid w:val="7CAE7D7C"/>
    <w:rsid w:val="7CB93996"/>
    <w:rsid w:val="7CBE0F99"/>
    <w:rsid w:val="7D4E45F1"/>
    <w:rsid w:val="7DFB6D82"/>
    <w:rsid w:val="7E1D71D1"/>
    <w:rsid w:val="7E246254"/>
    <w:rsid w:val="7E553215"/>
    <w:rsid w:val="7E6D090F"/>
    <w:rsid w:val="7E7E2263"/>
    <w:rsid w:val="7ECC66B2"/>
    <w:rsid w:val="7F2914C3"/>
    <w:rsid w:val="7F5F2ED6"/>
    <w:rsid w:val="7F755A17"/>
    <w:rsid w:val="7FA837EF"/>
    <w:rsid w:val="7FC36955"/>
    <w:rsid w:val="7FE903A0"/>
    <w:rsid w:val="7FF07065"/>
    <w:rsid w:val="7FF97946"/>
    <w:rsid w:val="7FFE788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6"/>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paragraph" w:styleId="6">
    <w:name w:val="heading 6"/>
    <w:basedOn w:val="1"/>
    <w:next w:val="1"/>
    <w:unhideWhenUsed/>
    <w:qFormat/>
    <w:uiPriority w:val="9"/>
    <w:pPr>
      <w:keepNext/>
      <w:keepLines/>
      <w:tabs>
        <w:tab w:val="left" w:pos="1151"/>
      </w:tabs>
      <w:spacing w:before="240" w:after="64" w:line="320" w:lineRule="auto"/>
      <w:ind w:left="1151" w:hanging="1151"/>
      <w:outlineLvl w:val="5"/>
    </w:pPr>
    <w:rPr>
      <w:rFonts w:ascii="Cambria" w:hAnsi="Cambria"/>
      <w:b/>
      <w:bCs/>
    </w:rPr>
  </w:style>
  <w:style w:type="character" w:default="1" w:styleId="12">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7">
    <w:name w:val="annotation text"/>
    <w:basedOn w:val="1"/>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styleId="13">
    <w:name w:val="Strong"/>
    <w:basedOn w:val="12"/>
    <w:qFormat/>
    <w:uiPriority w:val="22"/>
    <w:rPr>
      <w:b/>
    </w:rPr>
  </w:style>
  <w:style w:type="table" w:styleId="15">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16">
    <w:name w:val="标题 2 Char"/>
    <w:link w:val="3"/>
    <w:qFormat/>
    <w:uiPriority w:val="0"/>
    <w:rPr>
      <w:rFonts w:ascii="Calibri Light" w:hAnsi="Calibri Light" w:eastAsia="宋体" w:cs="Times New Roman"/>
      <w:b/>
      <w:bCs/>
      <w:sz w:val="28"/>
      <w:szCs w:val="32"/>
    </w:rPr>
  </w:style>
  <w:style w:type="character" w:customStyle="1" w:styleId="17">
    <w:name w:val="页脚 Char"/>
    <w:basedOn w:val="12"/>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2"/>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2"/>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2"/>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2"/>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2"/>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2"/>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2"/>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2"/>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2"/>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2"/>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formatCode="General">
                  <c:v>9027.33</c:v>
                </c:pt>
                <c:pt idx="1" c:formatCode="General">
                  <c:v>9586.57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formatCode="General">
                  <c:v>90273251.42</c:v>
                </c:pt>
                <c:pt idx="1" c:formatCode="General">
                  <c:v>0</c:v>
                </c:pt>
                <c:pt idx="2" c:formatCode="General">
                  <c:v>0</c:v>
                </c:pt>
                <c:pt idx="3" c:formatCode="General">
                  <c:v>0</c:v>
                </c:pt>
                <c:pt idx="4" c:formatCode="General">
                  <c:v>0</c:v>
                </c:pt>
                <c:pt idx="5"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formatCode="General">
                  <c:v>44931306.04</c:v>
                </c:pt>
                <c:pt idx="1" c:formatCode="General">
                  <c:v>45341945.38</c:v>
                </c:pt>
                <c:pt idx="2" c:formatCode="General">
                  <c:v>0</c:v>
                </c:pt>
                <c:pt idx="3" c:formatCode="General">
                  <c:v>0</c:v>
                </c:pt>
                <c:pt idx="4"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formatCode="General">
                  <c:v>9586.57</c:v>
                </c:pt>
                <c:pt idx="1" c:formatCode="General">
                  <c:v>9586.57</c:v>
                </c:pt>
                <c:pt idx="2" c:formatCode="General">
                  <c:v>9586.57</c:v>
                </c:pt>
                <c:pt idx="3" c:formatCode="General">
                  <c:v>9586.57</c:v>
                </c:pt>
                <c:pt idx="4" c:formatCode="General">
                  <c:v>0</c:v>
                </c:pt>
                <c:pt idx="5" c:formatCode="General">
                  <c:v>0</c:v>
                </c:pt>
                <c:pt idx="6" c:formatCode="General">
                  <c:v>0</c:v>
                </c:pt>
                <c:pt idx="7" c:formatCode="General">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formatCode="General">
                  <c:v>9027.33</c:v>
                </c:pt>
                <c:pt idx="1" c:formatCode="General">
                  <c:v>9027.33</c:v>
                </c:pt>
                <c:pt idx="2" c:formatCode="General">
                  <c:v>9027.33</c:v>
                </c:pt>
                <c:pt idx="3" c:formatCode="General">
                  <c:v>9027.33</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formatCode="General">
                  <c:v>9323.68</c:v>
                </c:pt>
                <c:pt idx="1" c:formatCode="General">
                  <c:v>9323.68</c:v>
                </c:pt>
                <c:pt idx="2" c:formatCode="General">
                  <c:v>9323.68</c:v>
                </c:pt>
                <c:pt idx="3" c:formatCode="General">
                  <c:v>9323.68</c:v>
                </c:pt>
                <c:pt idx="4" c:formatCode="General">
                  <c:v>0</c:v>
                </c:pt>
                <c:pt idx="5" c:formatCode="General">
                  <c:v>0</c:v>
                </c:pt>
                <c:pt idx="6" c:formatCode="General">
                  <c:v>0</c:v>
                </c:pt>
                <c:pt idx="7" c:formatCode="General">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formatCode="General">
                  <c:v>9027.33</c:v>
                </c:pt>
                <c:pt idx="1" c:formatCode="General">
                  <c:v>9027.33</c:v>
                </c:pt>
                <c:pt idx="2" c:formatCode="General">
                  <c:v>9027.33</c:v>
                </c:pt>
                <c:pt idx="3" c:formatCode="General">
                  <c:v>9027.33</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ScaleCrop>false</ScaleCrop>
  <LinksUpToDate>false</LinksUpToDate>
  <CharactersWithSpaces>6550</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lenovo</cp:lastModifiedBy>
  <cp:lastPrinted>2023-08-04T01:00:00Z</cp:lastPrinted>
  <dcterms:modified xsi:type="dcterms:W3CDTF">2026-08-27T09:54:15Z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