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16695">
      <w:pPr>
        <w:adjustRightInd w:val="0"/>
        <w:snapToGrid w:val="0"/>
        <w:spacing w:line="560" w:lineRule="exact"/>
        <w:rPr>
          <w:rFonts w:ascii="黑体" w:eastAsia="黑体" w:cs="黑体"/>
          <w:sz w:val="32"/>
          <w:szCs w:val="32"/>
          <w:lang w:val="en-US" w:eastAsia="zh-CN"/>
        </w:rPr>
      </w:pPr>
      <w:r>
        <w:rPr>
          <w:rFonts w:hint="eastAsia" w:ascii="黑体" w:eastAsia="黑体" w:cs="黑体"/>
          <w:sz w:val="32"/>
          <w:szCs w:val="32"/>
        </w:rPr>
        <w:t>附件</w:t>
      </w:r>
      <w:r>
        <w:rPr>
          <w:rFonts w:hint="eastAsia" w:ascii="黑体" w:eastAsia="黑体" w:cs="黑体"/>
          <w:sz w:val="32"/>
          <w:szCs w:val="32"/>
          <w:lang w:val="en-US" w:eastAsia="zh-CN"/>
        </w:rPr>
        <w:t>4</w:t>
      </w:r>
    </w:p>
    <w:p w14:paraId="3B54FF57">
      <w:pPr>
        <w:spacing w:line="560" w:lineRule="exact"/>
        <w:jc w:val="center"/>
        <w:rPr>
          <w:rFonts w:ascii="宋体" w:cs="宋体"/>
          <w:b/>
          <w:bCs/>
          <w:sz w:val="44"/>
          <w:szCs w:val="44"/>
        </w:rPr>
      </w:pPr>
    </w:p>
    <w:p w14:paraId="25BBF6C9">
      <w:pPr>
        <w:spacing w:line="560" w:lineRule="exact"/>
        <w:jc w:val="center"/>
        <w:rPr>
          <w:rFonts w:hint="eastAsia" w:ascii="宋体" w:cs="宋体"/>
          <w:b/>
          <w:bCs/>
          <w:sz w:val="44"/>
          <w:szCs w:val="44"/>
        </w:rPr>
      </w:pPr>
      <w:r>
        <w:rPr>
          <w:rFonts w:hint="eastAsia" w:ascii="宋体" w:cs="宋体"/>
          <w:b/>
          <w:bCs/>
          <w:sz w:val="44"/>
          <w:szCs w:val="44"/>
        </w:rPr>
        <w:t>石家庄市归国华侨联合会</w:t>
      </w:r>
    </w:p>
    <w:p w14:paraId="165FEAD1">
      <w:pPr>
        <w:spacing w:line="560" w:lineRule="exact"/>
        <w:jc w:val="center"/>
        <w:rPr>
          <w:rFonts w:ascii="宋体" w:cs="宋体"/>
          <w:b/>
          <w:bCs/>
          <w:sz w:val="44"/>
          <w:szCs w:val="44"/>
        </w:rPr>
      </w:pPr>
      <w:r>
        <w:rPr>
          <w:rFonts w:hint="eastAsia" w:ascii="宋体" w:cs="宋体"/>
          <w:b/>
          <w:bCs/>
          <w:sz w:val="44"/>
          <w:szCs w:val="44"/>
        </w:rPr>
        <w:t>202</w:t>
      </w:r>
      <w:r>
        <w:rPr>
          <w:rFonts w:hint="eastAsia" w:ascii="宋体" w:cs="宋体"/>
          <w:b/>
          <w:bCs/>
          <w:sz w:val="44"/>
          <w:szCs w:val="44"/>
          <w:lang w:val="en-US" w:eastAsia="zh-CN"/>
        </w:rPr>
        <w:t>5</w:t>
      </w:r>
      <w:r>
        <w:rPr>
          <w:rFonts w:hint="eastAsia" w:ascii="宋体" w:cs="宋体"/>
          <w:b/>
          <w:bCs/>
          <w:sz w:val="44"/>
          <w:szCs w:val="44"/>
        </w:rPr>
        <w:t>年度整体支出绩效自评报告</w:t>
      </w:r>
    </w:p>
    <w:p w14:paraId="4262644D">
      <w:pPr>
        <w:spacing w:line="560" w:lineRule="exact"/>
        <w:jc w:val="center"/>
        <w:rPr>
          <w:rFonts w:ascii="宋体" w:cs="宋体"/>
          <w:sz w:val="32"/>
          <w:szCs w:val="32"/>
        </w:rPr>
      </w:pPr>
    </w:p>
    <w:p w14:paraId="0AE08C83">
      <w:pPr>
        <w:spacing w:line="560" w:lineRule="exact"/>
        <w:jc w:val="center"/>
        <w:rPr>
          <w:rFonts w:ascii="华文楷体" w:eastAsia="华文楷体"/>
          <w:sz w:val="32"/>
          <w:szCs w:val="32"/>
        </w:rPr>
      </w:pPr>
    </w:p>
    <w:p w14:paraId="3F7FE142">
      <w:pPr>
        <w:adjustRightInd w:val="0"/>
        <w:snapToGrid w:val="0"/>
        <w:spacing w:line="560" w:lineRule="exact"/>
        <w:ind w:firstLine="640" w:firstLineChars="200"/>
        <w:rPr>
          <w:rFonts w:ascii="仿宋" w:eastAsia="仿宋"/>
          <w:sz w:val="32"/>
          <w:szCs w:val="32"/>
        </w:rPr>
      </w:pPr>
      <w:r>
        <w:rPr>
          <w:rFonts w:hint="eastAsia" w:ascii="仿宋" w:eastAsia="仿宋"/>
          <w:sz w:val="32"/>
          <w:szCs w:val="32"/>
        </w:rPr>
        <w:t>贯彻落实市委市政府《关于全面落实预算绩效管理的实施意见》（石发﹝2019﹞8号）文件精神，遵循“科学性、规范性、客观性和公正性”的原则，对石家庄市归国华侨联合会</w:t>
      </w:r>
      <w:r>
        <w:rPr>
          <w:rFonts w:hint="eastAsia" w:ascii="仿宋" w:eastAsia="仿宋"/>
          <w:sz w:val="32"/>
          <w:szCs w:val="32"/>
          <w:lang w:eastAsia="zh-CN"/>
        </w:rPr>
        <w:t>对</w:t>
      </w:r>
      <w:r>
        <w:rPr>
          <w:rFonts w:hint="eastAsia" w:ascii="仿宋" w:eastAsia="仿宋"/>
          <w:sz w:val="32"/>
          <w:szCs w:val="32"/>
        </w:rPr>
        <w:t>202</w:t>
      </w:r>
      <w:r>
        <w:rPr>
          <w:rFonts w:hint="eastAsia" w:ascii="仿宋" w:eastAsia="仿宋"/>
          <w:sz w:val="32"/>
          <w:szCs w:val="32"/>
          <w:lang w:val="en-US" w:eastAsia="zh-CN"/>
        </w:rPr>
        <w:t>5</w:t>
      </w:r>
      <w:r>
        <w:rPr>
          <w:rFonts w:hint="eastAsia" w:ascii="仿宋" w:eastAsia="仿宋"/>
          <w:sz w:val="32"/>
          <w:szCs w:val="32"/>
        </w:rPr>
        <w:t>年整体支出情况实施了财政支出绩效自评价，形成本评价报告。</w:t>
      </w:r>
    </w:p>
    <w:p w14:paraId="430B29F3">
      <w:pPr>
        <w:adjustRightInd w:val="0"/>
        <w:snapToGrid w:val="0"/>
        <w:spacing w:line="560" w:lineRule="exact"/>
        <w:rPr>
          <w:rFonts w:ascii="黑体" w:eastAsia="黑体"/>
          <w:b/>
          <w:bCs/>
          <w:sz w:val="32"/>
          <w:szCs w:val="36"/>
        </w:rPr>
      </w:pPr>
      <w:r>
        <w:rPr>
          <w:rFonts w:hint="eastAsia" w:ascii="黑体" w:eastAsia="黑体"/>
          <w:sz w:val="32"/>
          <w:szCs w:val="32"/>
        </w:rPr>
        <w:t xml:space="preserve">     一、部门</w:t>
      </w:r>
      <w:r>
        <w:rPr>
          <w:rFonts w:hint="eastAsia" w:ascii="黑体" w:eastAsia="黑体"/>
          <w:sz w:val="32"/>
          <w:szCs w:val="36"/>
        </w:rPr>
        <w:t>基本情况</w:t>
      </w:r>
    </w:p>
    <w:p w14:paraId="07DFABA5">
      <w:pPr>
        <w:adjustRightInd w:val="0"/>
        <w:snapToGrid w:val="0"/>
        <w:spacing w:line="560" w:lineRule="exact"/>
        <w:ind w:firstLine="640" w:firstLineChars="200"/>
        <w:rPr>
          <w:rFonts w:ascii="楷体" w:eastAsia="楷体" w:cs="楷体_GB2312"/>
          <w:bCs/>
          <w:sz w:val="32"/>
          <w:szCs w:val="32"/>
        </w:rPr>
      </w:pPr>
      <w:r>
        <w:rPr>
          <w:rFonts w:hint="eastAsia" w:ascii="楷体" w:eastAsia="楷体" w:cs="楷体_GB2312"/>
          <w:bCs/>
          <w:sz w:val="32"/>
          <w:szCs w:val="32"/>
        </w:rPr>
        <w:t>（一）部门概况</w:t>
      </w:r>
    </w:p>
    <w:p w14:paraId="626CCBBE">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3" w:firstLineChars="200"/>
        <w:textAlignment w:val="auto"/>
        <w:outlineLvl w:val="9"/>
        <w:rPr>
          <w:rFonts w:hint="default" w:ascii="仿宋_GB2312" w:hAnsi="仿宋" w:eastAsia="仿宋_GB2312"/>
          <w:b/>
          <w:bCs/>
          <w:sz w:val="32"/>
          <w:szCs w:val="32"/>
          <w:highlight w:val="none"/>
          <w:shd w:val="clear" w:color="auto" w:fill="auto"/>
          <w:lang w:val="en-US" w:eastAsia="zh-CN"/>
        </w:rPr>
      </w:pPr>
      <w:r>
        <w:rPr>
          <w:rFonts w:hint="eastAsia" w:ascii="仿宋_GB2312" w:hAnsi="仿宋" w:eastAsia="仿宋_GB2312"/>
          <w:b/>
          <w:bCs/>
          <w:sz w:val="32"/>
          <w:szCs w:val="32"/>
          <w:highlight w:val="none"/>
          <w:shd w:val="clear" w:color="auto" w:fill="auto"/>
          <w:lang w:val="en-US" w:eastAsia="zh-CN"/>
        </w:rPr>
        <w:t>1.部门职责</w:t>
      </w:r>
    </w:p>
    <w:p w14:paraId="1FF70BB8">
      <w:pPr>
        <w:keepNext w:val="0"/>
        <w:keepLines w:val="0"/>
        <w:pageBreakBefore w:val="0"/>
        <w:widowControl w:val="0"/>
        <w:numPr>
          <w:ilvl w:val="0"/>
          <w:numId w:val="0"/>
        </w:numPr>
        <w:kinsoku/>
        <w:wordWrap/>
        <w:overflowPunct/>
        <w:topLinePunct w:val="0"/>
        <w:autoSpaceDE/>
        <w:autoSpaceDN/>
        <w:bidi w:val="0"/>
        <w:snapToGrid w:val="0"/>
        <w:spacing w:line="540" w:lineRule="exact"/>
        <w:ind w:left="0" w:leftChars="0" w:right="0" w:rightChars="0" w:firstLine="640" w:firstLineChars="200"/>
        <w:textAlignment w:val="auto"/>
        <w:outlineLvl w:val="9"/>
        <w:rPr>
          <w:rFonts w:hint="eastAsia" w:ascii="仿宋_GB2312" w:eastAsia="仿宋_GB2312" w:cs="宋体"/>
          <w:sz w:val="32"/>
          <w:szCs w:val="32"/>
        </w:rPr>
      </w:pPr>
      <w:r>
        <w:rPr>
          <w:rFonts w:hint="eastAsia" w:ascii="仿宋_GB2312" w:eastAsia="仿宋_GB2312" w:cs="宋体"/>
          <w:sz w:val="32"/>
          <w:szCs w:val="32"/>
        </w:rPr>
        <w:t>为经济建设服务：不断扩大石家庄在海内外知名度和影响力，吸引海外高层次人才来省会创新创业。做好重大经贸活动服务工作，吸引利用侨资侨智，引进海外资金、技术及管理经验。为侨资侨属企业经营和发展营造良好环境。邀请客商，为县域经济发展引资引智引项目。发挥好市侨联海外人才联谊会作用，做好侨界高层次人才的联系联络工作。</w:t>
      </w:r>
    </w:p>
    <w:p w14:paraId="7CD07EB6">
      <w:pPr>
        <w:keepNext w:val="0"/>
        <w:keepLines w:val="0"/>
        <w:pageBreakBefore w:val="0"/>
        <w:widowControl w:val="0"/>
        <w:numPr>
          <w:ilvl w:val="0"/>
          <w:numId w:val="0"/>
        </w:numPr>
        <w:kinsoku/>
        <w:wordWrap/>
        <w:overflowPunct/>
        <w:topLinePunct w:val="0"/>
        <w:autoSpaceDE/>
        <w:autoSpaceDN/>
        <w:bidi w:val="0"/>
        <w:snapToGrid w:val="0"/>
        <w:spacing w:line="540" w:lineRule="exact"/>
        <w:ind w:left="0" w:leftChars="0" w:right="0" w:rightChars="0"/>
        <w:textAlignment w:val="auto"/>
        <w:outlineLvl w:val="9"/>
        <w:rPr>
          <w:rFonts w:hint="eastAsia" w:ascii="仿宋_GB2312" w:eastAsia="仿宋_GB2312" w:cs="宋体"/>
          <w:sz w:val="32"/>
          <w:szCs w:val="32"/>
        </w:rPr>
      </w:pPr>
      <w:r>
        <w:rPr>
          <w:rFonts w:hint="eastAsia" w:ascii="仿宋_GB2312" w:eastAsia="仿宋_GB2312" w:cs="宋体"/>
          <w:sz w:val="32"/>
          <w:szCs w:val="32"/>
          <w:lang w:val="en-US" w:eastAsia="zh-CN"/>
        </w:rPr>
        <w:t xml:space="preserve">    </w:t>
      </w:r>
      <w:r>
        <w:rPr>
          <w:rFonts w:hint="eastAsia" w:ascii="仿宋_GB2312" w:eastAsia="仿宋_GB2312" w:cs="宋体"/>
          <w:sz w:val="32"/>
          <w:szCs w:val="32"/>
        </w:rPr>
        <w:t>维护侨益：维护归侨侨眷合法权益，保障和改善侨界民生、为海外侨胞服务，为特困归侨侨眷排忧解难。保护归侨侨眷合法权益和海外侨胞在国内的合法权益、引导海外华侨遵守住在国法律，为特困归侨侨眷排忧解难。开展“12.4”普法活动，通过法律援助帮助侨界群众维权，帮助侨界群众解决实际困难，把侨联组织建成归侨侨眷和海外侨胞之家。</w:t>
      </w:r>
    </w:p>
    <w:p w14:paraId="60842C79">
      <w:pPr>
        <w:keepNext w:val="0"/>
        <w:keepLines w:val="0"/>
        <w:pageBreakBefore w:val="0"/>
        <w:widowControl w:val="0"/>
        <w:numPr>
          <w:ilvl w:val="0"/>
          <w:numId w:val="0"/>
        </w:numPr>
        <w:kinsoku/>
        <w:wordWrap/>
        <w:overflowPunct/>
        <w:topLinePunct w:val="0"/>
        <w:autoSpaceDE/>
        <w:autoSpaceDN/>
        <w:bidi w:val="0"/>
        <w:snapToGrid w:val="0"/>
        <w:spacing w:line="540" w:lineRule="exact"/>
        <w:ind w:left="0" w:leftChars="0" w:right="0" w:rightChars="0"/>
        <w:textAlignment w:val="auto"/>
        <w:outlineLvl w:val="9"/>
        <w:rPr>
          <w:rFonts w:hint="eastAsia" w:ascii="仿宋_GB2312" w:eastAsia="仿宋_GB2312" w:cs="宋体"/>
          <w:sz w:val="32"/>
          <w:szCs w:val="32"/>
        </w:rPr>
      </w:pPr>
      <w:r>
        <w:rPr>
          <w:rFonts w:hint="eastAsia" w:ascii="仿宋_GB2312" w:eastAsia="仿宋_GB2312" w:cs="宋体"/>
          <w:sz w:val="32"/>
          <w:szCs w:val="32"/>
          <w:lang w:val="en-US" w:eastAsia="zh-CN"/>
        </w:rPr>
        <w:t xml:space="preserve">    </w:t>
      </w:r>
      <w:r>
        <w:rPr>
          <w:rFonts w:hint="eastAsia" w:ascii="仿宋_GB2312" w:eastAsia="仿宋_GB2312" w:cs="宋体"/>
          <w:sz w:val="32"/>
          <w:szCs w:val="32"/>
        </w:rPr>
        <w:t>海内外联谊：积极参与到以地缘血缘业缘为纽带组成的侨社团的联谊活动，通过双向交流互动，密切与海外华侨华人重点社团、重点人士联系，开拓同海外侨界交流合作渠道，推动我市相关部门与华人华侨及其社团交流合作事项。委员工作常态化，委员作用发挥明显。立足服务京津冀协同发展，实现侨务资源共享。</w:t>
      </w:r>
    </w:p>
    <w:p w14:paraId="7239845A">
      <w:pPr>
        <w:keepNext w:val="0"/>
        <w:keepLines w:val="0"/>
        <w:pageBreakBefore w:val="0"/>
        <w:widowControl w:val="0"/>
        <w:numPr>
          <w:ilvl w:val="0"/>
          <w:numId w:val="0"/>
        </w:numPr>
        <w:kinsoku/>
        <w:wordWrap/>
        <w:overflowPunct/>
        <w:topLinePunct w:val="0"/>
        <w:autoSpaceDE/>
        <w:autoSpaceDN/>
        <w:bidi w:val="0"/>
        <w:snapToGrid w:val="0"/>
        <w:spacing w:line="540" w:lineRule="exact"/>
        <w:ind w:left="0" w:leftChars="0" w:right="0" w:rightChars="0"/>
        <w:textAlignment w:val="auto"/>
        <w:outlineLvl w:val="9"/>
        <w:rPr>
          <w:rFonts w:hint="eastAsia" w:ascii="仿宋_GB2312" w:eastAsia="仿宋_GB2312" w:cs="宋体"/>
          <w:sz w:val="32"/>
          <w:szCs w:val="32"/>
        </w:rPr>
      </w:pPr>
      <w:r>
        <w:rPr>
          <w:rFonts w:hint="eastAsia" w:ascii="仿宋_GB2312" w:eastAsia="仿宋_GB2312" w:cs="宋体"/>
          <w:sz w:val="32"/>
          <w:szCs w:val="32"/>
          <w:lang w:val="en-US" w:eastAsia="zh-CN"/>
        </w:rPr>
        <w:t xml:space="preserve">    </w:t>
      </w:r>
      <w:r>
        <w:rPr>
          <w:rFonts w:hint="eastAsia" w:ascii="仿宋_GB2312" w:eastAsia="仿宋_GB2312" w:cs="宋体"/>
          <w:sz w:val="32"/>
          <w:szCs w:val="32"/>
        </w:rPr>
        <w:t>参政议政：发挥侨联在人大政协中的界别作用，引导归侨侨眷参与政治协商。组织引导侨界人大代表和政协委员提出有价值、有影响的提案议案。为侨界人大代表、政协委员履职尽责创造良好条件。</w:t>
      </w:r>
    </w:p>
    <w:p w14:paraId="01CBA5FE">
      <w:pPr>
        <w:keepNext w:val="0"/>
        <w:keepLines w:val="0"/>
        <w:pageBreakBefore w:val="0"/>
        <w:widowControl w:val="0"/>
        <w:numPr>
          <w:ilvl w:val="0"/>
          <w:numId w:val="0"/>
        </w:numPr>
        <w:kinsoku/>
        <w:wordWrap/>
        <w:overflowPunct/>
        <w:topLinePunct w:val="0"/>
        <w:autoSpaceDE/>
        <w:autoSpaceDN/>
        <w:bidi w:val="0"/>
        <w:snapToGrid w:val="0"/>
        <w:spacing w:line="540" w:lineRule="exact"/>
        <w:ind w:left="0" w:leftChars="0" w:right="0" w:rightChars="0"/>
        <w:textAlignment w:val="auto"/>
        <w:outlineLvl w:val="9"/>
        <w:rPr>
          <w:rFonts w:hint="eastAsia" w:ascii="仿宋_GB2312" w:eastAsia="仿宋_GB2312" w:cs="宋体"/>
          <w:sz w:val="32"/>
          <w:szCs w:val="32"/>
        </w:rPr>
      </w:pPr>
      <w:r>
        <w:rPr>
          <w:rFonts w:hint="eastAsia" w:ascii="仿宋_GB2312" w:eastAsia="仿宋_GB2312" w:cs="宋体"/>
          <w:sz w:val="32"/>
          <w:szCs w:val="32"/>
          <w:lang w:val="en-US" w:eastAsia="zh-CN"/>
        </w:rPr>
        <w:t xml:space="preserve">    </w:t>
      </w:r>
      <w:r>
        <w:rPr>
          <w:rFonts w:hint="eastAsia" w:ascii="仿宋_GB2312" w:eastAsia="仿宋_GB2312" w:cs="宋体"/>
          <w:sz w:val="32"/>
          <w:szCs w:val="32"/>
        </w:rPr>
        <w:t>综合事务：提升管理能力和干部队伍素质，确保侨联各项工作有序开展。研究侨联面临的新形势、新任务、新特点，加强基层侨联组织建设和侨务干部队伍建设。</w:t>
      </w:r>
    </w:p>
    <w:p w14:paraId="13B5D0A2">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3" w:firstLineChars="200"/>
        <w:textAlignment w:val="auto"/>
        <w:outlineLvl w:val="9"/>
        <w:rPr>
          <w:rFonts w:hint="default" w:ascii="仿宋_GB2312" w:hAnsi="仿宋" w:eastAsia="仿宋_GB2312"/>
          <w:b/>
          <w:bCs/>
          <w:sz w:val="32"/>
          <w:szCs w:val="32"/>
          <w:highlight w:val="none"/>
          <w:shd w:val="clear" w:color="auto" w:fill="auto"/>
          <w:lang w:val="en-US" w:eastAsia="zh-CN"/>
        </w:rPr>
      </w:pPr>
      <w:r>
        <w:rPr>
          <w:rFonts w:hint="eastAsia" w:ascii="仿宋_GB2312" w:hAnsi="仿宋" w:eastAsia="仿宋_GB2312"/>
          <w:b/>
          <w:bCs/>
          <w:sz w:val="32"/>
          <w:szCs w:val="32"/>
          <w:highlight w:val="none"/>
          <w:shd w:val="clear" w:color="auto" w:fill="auto"/>
          <w:lang w:val="en-US" w:eastAsia="zh-CN"/>
        </w:rPr>
        <w:t>2.机构设置及人员组成</w:t>
      </w:r>
    </w:p>
    <w:p w14:paraId="65CA5C3A">
      <w:pPr>
        <w:adjustRightInd w:val="0"/>
        <w:snapToGrid w:val="0"/>
        <w:spacing w:line="560" w:lineRule="exact"/>
        <w:ind w:firstLine="640" w:firstLineChars="200"/>
        <w:rPr>
          <w:rFonts w:hint="eastAsia" w:ascii="仿宋_GB2312" w:eastAsia="仿宋_GB2312" w:cs="宋体"/>
          <w:sz w:val="32"/>
          <w:szCs w:val="32"/>
        </w:rPr>
      </w:pPr>
      <w:r>
        <w:rPr>
          <w:rFonts w:hint="eastAsia" w:ascii="仿宋_GB2312" w:eastAsia="仿宋_GB2312" w:cs="宋体"/>
          <w:sz w:val="32"/>
          <w:szCs w:val="32"/>
        </w:rPr>
        <w:t>市侨联是中共石家庄市委市政府领导的，由全市归侨、侨眷组成的人民团体，是党和政府联系广大归侨、侨眷和海外侨胞的桥梁和纽带，是河北省侨联团体会员，政协石家庄市委员会的组成单位。现有</w:t>
      </w:r>
      <w:r>
        <w:rPr>
          <w:rFonts w:hint="eastAsia" w:ascii="仿宋_GB2312" w:eastAsia="仿宋_GB2312" w:cs="宋体"/>
          <w:sz w:val="32"/>
          <w:szCs w:val="32"/>
          <w:lang w:eastAsia="zh-CN"/>
        </w:rPr>
        <w:t>四</w:t>
      </w:r>
      <w:r>
        <w:rPr>
          <w:rFonts w:hint="eastAsia" w:ascii="仿宋_GB2312" w:eastAsia="仿宋_GB2312" w:cs="宋体"/>
          <w:sz w:val="32"/>
          <w:szCs w:val="32"/>
        </w:rPr>
        <w:t>个</w:t>
      </w:r>
      <w:r>
        <w:rPr>
          <w:rFonts w:hint="eastAsia" w:ascii="仿宋_GB2312" w:eastAsia="仿宋_GB2312" w:cs="宋体"/>
          <w:sz w:val="32"/>
          <w:szCs w:val="32"/>
          <w:lang w:eastAsia="zh-CN"/>
        </w:rPr>
        <w:t>部</w:t>
      </w:r>
      <w:r>
        <w:rPr>
          <w:rFonts w:hint="eastAsia" w:ascii="仿宋_GB2312" w:eastAsia="仿宋_GB2312" w:cs="宋体"/>
          <w:sz w:val="32"/>
          <w:szCs w:val="32"/>
        </w:rPr>
        <w:t>室，分别是办公室、</w:t>
      </w:r>
      <w:r>
        <w:rPr>
          <w:rFonts w:hint="eastAsia" w:ascii="仿宋_GB2312" w:eastAsia="仿宋_GB2312" w:cs="宋体"/>
          <w:sz w:val="32"/>
          <w:szCs w:val="32"/>
          <w:lang w:eastAsia="zh-CN"/>
        </w:rPr>
        <w:t>经济科技部、联络文化部</w:t>
      </w:r>
      <w:r>
        <w:rPr>
          <w:rFonts w:hint="eastAsia" w:ascii="仿宋_GB2312" w:eastAsia="仿宋_GB2312" w:cs="宋体"/>
          <w:sz w:val="32"/>
          <w:szCs w:val="32"/>
        </w:rPr>
        <w:t>和权益保障</w:t>
      </w:r>
      <w:r>
        <w:rPr>
          <w:rFonts w:hint="eastAsia" w:ascii="仿宋_GB2312" w:eastAsia="仿宋_GB2312" w:cs="宋体"/>
          <w:sz w:val="32"/>
          <w:szCs w:val="32"/>
          <w:lang w:eastAsia="zh-CN"/>
        </w:rPr>
        <w:t>部（基础保障部）</w:t>
      </w:r>
      <w:r>
        <w:rPr>
          <w:rFonts w:hint="eastAsia" w:ascii="仿宋_GB2312" w:eastAsia="仿宋_GB2312" w:cs="宋体"/>
          <w:sz w:val="32"/>
          <w:szCs w:val="32"/>
        </w:rPr>
        <w:t>。</w:t>
      </w:r>
    </w:p>
    <w:p w14:paraId="5DA63A4E">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3" w:firstLineChars="200"/>
        <w:textAlignment w:val="auto"/>
        <w:outlineLvl w:val="9"/>
        <w:rPr>
          <w:rFonts w:hint="eastAsia" w:ascii="仿宋_GB2312" w:hAnsi="仿宋" w:eastAsia="仿宋_GB2312"/>
          <w:b/>
          <w:bCs/>
          <w:sz w:val="32"/>
          <w:szCs w:val="32"/>
          <w:highlight w:val="none"/>
          <w:shd w:val="clear" w:color="auto" w:fill="auto"/>
          <w:lang w:val="en-US" w:eastAsia="zh-CN"/>
        </w:rPr>
      </w:pPr>
      <w:r>
        <w:rPr>
          <w:rFonts w:hint="eastAsia" w:ascii="仿宋_GB2312" w:hAnsi="仿宋" w:eastAsia="仿宋_GB2312"/>
          <w:b/>
          <w:bCs/>
          <w:sz w:val="32"/>
          <w:szCs w:val="32"/>
          <w:highlight w:val="none"/>
          <w:shd w:val="clear" w:color="auto" w:fill="auto"/>
          <w:lang w:val="en-US" w:eastAsia="zh-CN"/>
        </w:rPr>
        <w:t>3.资产情况</w:t>
      </w:r>
    </w:p>
    <w:p w14:paraId="72CCAE72">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outlineLvl w:val="9"/>
        <w:rPr>
          <w:rFonts w:hint="eastAsia" w:ascii="仿宋" w:hAnsi="仿宋" w:eastAsia="仿宋"/>
          <w:sz w:val="32"/>
          <w:szCs w:val="32"/>
          <w:highlight w:val="none"/>
          <w:shd w:val="clear" w:color="auto" w:fill="auto"/>
          <w:lang w:eastAsia="zh-CN"/>
        </w:rPr>
      </w:pPr>
      <w:r>
        <w:rPr>
          <w:rFonts w:hint="eastAsia" w:ascii="仿宋" w:hAnsi="仿宋" w:eastAsia="仿宋"/>
          <w:sz w:val="32"/>
          <w:szCs w:val="32"/>
          <w:highlight w:val="none"/>
          <w:shd w:val="clear" w:color="auto" w:fill="auto"/>
          <w:lang w:val="en-US" w:eastAsia="zh-CN"/>
        </w:rPr>
        <w:t>我部门资产管理</w:t>
      </w:r>
      <w:r>
        <w:rPr>
          <w:rFonts w:hint="eastAsia" w:ascii="仿宋" w:hAnsi="仿宋" w:eastAsia="仿宋"/>
          <w:sz w:val="32"/>
          <w:szCs w:val="32"/>
          <w:highlight w:val="none"/>
          <w:shd w:val="clear" w:color="auto" w:fill="auto"/>
          <w:lang w:eastAsia="zh-CN"/>
        </w:rPr>
        <w:t>依照政府采购目录进行政府采购，加强固定资产登记、使用和报废处置管理，做到支出合理，物尽其用。</w:t>
      </w:r>
    </w:p>
    <w:p w14:paraId="7CBC627A">
      <w:pPr>
        <w:keepNext w:val="0"/>
        <w:keepLines w:val="0"/>
        <w:pageBreakBefore w:val="0"/>
        <w:widowControl w:val="0"/>
        <w:kinsoku/>
        <w:wordWrap/>
        <w:overflowPunct/>
        <w:topLinePunct w:val="0"/>
        <w:autoSpaceDE/>
        <w:autoSpaceDN/>
        <w:bidi w:val="0"/>
        <w:adjustRightInd w:val="0"/>
        <w:snapToGrid/>
        <w:spacing w:line="560" w:lineRule="exact"/>
        <w:ind w:left="0" w:leftChars="0" w:right="0" w:firstLine="640" w:firstLineChars="200"/>
        <w:textAlignment w:val="auto"/>
        <w:outlineLvl w:val="9"/>
        <w:rPr>
          <w:rFonts w:hint="default" w:ascii="仿宋_GB2312" w:hAnsi="仿宋" w:eastAsia="仿宋_GB2312"/>
          <w:sz w:val="32"/>
          <w:szCs w:val="32"/>
          <w:highlight w:val="none"/>
          <w:shd w:val="clear" w:color="auto" w:fill="auto"/>
          <w:lang w:val="en-US"/>
        </w:rPr>
      </w:pPr>
      <w:r>
        <w:rPr>
          <w:rFonts w:hint="eastAsia" w:ascii="仿宋_GB2312" w:hAnsi="仿宋" w:eastAsia="仿宋_GB2312"/>
          <w:sz w:val="32"/>
          <w:szCs w:val="32"/>
          <w:highlight w:val="none"/>
          <w:shd w:val="clear" w:color="auto" w:fill="auto"/>
        </w:rPr>
        <w:t>202</w:t>
      </w:r>
      <w:r>
        <w:rPr>
          <w:rFonts w:hint="eastAsia" w:ascii="仿宋_GB2312" w:hAnsi="仿宋" w:eastAsia="仿宋_GB2312"/>
          <w:sz w:val="32"/>
          <w:szCs w:val="32"/>
          <w:highlight w:val="none"/>
          <w:shd w:val="clear" w:color="auto" w:fill="auto"/>
          <w:lang w:val="en-US" w:eastAsia="zh-CN"/>
        </w:rPr>
        <w:t>5</w:t>
      </w:r>
      <w:r>
        <w:rPr>
          <w:rFonts w:hint="eastAsia" w:ascii="仿宋_GB2312" w:hAnsi="仿宋" w:eastAsia="仿宋_GB2312"/>
          <w:sz w:val="32"/>
          <w:szCs w:val="32"/>
          <w:highlight w:val="none"/>
          <w:shd w:val="clear" w:color="auto" w:fill="auto"/>
        </w:rPr>
        <w:t>年年末，</w:t>
      </w:r>
      <w:r>
        <w:rPr>
          <w:rFonts w:hint="eastAsia" w:ascii="仿宋_GB2312" w:hAnsi="仿宋" w:eastAsia="仿宋_GB2312"/>
          <w:sz w:val="32"/>
          <w:szCs w:val="32"/>
          <w:highlight w:val="none"/>
          <w:shd w:val="clear" w:color="auto" w:fill="auto"/>
          <w:lang w:val="en-US" w:eastAsia="zh-CN"/>
        </w:rPr>
        <w:t>我部门年末“银行存款”余额2.10万元，较上年增加0.24万元，“房屋”价值0万元，与上年持平，“车辆”价值22.00万元，与上年持平。</w:t>
      </w:r>
    </w:p>
    <w:p w14:paraId="794E22EA">
      <w:pPr>
        <w:adjustRightInd w:val="0"/>
        <w:snapToGrid w:val="0"/>
        <w:spacing w:line="560" w:lineRule="exact"/>
        <w:ind w:firstLine="640" w:firstLineChars="200"/>
        <w:rPr>
          <w:rFonts w:hint="eastAsia" w:ascii="楷体" w:eastAsia="楷体" w:cs="楷体_GB2312"/>
          <w:bCs/>
          <w:sz w:val="32"/>
          <w:szCs w:val="32"/>
        </w:rPr>
      </w:pPr>
      <w:r>
        <w:rPr>
          <w:rFonts w:hint="eastAsia" w:ascii="楷体" w:eastAsia="楷体" w:cs="楷体_GB2312"/>
          <w:bCs/>
          <w:sz w:val="32"/>
          <w:szCs w:val="32"/>
        </w:rPr>
        <w:t>（二）部门收支预决算情况</w:t>
      </w:r>
    </w:p>
    <w:p w14:paraId="5B2F7169">
      <w:pPr>
        <w:keepNext w:val="0"/>
        <w:keepLines w:val="0"/>
        <w:pageBreakBefore w:val="0"/>
        <w:widowControl w:val="0"/>
        <w:kinsoku/>
        <w:wordWrap/>
        <w:overflowPunct/>
        <w:topLinePunct w:val="0"/>
        <w:autoSpaceDE/>
        <w:autoSpaceDN/>
        <w:bidi w:val="0"/>
        <w:adjustRightInd w:val="0"/>
        <w:snapToGrid/>
        <w:spacing w:line="560" w:lineRule="exact"/>
        <w:ind w:left="0" w:leftChars="0" w:right="0" w:firstLine="640" w:firstLineChars="200"/>
        <w:textAlignment w:val="auto"/>
        <w:outlineLvl w:val="9"/>
        <w:rPr>
          <w:rFonts w:hint="eastAsia" w:ascii="仿宋_GB2312" w:hAnsi="仿宋" w:eastAsia="仿宋_GB2312"/>
          <w:sz w:val="32"/>
          <w:szCs w:val="32"/>
          <w:highlight w:val="none"/>
          <w:shd w:val="clear" w:color="auto" w:fill="auto"/>
          <w:lang w:val="en-US" w:eastAsia="zh-CN"/>
        </w:rPr>
      </w:pPr>
      <w:r>
        <w:rPr>
          <w:rFonts w:hint="eastAsia" w:ascii="仿宋_GB2312" w:hAnsi="仿宋" w:eastAsia="仿宋_GB2312"/>
          <w:sz w:val="32"/>
          <w:szCs w:val="32"/>
          <w:highlight w:val="none"/>
          <w:shd w:val="clear" w:color="auto" w:fill="auto"/>
          <w:lang w:val="en-US" w:eastAsia="zh-CN"/>
        </w:rPr>
        <w:t>我部门2025年年初预算数为：一般公共预算收入477.24万元。基本支出425.18万元，项目支出52.06万元。</w:t>
      </w:r>
    </w:p>
    <w:p w14:paraId="51DEF1A3">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outlineLvl w:val="9"/>
        <w:rPr>
          <w:rFonts w:hint="eastAsia" w:ascii="仿宋_GB2312" w:hAnsi="仿宋" w:eastAsia="仿宋_GB2312"/>
          <w:sz w:val="32"/>
          <w:szCs w:val="32"/>
          <w:highlight w:val="none"/>
          <w:shd w:val="clear" w:color="auto" w:fill="auto"/>
          <w:lang w:val="en-US" w:eastAsia="zh-CN"/>
        </w:rPr>
      </w:pPr>
      <w:r>
        <w:rPr>
          <w:rFonts w:hint="eastAsia" w:ascii="仿宋_GB2312" w:hAnsi="仿宋" w:eastAsia="仿宋_GB2312"/>
          <w:sz w:val="32"/>
          <w:szCs w:val="32"/>
          <w:highlight w:val="none"/>
          <w:shd w:val="clear" w:color="auto" w:fill="auto"/>
          <w:lang w:val="en-US" w:eastAsia="zh-CN"/>
        </w:rPr>
        <w:t>2025年全年预算数为：一般公共预算财政拨款收入513.30万元。基本支出457.61万元，项目支出55.69万元。</w:t>
      </w:r>
    </w:p>
    <w:p w14:paraId="42EE2979">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outlineLvl w:val="9"/>
        <w:rPr>
          <w:rFonts w:hint="eastAsia" w:ascii="楷体" w:eastAsia="楷体" w:cs="楷体_GB2312"/>
          <w:bCs/>
          <w:sz w:val="32"/>
          <w:szCs w:val="32"/>
        </w:rPr>
      </w:pPr>
      <w:r>
        <w:rPr>
          <w:rFonts w:hint="eastAsia" w:ascii="仿宋_GB2312" w:hAnsi="仿宋" w:eastAsia="仿宋_GB2312"/>
          <w:sz w:val="32"/>
          <w:szCs w:val="32"/>
          <w:highlight w:val="none"/>
          <w:shd w:val="clear" w:color="auto" w:fill="auto"/>
          <w:lang w:val="en-US" w:eastAsia="zh-CN"/>
        </w:rPr>
        <w:t>2025年决算数为：一般公共预算财政拨款收入498.68万元。基本支出449.82万元，项目支出48.579万元。</w:t>
      </w:r>
    </w:p>
    <w:p w14:paraId="169319B6">
      <w:pPr>
        <w:adjustRightInd w:val="0"/>
        <w:snapToGrid w:val="0"/>
        <w:spacing w:line="560" w:lineRule="exact"/>
        <w:ind w:firstLine="640" w:firstLineChars="200"/>
        <w:rPr>
          <w:rFonts w:ascii="楷体" w:eastAsia="楷体" w:cs="楷体_GB2312"/>
          <w:bCs/>
          <w:sz w:val="32"/>
          <w:szCs w:val="32"/>
        </w:rPr>
      </w:pPr>
      <w:r>
        <w:rPr>
          <w:rFonts w:hint="eastAsia" w:ascii="楷体" w:eastAsia="楷体" w:cs="楷体_GB2312"/>
          <w:bCs/>
          <w:sz w:val="32"/>
          <w:szCs w:val="32"/>
        </w:rPr>
        <w:t>（三）部门整体支出绩效目标、指标</w:t>
      </w:r>
    </w:p>
    <w:p w14:paraId="75D42D2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outlineLvl w:val="9"/>
        <w:rPr>
          <w:rFonts w:hint="eastAsia" w:ascii="仿宋_GB2312" w:hAnsi="仿宋" w:eastAsia="仿宋_GB2312"/>
          <w:sz w:val="32"/>
          <w:szCs w:val="32"/>
          <w:highlight w:val="none"/>
          <w:shd w:val="clear" w:color="auto" w:fill="auto"/>
          <w:lang w:val="en-US" w:eastAsia="zh-CN"/>
        </w:rPr>
      </w:pPr>
      <w:r>
        <w:rPr>
          <w:rFonts w:hint="eastAsia" w:ascii="仿宋_GB2312" w:hAnsi="仿宋" w:eastAsia="仿宋_GB2312"/>
          <w:sz w:val="32"/>
          <w:szCs w:val="32"/>
          <w:highlight w:val="none"/>
          <w:shd w:val="clear" w:color="auto" w:fill="auto"/>
          <w:lang w:val="en-US" w:eastAsia="zh-CN"/>
        </w:rPr>
        <w:t>1.发挥独特优势，助力省会发展。发挥联系海内外的独特优势，助力建设现代化、国际化美丽化省会城市。一是助力侨企发展。深入调研了解侨企需求，为侨企提供优质服务，今年共组织百余名侨界代表多次先后到井陉</w:t>
      </w:r>
      <w:r>
        <w:rPr>
          <w:rFonts w:hint="eastAsia" w:ascii="仿宋_GB2312" w:hAnsi="仿宋" w:eastAsia="仿宋_GB2312"/>
          <w:sz w:val="32"/>
          <w:szCs w:val="32"/>
          <w:highlight w:val="none"/>
          <w:shd w:val="clear" w:color="auto" w:fill="auto"/>
          <w:lang w:val="en-US" w:eastAsia="en-US"/>
        </w:rPr>
        <w:t>矿区、平山县、藁城区</w:t>
      </w:r>
      <w:r>
        <w:rPr>
          <w:rFonts w:hint="eastAsia" w:ascii="仿宋_GB2312" w:hAnsi="仿宋" w:eastAsia="仿宋_GB2312"/>
          <w:sz w:val="32"/>
          <w:szCs w:val="32"/>
          <w:highlight w:val="none"/>
          <w:shd w:val="clear" w:color="auto" w:fill="auto"/>
          <w:lang w:val="en-US" w:eastAsia="zh-CN"/>
        </w:rPr>
        <w:t>等地</w:t>
      </w:r>
      <w:r>
        <w:rPr>
          <w:rFonts w:hint="eastAsia" w:ascii="仿宋_GB2312" w:hAnsi="仿宋" w:eastAsia="仿宋_GB2312"/>
          <w:sz w:val="32"/>
          <w:szCs w:val="32"/>
          <w:highlight w:val="none"/>
          <w:shd w:val="clear" w:color="auto" w:fill="auto"/>
          <w:lang w:val="en-US" w:eastAsia="en-US"/>
        </w:rPr>
        <w:t>开展调研走访</w:t>
      </w:r>
      <w:r>
        <w:rPr>
          <w:rFonts w:hint="eastAsia" w:ascii="仿宋_GB2312" w:hAnsi="仿宋" w:eastAsia="仿宋_GB2312"/>
          <w:sz w:val="32"/>
          <w:szCs w:val="32"/>
          <w:highlight w:val="none"/>
          <w:shd w:val="clear" w:color="auto" w:fill="auto"/>
          <w:lang w:val="en-US" w:eastAsia="zh-CN"/>
        </w:rPr>
        <w:t>。二是加强新侨和归国留学人才的培育。石家庄市侨联今年在五四青年节之际先后5次组织100余名侨界优秀青年企业家到井陉矿区、藁城、鹿泉等地优秀企业和侨胞之家进行参观和交流学习。三是注重人才培养。在强化侨界青年人才思想政治引领的同时积极宣传介绍当地的营商政策和有利条件，加强侨界后备力量的培养。</w:t>
      </w:r>
    </w:p>
    <w:p w14:paraId="6203A429">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outlineLvl w:val="9"/>
        <w:rPr>
          <w:rFonts w:hint="eastAsia" w:ascii="仿宋_GB2312" w:hAnsi="仿宋" w:eastAsia="仿宋_GB2312"/>
          <w:sz w:val="32"/>
          <w:szCs w:val="32"/>
          <w:highlight w:val="none"/>
          <w:shd w:val="clear" w:color="auto" w:fill="auto"/>
          <w:lang w:val="en-US" w:eastAsia="zh-CN"/>
        </w:rPr>
      </w:pPr>
      <w:r>
        <w:rPr>
          <w:rFonts w:hint="eastAsia" w:ascii="仿宋_GB2312" w:hAnsi="仿宋" w:eastAsia="仿宋_GB2312"/>
          <w:sz w:val="32"/>
          <w:szCs w:val="32"/>
          <w:highlight w:val="none"/>
          <w:shd w:val="clear" w:color="auto" w:fill="auto"/>
          <w:lang w:val="en-US" w:eastAsia="zh-CN"/>
        </w:rPr>
        <w:t>2.加强组织建设，提升侨联活力。市侨联重视各级侨联组织建设。一是召开市侨联十一届八次常委（扩大）会。审议通过了石家庄市侨联第十二次侨代会代表资格审查委员会名单（草案），目前，市第十二次归侨侨眷代表大会筹备准备工作已完成，近期将完成换届相关工作。二是做好侨法宣传，促进法治建设。指导县（市、区）侨联组织开展多种形式的侨法宣传活动，联合省侨联开展“全民国家安全教育走深走实十周年”——2025年全民国家安全教育日普法宣传活动，组织专题学习、参与专项答题。三是整合资源优势，打造侨界形象。指导和鼓励基层侨联组织依托侨胞之家开展形式多样的活动，丰富侨界群众的精神文化生活。</w:t>
      </w:r>
    </w:p>
    <w:p w14:paraId="32CD5997">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outlineLvl w:val="9"/>
        <w:rPr>
          <w:rFonts w:hint="eastAsia" w:ascii="仿宋_GB2312" w:hAnsi="仿宋" w:eastAsia="仿宋_GB2312"/>
          <w:sz w:val="32"/>
          <w:szCs w:val="32"/>
          <w:highlight w:val="none"/>
          <w:shd w:val="clear" w:color="auto" w:fill="auto"/>
          <w:lang w:val="en-US" w:eastAsia="zh-CN"/>
        </w:rPr>
      </w:pPr>
      <w:r>
        <w:rPr>
          <w:rFonts w:hint="eastAsia" w:ascii="仿宋_GB2312" w:hAnsi="仿宋" w:eastAsia="仿宋_GB2312"/>
          <w:sz w:val="32"/>
          <w:szCs w:val="32"/>
          <w:highlight w:val="none"/>
          <w:shd w:val="clear" w:color="auto" w:fill="auto"/>
          <w:lang w:val="en-US" w:eastAsia="zh-CN"/>
        </w:rPr>
        <w:t>3.拓展联络联谊，提升省会知名度。不断拓展联络渠道，丰富联谊形式，提升服务水平。一是加强沟通交流，密切联络联谊。今年我会接待了10余家海外社团的来访，并建立常态化的联系机制。通过侨联刊物和侨联官网等方式向海内外侨胞发送家乡发展动态、政策信息等资料。二是协助中国侨联、河北省侨联开展公益活动。6月，市侨联与平山县密切配合圆满完成中国侨联“侨爱心·乡村学生眼视光工程—走进河北西柏坡”活动任务。三是利用“春节”“端午”先后深入到10多家侨资侨属企业走访调研，了解企业生产经营状况，为企业发展出谋划策。对我市归侨侨眷，特殊群体（高龄老归侨、海外社团国内亲属等人群）发放慰问金，对生病住院和去世侨界家属进行慰问发放慰问金，提升侨界群众的幸福感获得感。</w:t>
      </w:r>
    </w:p>
    <w:p w14:paraId="5B407FA0">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outlineLvl w:val="9"/>
        <w:rPr>
          <w:rFonts w:hint="eastAsia" w:ascii="仿宋_GB2312" w:hAnsi="仿宋" w:eastAsia="仿宋_GB2312"/>
          <w:sz w:val="32"/>
          <w:szCs w:val="32"/>
          <w:highlight w:val="none"/>
          <w:shd w:val="clear" w:color="auto" w:fill="auto"/>
          <w:lang w:val="en-US" w:eastAsia="zh-CN"/>
        </w:rPr>
      </w:pPr>
      <w:r>
        <w:rPr>
          <w:rFonts w:hint="eastAsia" w:ascii="仿宋_GB2312" w:hAnsi="仿宋" w:eastAsia="仿宋_GB2312"/>
          <w:sz w:val="32"/>
          <w:szCs w:val="32"/>
          <w:highlight w:val="none"/>
          <w:shd w:val="clear" w:color="auto" w:fill="auto"/>
          <w:lang w:val="en-US" w:eastAsia="zh-CN"/>
        </w:rPr>
        <w:t>4.弘扬中华文化，讲好省会故事。组织开展丰富多彩的文化活动。指导基层侨联组织开展“书春送福”、“侨联四海 同心筑梦”、“送春联 暖侨心”、省会侨界妇女联谊等活动。组织完成第25届华人作文大赛优秀作品和先进组织单位和个人的表彰工作，提升省会石家庄在海内外的美誉度。</w:t>
      </w:r>
    </w:p>
    <w:p w14:paraId="6427AD29">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outlineLvl w:val="9"/>
        <w:rPr>
          <w:rFonts w:hint="eastAsia" w:ascii="仿宋_GB2312" w:hAnsi="仿宋" w:eastAsia="仿宋_GB2312"/>
          <w:sz w:val="32"/>
          <w:szCs w:val="32"/>
          <w:highlight w:val="none"/>
          <w:shd w:val="clear" w:color="auto" w:fill="auto"/>
          <w:lang w:val="en-US" w:eastAsia="zh-CN"/>
        </w:rPr>
      </w:pPr>
      <w:r>
        <w:rPr>
          <w:rFonts w:hint="eastAsia" w:ascii="仿宋_GB2312" w:hAnsi="仿宋" w:eastAsia="仿宋_GB2312"/>
          <w:sz w:val="32"/>
          <w:szCs w:val="32"/>
          <w:highlight w:val="none"/>
          <w:shd w:val="clear" w:color="auto" w:fill="auto"/>
          <w:lang w:val="en-US" w:eastAsia="zh-CN"/>
        </w:rPr>
        <w:t>5.汇集侨智侨力，提高参政议政能力。结合市委、市政府中心工作，畅通代表委员履行职责渠道，引导省会侨界人大代表、政协委员围绕发展大局，关注社会热点，深入开展调查研究，市“两会”期间，侨界人大代表、政协委员提交建议提案等20余条。</w:t>
      </w:r>
    </w:p>
    <w:p w14:paraId="43D95090">
      <w:pPr>
        <w:adjustRightInd w:val="0"/>
        <w:snapToGrid w:val="0"/>
        <w:spacing w:line="560" w:lineRule="exact"/>
        <w:ind w:firstLine="640" w:firstLineChars="200"/>
        <w:rPr>
          <w:rFonts w:ascii="黑体" w:eastAsia="黑体"/>
          <w:sz w:val="32"/>
          <w:szCs w:val="32"/>
        </w:rPr>
      </w:pPr>
      <w:r>
        <w:rPr>
          <w:rFonts w:hint="eastAsia" w:ascii="黑体" w:eastAsia="黑体"/>
          <w:sz w:val="32"/>
          <w:szCs w:val="32"/>
        </w:rPr>
        <w:t>二、自评工作开展情况</w:t>
      </w:r>
    </w:p>
    <w:p w14:paraId="6DEDE94A">
      <w:pPr>
        <w:spacing w:line="560" w:lineRule="exact"/>
        <w:rPr>
          <w:rFonts w:ascii="楷体" w:eastAsia="楷体" w:cs="楷体_GB2312"/>
          <w:sz w:val="32"/>
          <w:szCs w:val="32"/>
        </w:rPr>
      </w:pPr>
      <w:r>
        <w:rPr>
          <w:rFonts w:hint="eastAsia" w:ascii="仿宋" w:eastAsia="仿宋" w:cs="楷体_GB2312"/>
          <w:b/>
          <w:bCs/>
          <w:sz w:val="32"/>
          <w:szCs w:val="32"/>
        </w:rPr>
        <w:t xml:space="preserve">    </w:t>
      </w:r>
      <w:r>
        <w:rPr>
          <w:rFonts w:hint="eastAsia" w:ascii="楷体" w:eastAsia="楷体" w:cs="楷体_GB2312"/>
          <w:bCs/>
          <w:sz w:val="32"/>
          <w:szCs w:val="32"/>
        </w:rPr>
        <w:t>（一）自评的组织工作</w:t>
      </w:r>
    </w:p>
    <w:p w14:paraId="07DE7A73">
      <w:pPr>
        <w:spacing w:line="560" w:lineRule="exact"/>
        <w:rPr>
          <w:rFonts w:hint="default" w:ascii="仿宋" w:hAnsi="仿宋" w:eastAsia="仿宋" w:cs="仿宋"/>
          <w:b/>
          <w:bCs/>
          <w:color w:val="auto"/>
          <w:kern w:val="0"/>
          <w:sz w:val="32"/>
          <w:szCs w:val="32"/>
          <w:highlight w:val="none"/>
          <w:shd w:val="clear" w:color="auto" w:fill="auto"/>
          <w:lang w:val="en-US" w:eastAsia="zh-CN"/>
        </w:rPr>
      </w:pPr>
      <w:r>
        <w:rPr>
          <w:rFonts w:hint="eastAsia" w:ascii="仿宋" w:eastAsia="仿宋"/>
          <w:sz w:val="32"/>
          <w:szCs w:val="32"/>
        </w:rPr>
        <w:t xml:space="preserve">    </w:t>
      </w:r>
      <w:r>
        <w:rPr>
          <w:rFonts w:hint="eastAsia" w:ascii="仿宋" w:hAnsi="仿宋" w:eastAsia="仿宋" w:cs="仿宋"/>
          <w:b/>
          <w:bCs/>
          <w:color w:val="auto"/>
          <w:kern w:val="0"/>
          <w:sz w:val="32"/>
          <w:szCs w:val="32"/>
          <w:highlight w:val="none"/>
          <w:shd w:val="clear" w:color="auto" w:fill="auto"/>
          <w:lang w:val="en-US" w:eastAsia="zh-CN"/>
        </w:rPr>
        <w:t>1.成立绩效评价工作组</w:t>
      </w:r>
    </w:p>
    <w:p w14:paraId="1F8DF50B">
      <w:pPr>
        <w:keepNext w:val="0"/>
        <w:keepLines w:val="0"/>
        <w:pageBreakBefore w:val="0"/>
        <w:widowControl w:val="0"/>
        <w:kinsoku/>
        <w:wordWrap/>
        <w:overflowPunct/>
        <w:topLinePunct w:val="0"/>
        <w:autoSpaceDE/>
        <w:autoSpaceDN/>
        <w:bidi w:val="0"/>
        <w:snapToGrid w:val="0"/>
        <w:spacing w:line="560" w:lineRule="exact"/>
        <w:ind w:left="0" w:firstLine="640" w:firstLineChars="200"/>
        <w:textAlignment w:val="auto"/>
        <w:rPr>
          <w:rFonts w:hint="default" w:ascii="仿宋_GB2312" w:hAnsi="仿宋_GB2312" w:eastAsia="仿宋_GB2312" w:cs="仿宋_GB2312"/>
          <w:sz w:val="32"/>
          <w:szCs w:val="32"/>
          <w:highlight w:val="none"/>
          <w:shd w:val="clear" w:color="auto" w:fill="auto"/>
          <w:lang w:val="en-US"/>
        </w:rPr>
      </w:pPr>
      <w:r>
        <w:rPr>
          <w:rFonts w:hint="eastAsia" w:ascii="仿宋_GB2312" w:hAnsi="仿宋_GB2312" w:eastAsia="仿宋_GB2312" w:cs="仿宋_GB2312"/>
          <w:color w:val="auto"/>
          <w:kern w:val="0"/>
          <w:sz w:val="32"/>
          <w:szCs w:val="32"/>
          <w:highlight w:val="none"/>
          <w:shd w:val="clear" w:color="auto" w:fill="auto"/>
          <w:lang w:val="en-US" w:eastAsia="zh-CN"/>
        </w:rPr>
        <w:t>我部门高度重视此次年度预算绩效评价工作，成立了绩效评价工作组，由副主席刘彬任绩效评价组组长，办公室主任夏龙飞任绩效评价组副组长，成员包括权益保障部部长于科；经济科技部部长田艳敏；联络文化部部长徐莉</w:t>
      </w:r>
      <w:r>
        <w:rPr>
          <w:rFonts w:hint="eastAsia" w:ascii="仿宋_GB2312" w:hAnsi="仿宋_GB2312" w:eastAsia="仿宋_GB2312" w:cs="仿宋_GB2312"/>
          <w:color w:val="auto"/>
          <w:kern w:val="0"/>
          <w:sz w:val="32"/>
          <w:szCs w:val="32"/>
          <w:highlight w:val="none"/>
          <w:shd w:val="clear" w:color="auto" w:fill="auto"/>
          <w:lang w:val="en-US" w:eastAsia="zh-CN"/>
        </w:rPr>
        <w:t>。积极推进自评工作开展。</w:t>
      </w:r>
    </w:p>
    <w:p w14:paraId="7358C7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仿宋" w:hAnsi="仿宋" w:eastAsia="仿宋" w:cs="仿宋"/>
          <w:b/>
          <w:bCs/>
          <w:sz w:val="32"/>
          <w:szCs w:val="32"/>
          <w:shd w:val="clear" w:color="auto" w:fill="auto"/>
          <w:lang w:val="en-US" w:eastAsia="zh-CN"/>
        </w:rPr>
      </w:pPr>
      <w:r>
        <w:rPr>
          <w:rFonts w:hint="eastAsia" w:ascii="仿宋" w:hAnsi="仿宋" w:eastAsia="仿宋" w:cs="仿宋"/>
          <w:b/>
          <w:bCs/>
          <w:sz w:val="32"/>
          <w:szCs w:val="32"/>
          <w:shd w:val="clear" w:color="auto" w:fill="auto"/>
          <w:lang w:val="en-US" w:eastAsia="zh-CN"/>
        </w:rPr>
        <w:t>2.绩效评价资料收集</w:t>
      </w:r>
    </w:p>
    <w:p w14:paraId="4E8C001D">
      <w:pPr>
        <w:keepNext w:val="0"/>
        <w:keepLines w:val="0"/>
        <w:pageBreakBefore w:val="0"/>
        <w:widowControl w:val="0"/>
        <w:kinsoku/>
        <w:wordWrap/>
        <w:overflowPunct/>
        <w:topLinePunct w:val="0"/>
        <w:autoSpaceDE/>
        <w:autoSpaceDN/>
        <w:bidi w:val="0"/>
        <w:snapToGrid w:val="0"/>
        <w:spacing w:line="560" w:lineRule="exact"/>
        <w:ind w:left="0" w:firstLine="640" w:firstLineChars="200"/>
        <w:textAlignment w:val="auto"/>
        <w:rPr>
          <w:rFonts w:hint="eastAsia" w:ascii="仿宋_GB2312" w:hAnsi="仿宋_GB2312" w:eastAsia="仿宋_GB2312" w:cs="仿宋_GB2312"/>
          <w:sz w:val="32"/>
          <w:szCs w:val="32"/>
          <w:highlight w:val="none"/>
          <w:shd w:val="clear" w:color="auto" w:fill="auto"/>
          <w:lang w:val="en-US" w:eastAsia="zh-CN"/>
        </w:rPr>
      </w:pPr>
      <w:r>
        <w:rPr>
          <w:rFonts w:hint="eastAsia" w:ascii="仿宋_GB2312" w:hAnsi="仿宋_GB2312" w:eastAsia="仿宋_GB2312" w:cs="仿宋_GB2312"/>
          <w:sz w:val="32"/>
          <w:szCs w:val="32"/>
          <w:highlight w:val="none"/>
          <w:shd w:val="clear" w:color="auto" w:fill="auto"/>
          <w:lang w:val="en-US" w:eastAsia="zh-CN"/>
        </w:rPr>
        <w:t>按照通知要求，我部门积极响应，组织相关人员召开专项会议，组织相关人员成立本年度绩效评价工作组，并由该小组组织拟定了自评工作方案，确定了本年度自评工作开展的实施过程。</w:t>
      </w:r>
    </w:p>
    <w:p w14:paraId="33BF8775">
      <w:pPr>
        <w:keepNext w:val="0"/>
        <w:keepLines w:val="0"/>
        <w:pageBreakBefore w:val="0"/>
        <w:widowControl w:val="0"/>
        <w:kinsoku/>
        <w:wordWrap/>
        <w:overflowPunct/>
        <w:topLinePunct w:val="0"/>
        <w:autoSpaceDE/>
        <w:autoSpaceDN/>
        <w:bidi w:val="0"/>
        <w:snapToGrid w:val="0"/>
        <w:spacing w:line="560" w:lineRule="exact"/>
        <w:ind w:left="0" w:firstLine="640" w:firstLineChars="200"/>
        <w:textAlignment w:val="auto"/>
        <w:rPr>
          <w:rFonts w:hint="default" w:ascii="仿宋_GB2312" w:hAnsi="仿宋_GB2312" w:eastAsia="仿宋_GB2312" w:cs="仿宋_GB2312"/>
          <w:sz w:val="32"/>
          <w:szCs w:val="32"/>
          <w:highlight w:val="none"/>
          <w:shd w:val="clear" w:color="auto" w:fill="auto"/>
          <w:lang w:val="en-US" w:eastAsia="zh-CN"/>
        </w:rPr>
      </w:pPr>
      <w:r>
        <w:rPr>
          <w:rFonts w:hint="eastAsia" w:ascii="仿宋_GB2312" w:hAnsi="仿宋_GB2312" w:eastAsia="仿宋_GB2312" w:cs="仿宋_GB2312"/>
          <w:sz w:val="32"/>
          <w:szCs w:val="32"/>
          <w:highlight w:val="none"/>
          <w:shd w:val="clear" w:color="auto" w:fill="auto"/>
          <w:lang w:val="en-US" w:eastAsia="zh-CN"/>
        </w:rPr>
        <w:t>本年度绩效自评所需资料包括2025年部门年度决算、年度部门预算绩效文本、上年度各项目预决算支出明细及上年度各项目具体实施材料。</w:t>
      </w:r>
      <w:r>
        <w:rPr>
          <w:rFonts w:hint="eastAsia" w:ascii="仿宋" w:hAnsi="仿宋" w:eastAsia="仿宋" w:cs="仿宋"/>
          <w:sz w:val="32"/>
          <w:szCs w:val="32"/>
          <w:shd w:val="clear" w:color="auto" w:fill="auto"/>
          <w:lang w:val="en-US" w:eastAsia="zh-CN"/>
        </w:rPr>
        <w:t>由绩效评价工作组对收集的资料进行审查并分类整理，深入分析各项目以及部门整体的绩效目标实现情况，并与相关人员结合预决算资金安排综合评价部门预算绩效的实现情况。</w:t>
      </w:r>
    </w:p>
    <w:p w14:paraId="1CA8A6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 w:hAnsi="仿宋" w:eastAsia="仿宋" w:cs="仿宋"/>
          <w:b/>
          <w:bCs/>
          <w:sz w:val="32"/>
          <w:szCs w:val="32"/>
          <w:shd w:val="clear" w:color="auto" w:fill="auto"/>
          <w:lang w:val="en-US" w:eastAsia="zh-CN"/>
        </w:rPr>
      </w:pPr>
      <w:bookmarkStart w:id="0" w:name="_Toc13297"/>
      <w:r>
        <w:rPr>
          <w:rFonts w:hint="eastAsia" w:ascii="仿宋" w:hAnsi="仿宋" w:eastAsia="仿宋" w:cs="仿宋"/>
          <w:b/>
          <w:bCs/>
          <w:sz w:val="32"/>
          <w:szCs w:val="32"/>
          <w:shd w:val="clear" w:color="auto" w:fill="auto"/>
          <w:lang w:val="en-US" w:eastAsia="zh-CN"/>
        </w:rPr>
        <w:t>3.绩效评价主要过程</w:t>
      </w:r>
      <w:bookmarkEnd w:id="0"/>
    </w:p>
    <w:p w14:paraId="560B42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pPr>
      <w:r>
        <w:rPr>
          <w:rFonts w:hint="eastAsia" w:ascii="仿宋" w:hAnsi="仿宋" w:eastAsia="仿宋" w:cs="仿宋"/>
          <w:sz w:val="32"/>
          <w:szCs w:val="32"/>
          <w:shd w:val="clear" w:color="auto" w:fill="auto"/>
          <w:lang w:val="en-US" w:eastAsia="zh-CN"/>
        </w:rPr>
        <w:t>绩效评价工作组根据所收集的部门整体及预算项目绩效相关资料，</w:t>
      </w:r>
      <w:r>
        <w:rPr>
          <w:rFonts w:hint="eastAsia" w:ascii="仿宋" w:hAnsi="仿宋" w:eastAsia="仿宋" w:cs="仿宋"/>
          <w:sz w:val="32"/>
          <w:szCs w:val="32"/>
          <w:shd w:val="clear" w:color="auto" w:fill="auto"/>
        </w:rPr>
        <w:t>将资金使用产出及效果与年初指标值相比较，完成相应指标值的</w:t>
      </w:r>
      <w:r>
        <w:rPr>
          <w:rFonts w:hint="eastAsia" w:ascii="仿宋" w:hAnsi="仿宋" w:eastAsia="仿宋" w:cs="仿宋"/>
          <w:sz w:val="32"/>
          <w:szCs w:val="32"/>
          <w:shd w:val="clear" w:color="auto" w:fill="auto"/>
          <w:lang w:val="en-US" w:eastAsia="zh-CN"/>
        </w:rPr>
        <w:t>填报</w:t>
      </w:r>
      <w:r>
        <w:rPr>
          <w:rFonts w:hint="eastAsia" w:ascii="仿宋" w:hAnsi="仿宋" w:eastAsia="仿宋" w:cs="仿宋"/>
          <w:sz w:val="32"/>
          <w:szCs w:val="32"/>
          <w:shd w:val="clear" w:color="auto" w:fill="auto"/>
        </w:rPr>
        <w:t>；对完成值高于指标值较多的</w:t>
      </w:r>
      <w:r>
        <w:rPr>
          <w:rFonts w:hint="eastAsia" w:ascii="仿宋" w:hAnsi="仿宋" w:eastAsia="仿宋" w:cs="仿宋"/>
          <w:sz w:val="32"/>
          <w:szCs w:val="32"/>
          <w:shd w:val="clear" w:color="auto" w:fill="auto"/>
          <w:lang w:val="en-US" w:eastAsia="zh-CN"/>
        </w:rPr>
        <w:t>或者未完成的项目</w:t>
      </w:r>
      <w:r>
        <w:rPr>
          <w:rFonts w:hint="eastAsia" w:ascii="仿宋" w:hAnsi="仿宋" w:eastAsia="仿宋" w:cs="仿宋"/>
          <w:sz w:val="32"/>
          <w:szCs w:val="32"/>
          <w:shd w:val="clear" w:color="auto" w:fill="auto"/>
        </w:rPr>
        <w:t>，分析其形成原因，针对评价过程中发现的问题进一步提出相关意见建议，为以后年度我</w:t>
      </w:r>
      <w:r>
        <w:rPr>
          <w:rFonts w:hint="eastAsia" w:ascii="仿宋" w:hAnsi="仿宋" w:eastAsia="仿宋" w:cs="仿宋"/>
          <w:sz w:val="32"/>
          <w:szCs w:val="32"/>
          <w:shd w:val="clear" w:color="auto" w:fill="auto"/>
          <w:lang w:val="en-US" w:eastAsia="zh-CN"/>
        </w:rPr>
        <w:t>单位</w:t>
      </w:r>
      <w:r>
        <w:rPr>
          <w:rFonts w:hint="eastAsia" w:ascii="仿宋" w:hAnsi="仿宋" w:eastAsia="仿宋" w:cs="仿宋"/>
          <w:sz w:val="32"/>
          <w:szCs w:val="32"/>
          <w:shd w:val="clear" w:color="auto" w:fill="auto"/>
        </w:rPr>
        <w:t>履行部门职责作出更好的预算管理和资金安排。</w:t>
      </w:r>
    </w:p>
    <w:p w14:paraId="505029B5">
      <w:pPr>
        <w:numPr>
          <w:ilvl w:val="0"/>
          <w:numId w:val="0"/>
        </w:numPr>
        <w:tabs>
          <w:tab w:val="left" w:pos="0"/>
        </w:tabs>
        <w:spacing w:line="560" w:lineRule="exact"/>
        <w:ind w:left="642" w:leftChars="0" w:firstLine="0" w:firstLineChars="0"/>
        <w:rPr>
          <w:rFonts w:ascii="楷体" w:eastAsia="楷体" w:cs="楷体_GB2312"/>
          <w:bCs/>
          <w:sz w:val="32"/>
          <w:szCs w:val="32"/>
        </w:rPr>
      </w:pPr>
      <w:r>
        <w:rPr>
          <w:rFonts w:hint="eastAsia" w:ascii="楷体" w:hAnsi="Calibri" w:eastAsia="楷体" w:cs="楷体_GB2312"/>
          <w:bCs/>
          <w:kern w:val="2"/>
          <w:sz w:val="32"/>
          <w:szCs w:val="32"/>
          <w:lang w:val="en-US" w:eastAsia="zh-CN" w:bidi="ar-SA"/>
        </w:rPr>
        <w:t>（二）</w:t>
      </w:r>
      <w:r>
        <w:rPr>
          <w:rFonts w:hint="eastAsia" w:ascii="楷体" w:eastAsia="楷体" w:cs="楷体_GB2312"/>
          <w:bCs/>
          <w:sz w:val="32"/>
          <w:szCs w:val="32"/>
        </w:rPr>
        <w:t>自评的方法和过程</w:t>
      </w:r>
    </w:p>
    <w:p w14:paraId="31E6D6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 w:hAnsi="仿宋" w:eastAsia="仿宋" w:cs="仿宋"/>
          <w:b/>
          <w:bCs/>
          <w:sz w:val="32"/>
          <w:szCs w:val="32"/>
          <w:shd w:val="clear" w:color="auto" w:fill="auto"/>
          <w:lang w:val="en-US" w:eastAsia="zh-CN"/>
        </w:rPr>
      </w:pPr>
      <w:r>
        <w:rPr>
          <w:rFonts w:hint="eastAsia" w:ascii="仿宋" w:hAnsi="仿宋" w:eastAsia="仿宋" w:cs="仿宋"/>
          <w:b/>
          <w:bCs/>
          <w:sz w:val="32"/>
          <w:szCs w:val="32"/>
          <w:shd w:val="clear" w:color="auto" w:fill="auto"/>
          <w:lang w:val="en-US" w:eastAsia="zh-CN"/>
        </w:rPr>
        <w:t>1.自评的方法</w:t>
      </w:r>
    </w:p>
    <w:p w14:paraId="1FE2E589">
      <w:pPr>
        <w:keepNext w:val="0"/>
        <w:keepLines w:val="0"/>
        <w:pageBreakBefore w:val="0"/>
        <w:widowControl w:val="0"/>
        <w:numPr>
          <w:ilvl w:val="0"/>
          <w:numId w:val="0"/>
        </w:numPr>
        <w:kinsoku/>
        <w:wordWrap/>
        <w:overflowPunct/>
        <w:topLinePunct w:val="0"/>
        <w:autoSpaceDE/>
        <w:autoSpaceDN/>
        <w:bidi w:val="0"/>
        <w:spacing w:line="560" w:lineRule="exact"/>
        <w:ind w:left="0" w:right="0" w:rightChars="0" w:firstLine="640" w:firstLineChars="200"/>
        <w:textAlignment w:val="auto"/>
        <w:outlineLvl w:val="9"/>
        <w:rPr>
          <w:rFonts w:hint="eastAsia" w:ascii="仿宋_GB2312" w:hAnsi="仿宋_GB2312" w:eastAsia="仿宋_GB2312" w:cs="仿宋_GB2312"/>
          <w:sz w:val="32"/>
          <w:szCs w:val="32"/>
          <w:highlight w:val="none"/>
          <w:shd w:val="clear" w:color="auto" w:fill="auto"/>
        </w:rPr>
      </w:pPr>
      <w:r>
        <w:rPr>
          <w:rFonts w:hint="eastAsia" w:ascii="仿宋_GB2312" w:hAnsi="仿宋_GB2312" w:eastAsia="仿宋_GB2312" w:cs="仿宋_GB2312"/>
          <w:sz w:val="32"/>
          <w:szCs w:val="32"/>
          <w:highlight w:val="none"/>
          <w:shd w:val="clear" w:color="auto" w:fill="auto"/>
        </w:rPr>
        <w:t>1</w:t>
      </w:r>
      <w:r>
        <w:rPr>
          <w:rFonts w:hint="eastAsia" w:ascii="仿宋_GB2312" w:hAnsi="仿宋_GB2312" w:eastAsia="仿宋_GB2312" w:cs="仿宋_GB2312"/>
          <w:sz w:val="32"/>
          <w:szCs w:val="32"/>
          <w:highlight w:val="none"/>
          <w:shd w:val="clear" w:color="auto" w:fill="auto"/>
          <w:lang w:eastAsia="zh-CN"/>
        </w:rPr>
        <w:t>.</w:t>
      </w:r>
      <w:r>
        <w:rPr>
          <w:rFonts w:hint="eastAsia" w:ascii="仿宋_GB2312" w:hAnsi="仿宋_GB2312" w:eastAsia="仿宋_GB2312" w:cs="仿宋_GB2312"/>
          <w:sz w:val="32"/>
          <w:szCs w:val="32"/>
          <w:highlight w:val="none"/>
          <w:shd w:val="clear" w:color="auto" w:fill="auto"/>
        </w:rPr>
        <w:t>科学公正原则</w:t>
      </w:r>
      <w:r>
        <w:rPr>
          <w:rFonts w:hint="eastAsia" w:ascii="仿宋_GB2312" w:hAnsi="仿宋_GB2312" w:eastAsia="仿宋_GB2312" w:cs="仿宋_GB2312"/>
          <w:sz w:val="32"/>
          <w:szCs w:val="32"/>
          <w:highlight w:val="none"/>
          <w:shd w:val="clear" w:color="auto" w:fill="auto"/>
          <w:lang w:eastAsia="zh-CN"/>
        </w:rPr>
        <w:t>。</w:t>
      </w:r>
      <w:r>
        <w:rPr>
          <w:rFonts w:hint="eastAsia" w:ascii="仿宋_GB2312" w:hAnsi="仿宋_GB2312" w:eastAsia="仿宋_GB2312" w:cs="仿宋_GB2312"/>
          <w:sz w:val="32"/>
          <w:szCs w:val="32"/>
          <w:highlight w:val="none"/>
          <w:shd w:val="clear" w:color="auto" w:fill="auto"/>
        </w:rPr>
        <w:t>此次绩效自评运用科学合理的方法，按照规范的程序，对我局部门整体预算资金使用绩效进行客观、公正</w:t>
      </w:r>
      <w:r>
        <w:rPr>
          <w:rFonts w:hint="eastAsia" w:ascii="仿宋_GB2312" w:hAnsi="仿宋_GB2312" w:eastAsia="仿宋_GB2312" w:cs="仿宋_GB2312"/>
          <w:sz w:val="32"/>
          <w:szCs w:val="32"/>
          <w:highlight w:val="none"/>
          <w:shd w:val="clear" w:color="auto" w:fill="auto"/>
          <w:lang w:eastAsia="zh-CN"/>
        </w:rPr>
        <w:t>地</w:t>
      </w:r>
      <w:r>
        <w:rPr>
          <w:rFonts w:hint="eastAsia" w:ascii="仿宋_GB2312" w:hAnsi="仿宋_GB2312" w:eastAsia="仿宋_GB2312" w:cs="仿宋_GB2312"/>
          <w:sz w:val="32"/>
          <w:szCs w:val="32"/>
          <w:highlight w:val="none"/>
          <w:shd w:val="clear" w:color="auto" w:fill="auto"/>
        </w:rPr>
        <w:t>反映。</w:t>
      </w:r>
    </w:p>
    <w:p w14:paraId="255A1F1A">
      <w:pPr>
        <w:keepNext w:val="0"/>
        <w:keepLines w:val="0"/>
        <w:pageBreakBefore w:val="0"/>
        <w:widowControl w:val="0"/>
        <w:kinsoku/>
        <w:wordWrap/>
        <w:overflowPunct/>
        <w:topLinePunct w:val="0"/>
        <w:autoSpaceDE/>
        <w:autoSpaceDN/>
        <w:bidi w:val="0"/>
        <w:snapToGrid w:val="0"/>
        <w:spacing w:line="560" w:lineRule="exact"/>
        <w:ind w:left="0" w:firstLine="640" w:firstLineChars="200"/>
        <w:textAlignment w:val="auto"/>
        <w:rPr>
          <w:rFonts w:hint="eastAsia" w:ascii="仿宋_GB2312" w:hAnsi="仿宋_GB2312" w:eastAsia="仿宋_GB2312" w:cs="仿宋_GB2312"/>
          <w:sz w:val="32"/>
          <w:szCs w:val="32"/>
          <w:highlight w:val="none"/>
          <w:shd w:val="clear" w:color="auto" w:fill="auto"/>
        </w:rPr>
      </w:pPr>
      <w:r>
        <w:rPr>
          <w:rFonts w:hint="eastAsia" w:ascii="仿宋_GB2312" w:hAnsi="仿宋_GB2312" w:eastAsia="仿宋_GB2312" w:cs="仿宋_GB2312"/>
          <w:sz w:val="32"/>
          <w:szCs w:val="32"/>
          <w:highlight w:val="none"/>
          <w:shd w:val="clear" w:color="auto" w:fill="auto"/>
        </w:rPr>
        <w:t>2</w:t>
      </w:r>
      <w:r>
        <w:rPr>
          <w:rFonts w:hint="eastAsia" w:ascii="仿宋_GB2312" w:hAnsi="仿宋_GB2312" w:eastAsia="仿宋_GB2312" w:cs="仿宋_GB2312"/>
          <w:sz w:val="32"/>
          <w:szCs w:val="32"/>
          <w:highlight w:val="none"/>
          <w:shd w:val="clear" w:color="auto" w:fill="auto"/>
          <w:lang w:eastAsia="zh-CN"/>
        </w:rPr>
        <w:t>.</w:t>
      </w:r>
      <w:r>
        <w:rPr>
          <w:rFonts w:hint="eastAsia" w:ascii="仿宋_GB2312" w:hAnsi="仿宋_GB2312" w:eastAsia="仿宋_GB2312" w:cs="仿宋_GB2312"/>
          <w:sz w:val="32"/>
          <w:szCs w:val="32"/>
          <w:highlight w:val="none"/>
          <w:shd w:val="clear" w:color="auto" w:fill="auto"/>
        </w:rPr>
        <w:t>统筹兼顾原则</w:t>
      </w:r>
      <w:r>
        <w:rPr>
          <w:rFonts w:hint="eastAsia" w:ascii="仿宋_GB2312" w:hAnsi="仿宋_GB2312" w:eastAsia="仿宋_GB2312" w:cs="仿宋_GB2312"/>
          <w:sz w:val="32"/>
          <w:szCs w:val="32"/>
          <w:highlight w:val="none"/>
          <w:shd w:val="clear" w:color="auto" w:fill="auto"/>
          <w:lang w:eastAsia="zh-CN"/>
        </w:rPr>
        <w:t>。</w:t>
      </w:r>
      <w:r>
        <w:rPr>
          <w:rFonts w:hint="eastAsia" w:ascii="仿宋_GB2312" w:hAnsi="仿宋_GB2312" w:eastAsia="仿宋_GB2312" w:cs="仿宋_GB2312"/>
          <w:sz w:val="32"/>
          <w:szCs w:val="32"/>
          <w:highlight w:val="none"/>
          <w:shd w:val="clear" w:color="auto" w:fill="auto"/>
        </w:rPr>
        <w:t>单位自评、部门自评和财政自评应职责明确，各有侧重，相互衔接，绩效自评结果将上报财政部门作为财政自评参考依据。</w:t>
      </w:r>
    </w:p>
    <w:p w14:paraId="253243D3">
      <w:pPr>
        <w:keepNext w:val="0"/>
        <w:keepLines w:val="0"/>
        <w:pageBreakBefore w:val="0"/>
        <w:widowControl w:val="0"/>
        <w:kinsoku/>
        <w:wordWrap/>
        <w:overflowPunct/>
        <w:topLinePunct w:val="0"/>
        <w:autoSpaceDE/>
        <w:autoSpaceDN/>
        <w:bidi w:val="0"/>
        <w:snapToGrid w:val="0"/>
        <w:spacing w:line="560" w:lineRule="exact"/>
        <w:ind w:left="0" w:firstLine="640" w:firstLineChars="200"/>
        <w:textAlignment w:val="auto"/>
        <w:rPr>
          <w:rFonts w:hint="eastAsia" w:ascii="仿宋_GB2312" w:hAnsi="仿宋_GB2312" w:eastAsia="仿宋_GB2312" w:cs="仿宋_GB2312"/>
          <w:sz w:val="32"/>
          <w:szCs w:val="32"/>
          <w:highlight w:val="none"/>
          <w:shd w:val="clear" w:color="auto" w:fill="auto"/>
        </w:rPr>
      </w:pPr>
      <w:r>
        <w:rPr>
          <w:rFonts w:hint="eastAsia" w:ascii="仿宋_GB2312" w:hAnsi="仿宋_GB2312" w:eastAsia="仿宋_GB2312" w:cs="仿宋_GB2312"/>
          <w:sz w:val="32"/>
          <w:szCs w:val="32"/>
          <w:highlight w:val="none"/>
          <w:shd w:val="clear" w:color="auto" w:fill="auto"/>
        </w:rPr>
        <w:t>3</w:t>
      </w:r>
      <w:r>
        <w:rPr>
          <w:rFonts w:hint="eastAsia" w:ascii="仿宋_GB2312" w:hAnsi="仿宋_GB2312" w:eastAsia="仿宋_GB2312" w:cs="仿宋_GB2312"/>
          <w:sz w:val="32"/>
          <w:szCs w:val="32"/>
          <w:highlight w:val="none"/>
          <w:shd w:val="clear" w:color="auto" w:fill="auto"/>
          <w:lang w:eastAsia="zh-CN"/>
        </w:rPr>
        <w:t>.</w:t>
      </w:r>
      <w:r>
        <w:rPr>
          <w:rFonts w:hint="eastAsia" w:ascii="仿宋_GB2312" w:hAnsi="仿宋_GB2312" w:eastAsia="仿宋_GB2312" w:cs="仿宋_GB2312"/>
          <w:sz w:val="32"/>
          <w:szCs w:val="32"/>
          <w:highlight w:val="none"/>
          <w:shd w:val="clear" w:color="auto" w:fill="auto"/>
        </w:rPr>
        <w:t>激励约束原则</w:t>
      </w:r>
      <w:r>
        <w:rPr>
          <w:rFonts w:hint="eastAsia" w:ascii="仿宋_GB2312" w:hAnsi="仿宋_GB2312" w:eastAsia="仿宋_GB2312" w:cs="仿宋_GB2312"/>
          <w:sz w:val="32"/>
          <w:szCs w:val="32"/>
          <w:highlight w:val="none"/>
          <w:shd w:val="clear" w:color="auto" w:fill="auto"/>
          <w:lang w:eastAsia="zh-CN"/>
        </w:rPr>
        <w:t>。</w:t>
      </w:r>
      <w:r>
        <w:rPr>
          <w:rFonts w:hint="eastAsia" w:ascii="仿宋_GB2312" w:hAnsi="仿宋_GB2312" w:eastAsia="仿宋_GB2312" w:cs="仿宋_GB2312"/>
          <w:sz w:val="32"/>
          <w:szCs w:val="32"/>
          <w:highlight w:val="none"/>
          <w:shd w:val="clear" w:color="auto" w:fill="auto"/>
        </w:rPr>
        <w:t>此次绩效自评结果与预算安排、政策调整、改进管</w:t>
      </w:r>
      <w:r>
        <w:rPr>
          <w:rFonts w:hint="eastAsia" w:ascii="仿宋_GB2312" w:hAnsi="仿宋_GB2312" w:eastAsia="仿宋_GB2312" w:cs="仿宋_GB2312"/>
          <w:sz w:val="32"/>
          <w:szCs w:val="32"/>
          <w:highlight w:val="none"/>
          <w:shd w:val="clear" w:color="auto" w:fill="auto"/>
          <w:lang w:eastAsia="zh-CN"/>
        </w:rPr>
        <w:t>理等</w:t>
      </w:r>
      <w:r>
        <w:rPr>
          <w:rFonts w:hint="eastAsia" w:ascii="仿宋_GB2312" w:hAnsi="仿宋_GB2312" w:eastAsia="仿宋_GB2312" w:cs="仿宋_GB2312"/>
          <w:sz w:val="32"/>
          <w:szCs w:val="32"/>
          <w:highlight w:val="none"/>
          <w:shd w:val="clear" w:color="auto" w:fill="auto"/>
        </w:rPr>
        <w:t>实质性挂钩，体现奖优罚劣和激励相容导向，有效安排、低效压减、无效问责。</w:t>
      </w:r>
    </w:p>
    <w:p w14:paraId="59949F92">
      <w:pPr>
        <w:keepNext w:val="0"/>
        <w:keepLines w:val="0"/>
        <w:pageBreakBefore w:val="0"/>
        <w:widowControl w:val="0"/>
        <w:kinsoku/>
        <w:wordWrap/>
        <w:overflowPunct/>
        <w:topLinePunct w:val="0"/>
        <w:autoSpaceDE/>
        <w:autoSpaceDN/>
        <w:bidi w:val="0"/>
        <w:snapToGrid w:val="0"/>
        <w:spacing w:line="560" w:lineRule="exact"/>
        <w:ind w:left="0" w:firstLine="640" w:firstLineChars="200"/>
        <w:textAlignment w:val="auto"/>
        <w:rPr>
          <w:rFonts w:hint="eastAsia" w:ascii="仿宋_GB2312" w:hAnsi="仿宋_GB2312" w:eastAsia="仿宋_GB2312" w:cs="仿宋_GB2312"/>
          <w:sz w:val="32"/>
          <w:szCs w:val="32"/>
          <w:highlight w:val="none"/>
          <w:shd w:val="clear" w:color="auto" w:fill="auto"/>
        </w:rPr>
      </w:pPr>
      <w:r>
        <w:rPr>
          <w:rFonts w:hint="eastAsia" w:ascii="仿宋_GB2312" w:hAnsi="仿宋_GB2312" w:eastAsia="仿宋_GB2312" w:cs="仿宋_GB2312"/>
          <w:sz w:val="32"/>
          <w:szCs w:val="32"/>
          <w:highlight w:val="none"/>
          <w:shd w:val="clear" w:color="auto" w:fill="auto"/>
        </w:rPr>
        <w:t>4</w:t>
      </w:r>
      <w:r>
        <w:rPr>
          <w:rFonts w:hint="eastAsia" w:ascii="仿宋_GB2312" w:hAnsi="仿宋_GB2312" w:eastAsia="仿宋_GB2312" w:cs="仿宋_GB2312"/>
          <w:sz w:val="32"/>
          <w:szCs w:val="32"/>
          <w:highlight w:val="none"/>
          <w:shd w:val="clear" w:color="auto" w:fill="auto"/>
          <w:lang w:eastAsia="zh-CN"/>
        </w:rPr>
        <w:t>.</w:t>
      </w:r>
      <w:r>
        <w:rPr>
          <w:rFonts w:hint="eastAsia" w:ascii="仿宋_GB2312" w:hAnsi="仿宋_GB2312" w:eastAsia="仿宋_GB2312" w:cs="仿宋_GB2312"/>
          <w:sz w:val="32"/>
          <w:szCs w:val="32"/>
          <w:highlight w:val="none"/>
          <w:shd w:val="clear" w:color="auto" w:fill="auto"/>
        </w:rPr>
        <w:t>公开透明原则</w:t>
      </w:r>
      <w:r>
        <w:rPr>
          <w:rFonts w:hint="eastAsia" w:ascii="仿宋_GB2312" w:hAnsi="仿宋_GB2312" w:eastAsia="仿宋_GB2312" w:cs="仿宋_GB2312"/>
          <w:sz w:val="32"/>
          <w:szCs w:val="32"/>
          <w:highlight w:val="none"/>
          <w:shd w:val="clear" w:color="auto" w:fill="auto"/>
          <w:lang w:eastAsia="zh-CN"/>
        </w:rPr>
        <w:t>。</w:t>
      </w:r>
      <w:r>
        <w:rPr>
          <w:rFonts w:hint="eastAsia" w:ascii="仿宋_GB2312" w:hAnsi="仿宋_GB2312" w:eastAsia="仿宋_GB2312" w:cs="仿宋_GB2312"/>
          <w:sz w:val="32"/>
          <w:szCs w:val="32"/>
          <w:highlight w:val="none"/>
          <w:shd w:val="clear" w:color="auto" w:fill="auto"/>
        </w:rPr>
        <w:t>此次绩效自评结果应依法依规在政府门户网站进行公开，并自觉接受社会监督。</w:t>
      </w:r>
    </w:p>
    <w:p w14:paraId="1D0DBC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 w:hAnsi="仿宋" w:eastAsia="仿宋" w:cs="仿宋"/>
          <w:b/>
          <w:bCs/>
          <w:sz w:val="32"/>
          <w:szCs w:val="32"/>
          <w:shd w:val="clear" w:color="auto" w:fill="auto"/>
          <w:lang w:val="en-US" w:eastAsia="zh-CN"/>
        </w:rPr>
      </w:pPr>
      <w:r>
        <w:rPr>
          <w:rFonts w:hint="eastAsia" w:ascii="仿宋" w:hAnsi="仿宋" w:eastAsia="仿宋" w:cs="仿宋"/>
          <w:b/>
          <w:bCs/>
          <w:sz w:val="32"/>
          <w:szCs w:val="32"/>
          <w:shd w:val="clear" w:color="auto" w:fill="auto"/>
          <w:lang w:val="en-US" w:eastAsia="zh-CN"/>
        </w:rPr>
        <w:t>2.自评的过程</w:t>
      </w:r>
    </w:p>
    <w:p w14:paraId="63DD3CF0">
      <w:pPr>
        <w:keepNext w:val="0"/>
        <w:keepLines w:val="0"/>
        <w:pageBreakBefore w:val="0"/>
        <w:widowControl w:val="0"/>
        <w:kinsoku/>
        <w:wordWrap/>
        <w:overflowPunct/>
        <w:topLinePunct w:val="0"/>
        <w:autoSpaceDE/>
        <w:autoSpaceDN/>
        <w:bidi w:val="0"/>
        <w:snapToGrid w:val="0"/>
        <w:spacing w:line="560" w:lineRule="exact"/>
        <w:ind w:left="0" w:firstLine="640" w:firstLineChars="200"/>
        <w:textAlignment w:val="auto"/>
        <w:rPr>
          <w:rFonts w:hint="eastAsia" w:ascii="仿宋_GB2312" w:hAnsi="仿宋_GB2312" w:eastAsia="仿宋_GB2312" w:cs="仿宋_GB2312"/>
          <w:sz w:val="32"/>
          <w:szCs w:val="32"/>
          <w:highlight w:val="none"/>
          <w:shd w:val="clear" w:color="auto" w:fill="auto"/>
        </w:rPr>
      </w:pPr>
      <w:r>
        <w:rPr>
          <w:rFonts w:hint="eastAsia" w:ascii="仿宋_GB2312" w:hAnsi="仿宋_GB2312" w:eastAsia="仿宋_GB2312" w:cs="仿宋_GB2312"/>
          <w:sz w:val="32"/>
          <w:szCs w:val="32"/>
          <w:highlight w:val="none"/>
          <w:shd w:val="clear" w:color="auto" w:fill="auto"/>
        </w:rPr>
        <w:t>本次绩效自评将结合</w:t>
      </w:r>
      <w:r>
        <w:rPr>
          <w:rFonts w:hint="eastAsia" w:ascii="仿宋_GB2312" w:hAnsi="仿宋_GB2312" w:eastAsia="仿宋_GB2312" w:cs="仿宋_GB2312"/>
          <w:sz w:val="32"/>
          <w:szCs w:val="32"/>
          <w:highlight w:val="none"/>
          <w:shd w:val="clear" w:color="auto" w:fill="auto"/>
          <w:lang w:eastAsia="zh-CN"/>
        </w:rPr>
        <w:t>我部门</w:t>
      </w:r>
      <w:r>
        <w:rPr>
          <w:rFonts w:hint="eastAsia" w:ascii="仿宋_GB2312" w:hAnsi="仿宋_GB2312" w:eastAsia="仿宋_GB2312" w:cs="仿宋_GB2312"/>
          <w:sz w:val="32"/>
          <w:szCs w:val="32"/>
          <w:highlight w:val="none"/>
          <w:shd w:val="clear" w:color="auto" w:fill="auto"/>
        </w:rPr>
        <w:t>20</w:t>
      </w:r>
      <w:r>
        <w:rPr>
          <w:rFonts w:hint="eastAsia" w:ascii="仿宋_GB2312" w:hAnsi="仿宋_GB2312" w:eastAsia="仿宋_GB2312" w:cs="仿宋_GB2312"/>
          <w:sz w:val="32"/>
          <w:szCs w:val="32"/>
          <w:highlight w:val="none"/>
          <w:shd w:val="clear" w:color="auto" w:fill="auto"/>
          <w:lang w:val="en-US" w:eastAsia="zh-CN"/>
        </w:rPr>
        <w:t>25</w:t>
      </w:r>
      <w:r>
        <w:rPr>
          <w:rFonts w:hint="eastAsia" w:ascii="仿宋_GB2312" w:hAnsi="仿宋_GB2312" w:eastAsia="仿宋_GB2312" w:cs="仿宋_GB2312"/>
          <w:sz w:val="32"/>
          <w:szCs w:val="32"/>
          <w:highlight w:val="none"/>
          <w:shd w:val="clear" w:color="auto" w:fill="auto"/>
        </w:rPr>
        <w:t>年度部门整体支出实际情况，运用科学、规范、合理的评价方法，全面、真实、客观地对</w:t>
      </w:r>
      <w:r>
        <w:rPr>
          <w:rFonts w:hint="eastAsia" w:ascii="仿宋_GB2312" w:hAnsi="仿宋_GB2312" w:eastAsia="仿宋_GB2312" w:cs="仿宋_GB2312"/>
          <w:sz w:val="32"/>
          <w:szCs w:val="32"/>
          <w:highlight w:val="none"/>
          <w:shd w:val="clear" w:color="auto" w:fill="auto"/>
          <w:lang w:eastAsia="zh-CN"/>
        </w:rPr>
        <w:t>我部门</w:t>
      </w:r>
      <w:r>
        <w:rPr>
          <w:rFonts w:hint="eastAsia" w:ascii="仿宋_GB2312" w:hAnsi="仿宋_GB2312" w:eastAsia="仿宋_GB2312" w:cs="仿宋_GB2312"/>
          <w:sz w:val="32"/>
          <w:szCs w:val="32"/>
          <w:highlight w:val="none"/>
          <w:shd w:val="clear" w:color="auto" w:fill="auto"/>
        </w:rPr>
        <w:t>年度一般公共预算财政拨款资金支出情况、相关制度健全性、项目完成情况及部门履职效果等内容进行综合评价全面反映财政资金使用成效和部门职能的实现程度，针对评价过程中发现的问题进一步提出相关意见建议，为以后年度</w:t>
      </w:r>
      <w:r>
        <w:rPr>
          <w:rFonts w:hint="eastAsia" w:ascii="仿宋_GB2312" w:hAnsi="仿宋_GB2312" w:eastAsia="仿宋_GB2312" w:cs="仿宋_GB2312"/>
          <w:sz w:val="32"/>
          <w:szCs w:val="32"/>
          <w:highlight w:val="none"/>
          <w:shd w:val="clear" w:color="auto" w:fill="auto"/>
          <w:lang w:eastAsia="zh-CN"/>
        </w:rPr>
        <w:t>我部门</w:t>
      </w:r>
      <w:r>
        <w:rPr>
          <w:rFonts w:hint="eastAsia" w:ascii="仿宋_GB2312" w:hAnsi="仿宋_GB2312" w:eastAsia="仿宋_GB2312" w:cs="仿宋_GB2312"/>
          <w:sz w:val="32"/>
          <w:szCs w:val="32"/>
          <w:highlight w:val="none"/>
          <w:shd w:val="clear" w:color="auto" w:fill="auto"/>
        </w:rPr>
        <w:t>履行部门职责作出更好的预算管理和资金安排。</w:t>
      </w:r>
    </w:p>
    <w:p w14:paraId="7CC4A0FE">
      <w:pPr>
        <w:spacing w:line="560" w:lineRule="exact"/>
        <w:rPr>
          <w:rFonts w:ascii="黑体" w:eastAsia="黑体"/>
          <w:b/>
          <w:bCs/>
          <w:sz w:val="32"/>
          <w:szCs w:val="32"/>
        </w:rPr>
      </w:pPr>
      <w:r>
        <w:rPr>
          <w:rFonts w:hint="eastAsia" w:ascii="黑体" w:eastAsia="黑体"/>
          <w:sz w:val="32"/>
          <w:szCs w:val="32"/>
        </w:rPr>
        <w:t xml:space="preserve">    三、部门整体支出绩效目标实现情况及指标分析</w:t>
      </w:r>
    </w:p>
    <w:p w14:paraId="6AE22B9C">
      <w:pPr>
        <w:numPr>
          <w:ilvl w:val="0"/>
          <w:numId w:val="1"/>
        </w:numPr>
        <w:spacing w:line="560" w:lineRule="exact"/>
        <w:ind w:left="0" w:firstLine="640" w:firstLineChars="200"/>
        <w:rPr>
          <w:rFonts w:ascii="楷体" w:eastAsia="楷体" w:cs="楷体_GB2312"/>
          <w:bCs/>
          <w:sz w:val="32"/>
          <w:szCs w:val="32"/>
        </w:rPr>
      </w:pPr>
      <w:r>
        <w:rPr>
          <w:rFonts w:hint="eastAsia" w:ascii="楷体" w:eastAsia="楷体" w:cs="楷体_GB2312"/>
          <w:bCs/>
          <w:sz w:val="32"/>
          <w:szCs w:val="32"/>
        </w:rPr>
        <w:t>总体绩效目标实现情况</w:t>
      </w:r>
    </w:p>
    <w:p w14:paraId="6148C99A">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9"/>
        <w:rPr>
          <w:rFonts w:hint="eastAsia" w:ascii="仿宋" w:eastAsia="仿宋"/>
          <w:sz w:val="32"/>
          <w:szCs w:val="32"/>
        </w:rPr>
      </w:pPr>
      <w:r>
        <w:rPr>
          <w:rFonts w:hint="default" w:ascii="仿宋_GB2312" w:eastAsia="仿宋_GB2312"/>
          <w:sz w:val="32"/>
          <w:szCs w:val="32"/>
          <w:highlight w:val="none"/>
          <w:shd w:val="clear" w:color="auto" w:fill="auto"/>
          <w:lang w:val="en-US" w:eastAsia="zh-CN"/>
        </w:rPr>
        <w:t>2025</w:t>
      </w:r>
      <w:r>
        <w:rPr>
          <w:rFonts w:hint="eastAsia" w:ascii="仿宋_GB2312" w:eastAsia="仿宋_GB2312"/>
          <w:sz w:val="32"/>
          <w:szCs w:val="32"/>
          <w:highlight w:val="none"/>
          <w:shd w:val="clear" w:color="auto" w:fill="auto"/>
          <w:lang w:val="en-US" w:eastAsia="zh-CN"/>
        </w:rPr>
        <w:t>年，我单位坚持以习近平新时代中国特色社会主义思想为指导，深入学习贯彻党的二十大和</w:t>
      </w:r>
      <w:r>
        <w:rPr>
          <w:rFonts w:hint="default" w:ascii="仿宋_GB2312" w:eastAsia="仿宋_GB2312"/>
          <w:sz w:val="32"/>
          <w:szCs w:val="32"/>
          <w:highlight w:val="none"/>
          <w:shd w:val="clear" w:color="auto" w:fill="auto"/>
          <w:lang w:val="en-US" w:eastAsia="zh-CN"/>
        </w:rPr>
        <w:t>二十届二中</w:t>
      </w:r>
      <w:r>
        <w:rPr>
          <w:rFonts w:hint="eastAsia" w:ascii="仿宋_GB2312" w:eastAsia="仿宋_GB2312"/>
          <w:sz w:val="32"/>
          <w:szCs w:val="32"/>
          <w:highlight w:val="none"/>
          <w:shd w:val="clear" w:color="auto" w:fill="auto"/>
          <w:lang w:val="en-US" w:eastAsia="zh-CN"/>
        </w:rPr>
        <w:t>、三中、四中</w:t>
      </w:r>
      <w:r>
        <w:rPr>
          <w:rFonts w:hint="default" w:ascii="仿宋_GB2312" w:eastAsia="仿宋_GB2312"/>
          <w:sz w:val="32"/>
          <w:szCs w:val="32"/>
          <w:highlight w:val="none"/>
          <w:shd w:val="clear" w:color="auto" w:fill="auto"/>
          <w:lang w:val="en-US" w:eastAsia="zh-CN"/>
        </w:rPr>
        <w:t>全会</w:t>
      </w:r>
      <w:r>
        <w:rPr>
          <w:rFonts w:hint="eastAsia" w:ascii="仿宋_GB2312" w:eastAsia="仿宋_GB2312"/>
          <w:sz w:val="32"/>
          <w:szCs w:val="32"/>
          <w:highlight w:val="none"/>
          <w:shd w:val="clear" w:color="auto" w:fill="auto"/>
          <w:lang w:val="en-US" w:eastAsia="zh-CN"/>
        </w:rPr>
        <w:t>精神，全面贯彻落实全国、全省华侨联合会会议精神，扎实推进党的建设、服务管理、发挥作用和工作部门自身建设。</w:t>
      </w:r>
    </w:p>
    <w:p w14:paraId="1EBF6B01">
      <w:pPr>
        <w:spacing w:line="560" w:lineRule="exact"/>
        <w:rPr>
          <w:rFonts w:ascii="楷体" w:eastAsia="楷体"/>
          <w:bCs/>
          <w:sz w:val="32"/>
          <w:szCs w:val="32"/>
        </w:rPr>
      </w:pPr>
      <w:r>
        <w:rPr>
          <w:rFonts w:hint="eastAsia" w:ascii="仿宋" w:eastAsia="仿宋" w:cs="楷体_GB2312"/>
          <w:b/>
          <w:bCs/>
          <w:sz w:val="32"/>
          <w:szCs w:val="32"/>
        </w:rPr>
        <w:t xml:space="preserve">    </w:t>
      </w:r>
      <w:r>
        <w:rPr>
          <w:rFonts w:hint="eastAsia" w:ascii="楷体" w:eastAsia="楷体" w:cs="楷体_GB2312"/>
          <w:bCs/>
          <w:sz w:val="32"/>
          <w:szCs w:val="32"/>
        </w:rPr>
        <w:t>（二）分项绩效目标实现情况及指标分析</w:t>
      </w:r>
    </w:p>
    <w:p w14:paraId="5F8DDB12">
      <w:pPr>
        <w:spacing w:line="560" w:lineRule="exact"/>
        <w:ind w:firstLine="800" w:firstLineChars="250"/>
        <w:rPr>
          <w:rFonts w:hint="eastAsia" w:ascii="仿宋_GB2312" w:hAnsi="仿宋" w:eastAsia="仿宋_GB2312"/>
          <w:sz w:val="32"/>
          <w:szCs w:val="32"/>
          <w:highlight w:val="none"/>
          <w:shd w:val="clear" w:color="auto" w:fill="auto"/>
          <w:lang w:val="en-US" w:eastAsia="zh-CN"/>
        </w:rPr>
      </w:pPr>
      <w:r>
        <w:rPr>
          <w:rFonts w:hint="eastAsia" w:ascii="仿宋_GB2312" w:hAnsi="仿宋" w:eastAsia="仿宋_GB2312"/>
          <w:sz w:val="32"/>
          <w:szCs w:val="32"/>
          <w:highlight w:val="none"/>
          <w:shd w:val="clear" w:color="auto" w:fill="auto"/>
          <w:lang w:val="en-US" w:eastAsia="zh-CN"/>
        </w:rPr>
        <w:t>全面落实我市华侨事务服务活动及基层侨联组织建设</w:t>
      </w:r>
    </w:p>
    <w:p w14:paraId="7A87CED5">
      <w:pPr>
        <w:spacing w:line="560" w:lineRule="exact"/>
        <w:ind w:firstLine="800" w:firstLineChars="250"/>
        <w:rPr>
          <w:rFonts w:hint="eastAsia" w:ascii="仿宋_GB2312" w:hAnsi="仿宋" w:eastAsia="仿宋_GB2312"/>
          <w:sz w:val="32"/>
          <w:szCs w:val="32"/>
          <w:highlight w:val="none"/>
          <w:shd w:val="clear" w:color="auto" w:fill="auto"/>
          <w:lang w:val="en-US" w:eastAsia="zh-CN"/>
        </w:rPr>
      </w:pPr>
      <w:r>
        <w:rPr>
          <w:rFonts w:hint="eastAsia" w:ascii="仿宋_GB2312" w:hAnsi="仿宋" w:eastAsia="仿宋_GB2312"/>
          <w:sz w:val="32"/>
          <w:szCs w:val="32"/>
          <w:highlight w:val="none"/>
          <w:shd w:val="clear" w:color="auto" w:fill="auto"/>
          <w:lang w:val="en-US" w:eastAsia="zh-CN"/>
        </w:rPr>
        <w:t>绩效目标：通过开展归侨侨眷慰问和为侨服务活动，加强对归侨侨眷特殊群体关怀照顾，切实做好基层侨联组织建设，不断提升为侨服务水平。</w:t>
      </w:r>
    </w:p>
    <w:p w14:paraId="4844937A">
      <w:pPr>
        <w:keepNext w:val="0"/>
        <w:keepLines w:val="0"/>
        <w:pageBreakBefore w:val="0"/>
        <w:widowControl w:val="0"/>
        <w:kinsoku/>
        <w:wordWrap/>
        <w:overflowPunct/>
        <w:topLinePunct w:val="0"/>
        <w:autoSpaceDE/>
        <w:autoSpaceDN/>
        <w:bidi w:val="0"/>
        <w:adjustRightInd/>
        <w:spacing w:line="560" w:lineRule="exact"/>
        <w:ind w:left="0" w:leftChars="0" w:right="0" w:firstLine="640" w:firstLineChars="200"/>
        <w:textAlignment w:val="auto"/>
        <w:outlineLvl w:val="9"/>
        <w:rPr>
          <w:rFonts w:hint="default" w:ascii="仿宋_GB2312" w:hAnsi="仿宋" w:eastAsia="仿宋_GB2312"/>
          <w:sz w:val="32"/>
          <w:szCs w:val="32"/>
          <w:highlight w:val="none"/>
          <w:shd w:val="clear" w:color="auto" w:fill="auto"/>
          <w:lang w:val="en-US" w:eastAsia="zh-CN"/>
        </w:rPr>
      </w:pPr>
      <w:r>
        <w:rPr>
          <w:rFonts w:hint="eastAsia" w:ascii="仿宋" w:hAnsi="仿宋" w:eastAsia="仿宋"/>
          <w:sz w:val="32"/>
          <w:szCs w:val="32"/>
          <w:highlight w:val="none"/>
          <w:shd w:val="clear" w:color="auto" w:fill="auto"/>
          <w:lang w:val="en-US" w:eastAsia="zh-CN"/>
        </w:rPr>
        <w:t>绩效指标：</w:t>
      </w:r>
      <w:r>
        <w:rPr>
          <w:rFonts w:hint="eastAsia" w:ascii="仿宋_GB2312" w:hAnsi="仿宋" w:eastAsia="仿宋_GB2312"/>
          <w:sz w:val="32"/>
          <w:szCs w:val="32"/>
          <w:highlight w:val="none"/>
          <w:shd w:val="clear" w:color="auto" w:fill="auto"/>
          <w:lang w:val="en-US" w:eastAsia="zh-CN"/>
        </w:rPr>
        <w:t>归侨侨眷特殊群体关怀照顾人数已完成预期指标值，归侨侨眷特殊群体关怀照顾金发放的精准度达到100%，完成人均归侨侨眷特殊群体关怀照顾金发放标准0.1万元</w:t>
      </w:r>
      <w:r>
        <w:rPr>
          <w:rFonts w:hint="eastAsia" w:ascii="仿宋" w:hAnsi="仿宋" w:eastAsia="仿宋"/>
          <w:sz w:val="32"/>
          <w:szCs w:val="32"/>
          <w:highlight w:val="none"/>
          <w:shd w:val="clear" w:color="auto" w:fill="auto"/>
          <w:lang w:val="en-US" w:eastAsia="zh-CN"/>
        </w:rPr>
        <w:t>。</w:t>
      </w:r>
    </w:p>
    <w:p w14:paraId="1320944E">
      <w:pPr>
        <w:spacing w:line="560" w:lineRule="exact"/>
        <w:ind w:firstLine="640" w:firstLineChars="200"/>
        <w:rPr>
          <w:rFonts w:ascii="黑体" w:eastAsia="黑体"/>
          <w:sz w:val="32"/>
          <w:szCs w:val="32"/>
        </w:rPr>
      </w:pPr>
      <w:r>
        <w:rPr>
          <w:rFonts w:hint="eastAsia" w:ascii="黑体" w:eastAsia="黑体"/>
          <w:sz w:val="32"/>
          <w:szCs w:val="32"/>
        </w:rPr>
        <w:t>四、评价结论和评价等级</w:t>
      </w:r>
    </w:p>
    <w:p w14:paraId="15734590">
      <w:pPr>
        <w:keepNext w:val="0"/>
        <w:keepLines w:val="0"/>
        <w:pageBreakBefore w:val="0"/>
        <w:widowControl w:val="0"/>
        <w:kinsoku/>
        <w:wordWrap/>
        <w:overflowPunct/>
        <w:topLinePunct w:val="0"/>
        <w:autoSpaceDE/>
        <w:autoSpaceDN/>
        <w:bidi w:val="0"/>
        <w:adjustRightInd/>
        <w:snapToGrid w:val="0"/>
        <w:spacing w:line="560" w:lineRule="exact"/>
        <w:ind w:left="0" w:firstLine="640" w:firstLineChars="200"/>
        <w:textAlignment w:val="auto"/>
        <w:rPr>
          <w:rFonts w:hint="eastAsia" w:ascii="仿宋_GB2312" w:hAnsi="仿宋_GB2312" w:eastAsia="仿宋_GB2312" w:cs="仿宋_GB2312"/>
          <w:sz w:val="32"/>
          <w:szCs w:val="32"/>
          <w:highlight w:val="none"/>
          <w:shd w:val="clear" w:color="auto" w:fill="auto"/>
          <w:lang w:eastAsia="zh-CN"/>
        </w:rPr>
      </w:pPr>
      <w:r>
        <w:rPr>
          <w:rFonts w:hint="eastAsia" w:ascii="仿宋" w:hAnsi="仿宋" w:eastAsia="仿宋"/>
          <w:sz w:val="32"/>
          <w:szCs w:val="32"/>
          <w:highlight w:val="none"/>
          <w:shd w:val="clear" w:color="auto" w:fill="auto"/>
          <w:lang w:val="en-US" w:eastAsia="zh-CN"/>
        </w:rPr>
        <w:t>经过整体评价，</w:t>
      </w:r>
      <w:r>
        <w:rPr>
          <w:rFonts w:hint="eastAsia" w:ascii="仿宋_GB2312" w:hAnsi="仿宋_GB2312" w:eastAsia="仿宋_GB2312" w:cs="仿宋_GB2312"/>
          <w:sz w:val="32"/>
          <w:szCs w:val="32"/>
          <w:highlight w:val="none"/>
          <w:shd w:val="clear" w:color="auto" w:fill="auto"/>
          <w:lang w:val="en-US" w:eastAsia="zh-CN"/>
        </w:rPr>
        <w:t>我部门</w:t>
      </w:r>
      <w:r>
        <w:rPr>
          <w:rFonts w:hint="eastAsia" w:ascii="仿宋_GB2312" w:hAnsi="仿宋_GB2312" w:eastAsia="仿宋_GB2312" w:cs="仿宋_GB2312"/>
          <w:sz w:val="32"/>
          <w:szCs w:val="32"/>
          <w:highlight w:val="none"/>
          <w:shd w:val="clear" w:color="auto" w:fill="auto"/>
        </w:rPr>
        <w:t>根据20</w:t>
      </w:r>
      <w:r>
        <w:rPr>
          <w:rFonts w:hint="eastAsia" w:ascii="仿宋_GB2312" w:hAnsi="仿宋_GB2312" w:eastAsia="仿宋_GB2312" w:cs="仿宋_GB2312"/>
          <w:sz w:val="32"/>
          <w:szCs w:val="32"/>
          <w:highlight w:val="none"/>
          <w:shd w:val="clear" w:color="auto" w:fill="auto"/>
          <w:lang w:val="en-US" w:eastAsia="zh-CN"/>
        </w:rPr>
        <w:t>25</w:t>
      </w:r>
      <w:r>
        <w:rPr>
          <w:rFonts w:hint="eastAsia" w:ascii="仿宋_GB2312" w:hAnsi="仿宋_GB2312" w:eastAsia="仿宋_GB2312" w:cs="仿宋_GB2312"/>
          <w:sz w:val="32"/>
          <w:szCs w:val="32"/>
          <w:highlight w:val="none"/>
          <w:shd w:val="clear" w:color="auto" w:fill="auto"/>
        </w:rPr>
        <w:t>年工作计划，</w:t>
      </w:r>
      <w:r>
        <w:rPr>
          <w:rFonts w:hint="eastAsia" w:ascii="仿宋_GB2312" w:hAnsi="黑体" w:eastAsia="仿宋_GB2312" w:cs="仿宋_GB2312"/>
          <w:color w:val="auto"/>
          <w:sz w:val="32"/>
          <w:szCs w:val="32"/>
          <w:highlight w:val="none"/>
          <w:shd w:val="clear" w:color="auto" w:fill="auto"/>
          <w:lang w:eastAsia="zh-CN"/>
        </w:rPr>
        <w:t>深入学习贯彻落实习近平总书记关于老干部工作的重要指示精神，贯彻落实全国、</w:t>
      </w:r>
      <w:r>
        <w:rPr>
          <w:rFonts w:hint="eastAsia" w:ascii="仿宋_GB2312" w:hAnsi="黑体" w:eastAsia="仿宋_GB2312" w:cs="仿宋_GB2312"/>
          <w:color w:val="auto"/>
          <w:sz w:val="32"/>
          <w:szCs w:val="32"/>
          <w:highlight w:val="none"/>
          <w:shd w:val="clear" w:color="auto" w:fill="auto"/>
          <w:lang w:val="en-US" w:eastAsia="zh-CN"/>
        </w:rPr>
        <w:t>全</w:t>
      </w:r>
      <w:r>
        <w:rPr>
          <w:rFonts w:hint="eastAsia" w:ascii="仿宋_GB2312" w:hAnsi="黑体" w:eastAsia="仿宋_GB2312" w:cs="仿宋_GB2312"/>
          <w:color w:val="auto"/>
          <w:sz w:val="32"/>
          <w:szCs w:val="32"/>
          <w:highlight w:val="none"/>
          <w:shd w:val="clear" w:color="auto" w:fill="auto"/>
          <w:lang w:eastAsia="zh-CN"/>
        </w:rPr>
        <w:t>省华侨联合会会议精神，在省局的正确指导和市委的坚强领导下，全力抓好党的建设、发挥作用、服务管理、队伍建设等重点工作</w:t>
      </w:r>
      <w:r>
        <w:rPr>
          <w:rFonts w:hint="eastAsia" w:ascii="仿宋_GB2312" w:hAnsi="仿宋_GB2312" w:eastAsia="仿宋_GB2312" w:cs="仿宋_GB2312"/>
          <w:sz w:val="32"/>
          <w:szCs w:val="32"/>
          <w:highlight w:val="none"/>
          <w:shd w:val="clear" w:color="auto" w:fill="auto"/>
          <w:lang w:eastAsia="zh-CN"/>
        </w:rPr>
        <w:t>。</w:t>
      </w:r>
    </w:p>
    <w:p w14:paraId="718DF666">
      <w:pPr>
        <w:keepNext w:val="0"/>
        <w:keepLines w:val="0"/>
        <w:pageBreakBefore w:val="0"/>
        <w:widowControl w:val="0"/>
        <w:kinsoku/>
        <w:wordWrap/>
        <w:overflowPunct/>
        <w:topLinePunct w:val="0"/>
        <w:autoSpaceDE/>
        <w:autoSpaceDN/>
        <w:bidi w:val="0"/>
        <w:adjustRightInd/>
        <w:snapToGrid w:val="0"/>
        <w:spacing w:line="560" w:lineRule="exact"/>
        <w:ind w:left="0" w:firstLine="640" w:firstLineChars="200"/>
        <w:textAlignment w:val="auto"/>
        <w:rPr>
          <w:rFonts w:hint="eastAsia" w:ascii="仿宋" w:eastAsia="仿宋"/>
          <w:sz w:val="32"/>
          <w:szCs w:val="32"/>
        </w:rPr>
      </w:pPr>
      <w:r>
        <w:rPr>
          <w:rFonts w:hint="eastAsia" w:ascii="仿宋" w:hAnsi="仿宋" w:eastAsia="仿宋" w:cs="黑体"/>
          <w:b w:val="0"/>
          <w:bCs w:val="0"/>
          <w:kern w:val="2"/>
          <w:sz w:val="32"/>
          <w:szCs w:val="32"/>
          <w:highlight w:val="none"/>
          <w:shd w:val="clear" w:color="auto" w:fill="auto"/>
          <w:lang w:val="en-US" w:eastAsia="zh-CN" w:bidi="ar-SA"/>
        </w:rPr>
        <w:t>我部门2024年度部门整体绩效自评得分98.37分，评价等级为“优”。</w:t>
      </w:r>
    </w:p>
    <w:p w14:paraId="449FAD6A">
      <w:pPr>
        <w:spacing w:line="560" w:lineRule="exact"/>
        <w:ind w:firstLine="640" w:firstLineChars="200"/>
        <w:rPr>
          <w:rFonts w:ascii="黑体" w:eastAsia="黑体"/>
          <w:sz w:val="32"/>
          <w:szCs w:val="32"/>
        </w:rPr>
      </w:pPr>
      <w:r>
        <w:rPr>
          <w:rFonts w:hint="eastAsia" w:ascii="黑体" w:eastAsia="黑体"/>
          <w:sz w:val="32"/>
          <w:szCs w:val="32"/>
        </w:rPr>
        <w:t>五、存在的问题及改进措施</w:t>
      </w:r>
    </w:p>
    <w:p w14:paraId="4CD8278F">
      <w:pPr>
        <w:spacing w:line="560" w:lineRule="exact"/>
        <w:ind w:firstLine="640" w:firstLineChars="200"/>
        <w:rPr>
          <w:rFonts w:hint="eastAsia" w:ascii="楷体" w:eastAsia="楷体"/>
          <w:bCs/>
          <w:sz w:val="32"/>
          <w:szCs w:val="32"/>
        </w:rPr>
      </w:pPr>
      <w:r>
        <w:rPr>
          <w:rFonts w:hint="eastAsia" w:ascii="楷体" w:eastAsia="楷体"/>
          <w:bCs/>
          <w:sz w:val="32"/>
          <w:szCs w:val="32"/>
        </w:rPr>
        <w:t>（一）存在的主要问题</w:t>
      </w:r>
    </w:p>
    <w:p w14:paraId="3DF36EAE">
      <w:pPr>
        <w:pStyle w:val="5"/>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楷体" w:eastAsia="楷体"/>
          <w:bCs/>
          <w:sz w:val="32"/>
          <w:szCs w:val="32"/>
        </w:rPr>
      </w:pPr>
      <w:r>
        <w:rPr>
          <w:rFonts w:hint="eastAsia" w:ascii="仿宋" w:hAnsi="仿宋" w:eastAsia="仿宋" w:cs="Times New Roman"/>
          <w:bCs/>
          <w:sz w:val="32"/>
          <w:szCs w:val="32"/>
          <w:highlight w:val="none"/>
          <w:shd w:val="clear" w:color="auto" w:fill="auto"/>
          <w:lang w:val="en-US" w:eastAsia="zh-CN"/>
        </w:rPr>
        <w:t>个别</w:t>
      </w:r>
      <w:r>
        <w:rPr>
          <w:rFonts w:hint="eastAsia" w:ascii="仿宋" w:hAnsi="仿宋" w:eastAsia="仿宋" w:cs="Times New Roman"/>
          <w:bCs/>
          <w:sz w:val="32"/>
          <w:szCs w:val="32"/>
          <w:highlight w:val="none"/>
          <w:shd w:val="clear" w:color="auto" w:fill="auto"/>
        </w:rPr>
        <w:t>绩效目标不够完善，不能完整清晰体现工作活动的产出和效果，依据绩效目标所设置的绩效指标不够细化，不能完整清晰</w:t>
      </w:r>
      <w:r>
        <w:rPr>
          <w:rFonts w:hint="eastAsia" w:ascii="仿宋" w:hAnsi="仿宋" w:eastAsia="仿宋" w:cs="Times New Roman"/>
          <w:bCs/>
          <w:sz w:val="32"/>
          <w:szCs w:val="32"/>
          <w:highlight w:val="none"/>
          <w:shd w:val="clear" w:color="auto" w:fill="auto"/>
          <w:lang w:eastAsia="zh-CN"/>
        </w:rPr>
        <w:t>地</w:t>
      </w:r>
      <w:r>
        <w:rPr>
          <w:rFonts w:hint="eastAsia" w:ascii="仿宋" w:hAnsi="仿宋" w:eastAsia="仿宋" w:cs="Times New Roman"/>
          <w:bCs/>
          <w:sz w:val="32"/>
          <w:szCs w:val="32"/>
          <w:highlight w:val="none"/>
          <w:shd w:val="clear" w:color="auto" w:fill="auto"/>
        </w:rPr>
        <w:t>反映活动目标完成情况。</w:t>
      </w:r>
      <w:r>
        <w:rPr>
          <w:rFonts w:hint="eastAsia" w:ascii="仿宋" w:hAnsi="仿宋" w:eastAsia="仿宋" w:cs="Times New Roman"/>
          <w:bCs/>
          <w:sz w:val="32"/>
          <w:szCs w:val="32"/>
          <w:highlight w:val="none"/>
          <w:shd w:val="clear" w:color="auto" w:fill="auto"/>
          <w:lang w:val="en-US" w:eastAsia="zh-CN"/>
        </w:rPr>
        <w:t>未能准确设置绩效指标，不能准确反映经费支付的具体时间节点，不利于后续开展绩效评价工作。</w:t>
      </w:r>
    </w:p>
    <w:p w14:paraId="63F34B0B">
      <w:pPr>
        <w:spacing w:line="560" w:lineRule="exact"/>
        <w:ind w:firstLine="640" w:firstLineChars="200"/>
        <w:rPr>
          <w:rFonts w:ascii="楷体" w:eastAsia="楷体"/>
          <w:bCs/>
          <w:sz w:val="32"/>
          <w:szCs w:val="32"/>
        </w:rPr>
      </w:pPr>
      <w:r>
        <w:rPr>
          <w:rFonts w:hint="eastAsia" w:ascii="楷体" w:eastAsia="楷体"/>
          <w:bCs/>
          <w:sz w:val="32"/>
          <w:szCs w:val="32"/>
        </w:rPr>
        <w:t>（二）针对问题提出具体的改进措施或建议</w:t>
      </w:r>
    </w:p>
    <w:p w14:paraId="4286FFCC">
      <w:pPr>
        <w:pStyle w:val="5"/>
        <w:keepNext w:val="0"/>
        <w:keepLines w:val="0"/>
        <w:pageBreakBefore w:val="0"/>
        <w:widowControl w:val="0"/>
        <w:kinsoku/>
        <w:wordWrap/>
        <w:overflowPunct/>
        <w:topLinePunct w:val="0"/>
        <w:autoSpaceDE/>
        <w:autoSpaceDN/>
        <w:bidi w:val="0"/>
        <w:spacing w:line="560" w:lineRule="exact"/>
        <w:ind w:left="0" w:firstLine="643" w:firstLineChars="200"/>
        <w:textAlignment w:val="auto"/>
        <w:outlineLvl w:val="2"/>
        <w:rPr>
          <w:rFonts w:ascii="仿宋" w:hAnsi="仿宋" w:eastAsia="仿宋" w:cs="Times New Roman"/>
          <w:b/>
          <w:bCs/>
          <w:sz w:val="32"/>
          <w:szCs w:val="32"/>
          <w:highlight w:val="none"/>
          <w:shd w:val="clear" w:color="auto" w:fill="auto"/>
        </w:rPr>
      </w:pPr>
      <w:bookmarkStart w:id="1" w:name="_Toc70582283"/>
      <w:r>
        <w:rPr>
          <w:rFonts w:hint="eastAsia" w:ascii="仿宋" w:hAnsi="仿宋" w:eastAsia="仿宋" w:cs="Times New Roman"/>
          <w:b/>
          <w:bCs/>
          <w:sz w:val="32"/>
          <w:szCs w:val="32"/>
          <w:highlight w:val="none"/>
          <w:shd w:val="clear" w:color="auto" w:fill="auto"/>
        </w:rPr>
        <w:t>1.科学设定绩效目标和指标</w:t>
      </w:r>
      <w:bookmarkEnd w:id="1"/>
    </w:p>
    <w:p w14:paraId="2E301906">
      <w:pPr>
        <w:pStyle w:val="5"/>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default" w:ascii="仿宋" w:hAnsi="仿宋" w:eastAsia="仿宋" w:cs="Times New Roman"/>
          <w:bCs/>
          <w:sz w:val="32"/>
          <w:szCs w:val="32"/>
          <w:highlight w:val="none"/>
          <w:shd w:val="clear" w:color="auto" w:fill="auto"/>
          <w:lang w:val="en-US" w:eastAsia="zh-CN"/>
        </w:rPr>
      </w:pPr>
      <w:r>
        <w:rPr>
          <w:rFonts w:hint="eastAsia" w:ascii="仿宋" w:hAnsi="仿宋" w:eastAsia="仿宋" w:cs="Times New Roman"/>
          <w:bCs/>
          <w:sz w:val="32"/>
          <w:szCs w:val="32"/>
          <w:highlight w:val="none"/>
          <w:shd w:val="clear" w:color="auto" w:fill="auto"/>
          <w:lang w:val="en-US" w:eastAsia="zh-CN"/>
        </w:rPr>
        <w:t>我部门在2026年计划进一步加强绩效指标的设定，在设定绩效指标时注意绩效指标的细化和量化，便于后期监控和考核。进一步加强业务部门对绩效目标的理解和设定，</w:t>
      </w:r>
      <w:r>
        <w:rPr>
          <w:rFonts w:hint="eastAsia" w:ascii="仿宋" w:hAnsi="仿宋" w:eastAsia="仿宋" w:cs="Times New Roman"/>
          <w:bCs/>
          <w:sz w:val="32"/>
          <w:szCs w:val="32"/>
          <w:highlight w:val="none"/>
          <w:shd w:val="clear" w:color="auto" w:fill="auto"/>
        </w:rPr>
        <w:t>建立全面规范的绩效指标体系，</w:t>
      </w:r>
      <w:r>
        <w:rPr>
          <w:rFonts w:hint="eastAsia" w:ascii="仿宋" w:hAnsi="仿宋" w:eastAsia="仿宋" w:cs="Times New Roman"/>
          <w:bCs/>
          <w:sz w:val="32"/>
          <w:szCs w:val="32"/>
          <w:highlight w:val="none"/>
          <w:shd w:val="clear" w:color="auto" w:fill="auto"/>
          <w:lang w:val="en-US" w:eastAsia="zh-CN"/>
        </w:rPr>
        <w:t>使绩效指标的设置更加深入项目细节，更能反映项目实施过程中发生的情况和问题。</w:t>
      </w:r>
    </w:p>
    <w:p w14:paraId="4E539105">
      <w:pPr>
        <w:pStyle w:val="5"/>
        <w:keepNext w:val="0"/>
        <w:keepLines w:val="0"/>
        <w:pageBreakBefore w:val="0"/>
        <w:widowControl w:val="0"/>
        <w:kinsoku/>
        <w:wordWrap/>
        <w:overflowPunct/>
        <w:topLinePunct w:val="0"/>
        <w:autoSpaceDE/>
        <w:autoSpaceDN/>
        <w:bidi w:val="0"/>
        <w:spacing w:line="560" w:lineRule="exact"/>
        <w:ind w:left="0" w:firstLine="643" w:firstLineChars="200"/>
        <w:textAlignment w:val="auto"/>
        <w:outlineLvl w:val="2"/>
        <w:rPr>
          <w:rFonts w:hint="default" w:ascii="仿宋" w:hAnsi="仿宋" w:eastAsia="仿宋" w:cs="Times New Roman"/>
          <w:b/>
          <w:bCs/>
          <w:sz w:val="32"/>
          <w:szCs w:val="32"/>
          <w:highlight w:val="none"/>
          <w:shd w:val="clear" w:color="auto" w:fill="auto"/>
          <w:lang w:val="en-US" w:eastAsia="zh-CN"/>
        </w:rPr>
      </w:pPr>
      <w:bookmarkStart w:id="2" w:name="_Toc70582288"/>
      <w:r>
        <w:rPr>
          <w:rFonts w:hint="eastAsia" w:ascii="仿宋" w:hAnsi="仿宋" w:eastAsia="仿宋" w:cs="Times New Roman"/>
          <w:b/>
          <w:bCs/>
          <w:sz w:val="32"/>
          <w:szCs w:val="32"/>
          <w:highlight w:val="none"/>
          <w:shd w:val="clear" w:color="auto" w:fill="auto"/>
          <w:lang w:val="en-US" w:eastAsia="zh-CN"/>
        </w:rPr>
        <w:t>2</w:t>
      </w:r>
      <w:r>
        <w:rPr>
          <w:rFonts w:hint="eastAsia" w:ascii="仿宋" w:hAnsi="仿宋" w:eastAsia="仿宋" w:cs="Times New Roman"/>
          <w:b/>
          <w:bCs/>
          <w:sz w:val="32"/>
          <w:szCs w:val="32"/>
          <w:highlight w:val="none"/>
          <w:shd w:val="clear" w:color="auto" w:fill="auto"/>
        </w:rPr>
        <w:t>.提高部门</w:t>
      </w:r>
      <w:r>
        <w:rPr>
          <w:rFonts w:hint="eastAsia" w:ascii="仿宋" w:hAnsi="仿宋" w:eastAsia="仿宋" w:cs="Times New Roman"/>
          <w:b/>
          <w:bCs/>
          <w:sz w:val="32"/>
          <w:szCs w:val="32"/>
          <w:highlight w:val="none"/>
          <w:shd w:val="clear" w:color="auto" w:fill="auto"/>
          <w:lang w:val="en-US" w:eastAsia="zh-CN"/>
        </w:rPr>
        <w:t>预算</w:t>
      </w:r>
      <w:r>
        <w:rPr>
          <w:rFonts w:hint="eastAsia" w:ascii="仿宋" w:hAnsi="仿宋" w:eastAsia="仿宋" w:cs="Times New Roman"/>
          <w:b/>
          <w:bCs/>
          <w:sz w:val="32"/>
          <w:szCs w:val="32"/>
          <w:highlight w:val="none"/>
          <w:shd w:val="clear" w:color="auto" w:fill="auto"/>
        </w:rPr>
        <w:t>绩效管理意识</w:t>
      </w:r>
      <w:bookmarkEnd w:id="2"/>
      <w:r>
        <w:rPr>
          <w:rFonts w:hint="eastAsia" w:ascii="仿宋" w:hAnsi="仿宋" w:eastAsia="仿宋" w:cs="Times New Roman"/>
          <w:b/>
          <w:bCs/>
          <w:sz w:val="32"/>
          <w:szCs w:val="32"/>
          <w:highlight w:val="none"/>
          <w:shd w:val="clear" w:color="auto" w:fill="auto"/>
          <w:lang w:eastAsia="zh-CN"/>
        </w:rPr>
        <w:t>，</w:t>
      </w:r>
      <w:r>
        <w:rPr>
          <w:rFonts w:hint="eastAsia" w:ascii="仿宋" w:hAnsi="仿宋" w:eastAsia="仿宋" w:cs="Times New Roman"/>
          <w:b/>
          <w:bCs/>
          <w:sz w:val="32"/>
          <w:szCs w:val="32"/>
          <w:highlight w:val="none"/>
          <w:shd w:val="clear" w:color="auto" w:fill="auto"/>
          <w:lang w:val="en-US" w:eastAsia="zh-CN"/>
        </w:rPr>
        <w:t>提高预算执行率</w:t>
      </w:r>
    </w:p>
    <w:p w14:paraId="4242CABB">
      <w:pPr>
        <w:pStyle w:val="5"/>
        <w:keepNext w:val="0"/>
        <w:keepLines w:val="0"/>
        <w:pageBreakBefore w:val="0"/>
        <w:widowControl w:val="0"/>
        <w:kinsoku/>
        <w:wordWrap/>
        <w:overflowPunct/>
        <w:topLinePunct w:val="0"/>
        <w:autoSpaceDE/>
        <w:autoSpaceDN/>
        <w:bidi w:val="0"/>
        <w:spacing w:line="560" w:lineRule="exact"/>
        <w:ind w:left="0" w:firstLine="640" w:firstLineChars="200"/>
        <w:textAlignment w:val="auto"/>
        <w:rPr>
          <w:rFonts w:hint="eastAsia" w:ascii="仿宋" w:hAnsi="仿宋" w:eastAsia="仿宋" w:cs="Times New Roman"/>
          <w:sz w:val="32"/>
          <w:szCs w:val="32"/>
          <w:highlight w:val="none"/>
          <w:shd w:val="clear" w:color="auto" w:fill="auto"/>
          <w:lang w:val="en-US" w:eastAsia="zh-CN"/>
        </w:rPr>
      </w:pPr>
      <w:bookmarkStart w:id="3" w:name="_Toc17737"/>
      <w:bookmarkStart w:id="4" w:name="_Toc3280"/>
      <w:bookmarkStart w:id="5" w:name="_Toc1926"/>
      <w:r>
        <w:rPr>
          <w:rFonts w:hint="eastAsia" w:ascii="仿宋" w:hAnsi="仿宋" w:eastAsia="仿宋" w:cs="Times New Roman"/>
          <w:sz w:val="32"/>
          <w:szCs w:val="32"/>
          <w:highlight w:val="none"/>
          <w:shd w:val="clear" w:color="auto" w:fill="auto"/>
          <w:lang w:val="en-US" w:eastAsia="zh-CN"/>
        </w:rPr>
        <w:t>我部门</w:t>
      </w:r>
      <w:r>
        <w:rPr>
          <w:rFonts w:hint="eastAsia" w:ascii="仿宋" w:hAnsi="仿宋" w:eastAsia="仿宋" w:cs="Times New Roman"/>
          <w:sz w:val="32"/>
          <w:szCs w:val="32"/>
          <w:highlight w:val="none"/>
          <w:shd w:val="clear" w:color="auto" w:fill="auto"/>
        </w:rPr>
        <w:t>在今后的工作中，</w:t>
      </w:r>
      <w:r>
        <w:rPr>
          <w:rFonts w:hint="eastAsia" w:ascii="仿宋" w:hAnsi="仿宋" w:eastAsia="仿宋" w:cs="Times New Roman"/>
          <w:sz w:val="32"/>
          <w:szCs w:val="32"/>
          <w:highlight w:val="none"/>
          <w:shd w:val="clear" w:color="auto" w:fill="auto"/>
          <w:lang w:val="en-US" w:eastAsia="zh-CN"/>
        </w:rPr>
        <w:t>继续加强</w:t>
      </w:r>
      <w:r>
        <w:rPr>
          <w:rFonts w:hint="eastAsia" w:ascii="仿宋" w:hAnsi="仿宋" w:eastAsia="仿宋" w:cs="Times New Roman"/>
          <w:sz w:val="32"/>
          <w:szCs w:val="32"/>
          <w:highlight w:val="none"/>
          <w:shd w:val="clear" w:color="auto" w:fill="auto"/>
        </w:rPr>
        <w:t>对预算绩效管理工作的重视，把绩效理念融入到预算编制、执行、监督管理的全过程</w:t>
      </w:r>
      <w:bookmarkStart w:id="6" w:name="_GoBack"/>
      <w:bookmarkEnd w:id="6"/>
      <w:r>
        <w:rPr>
          <w:rFonts w:hint="eastAsia" w:ascii="仿宋" w:hAnsi="仿宋" w:eastAsia="仿宋" w:cs="Times New Roman"/>
          <w:sz w:val="32"/>
          <w:szCs w:val="32"/>
          <w:highlight w:val="none"/>
          <w:shd w:val="clear" w:color="auto" w:fill="auto"/>
          <w:lang w:eastAsia="zh-CN"/>
        </w:rPr>
        <w:t>。</w:t>
      </w:r>
    </w:p>
    <w:bookmarkEnd w:id="3"/>
    <w:bookmarkEnd w:id="4"/>
    <w:bookmarkEnd w:id="5"/>
    <w:p w14:paraId="0EF6352B">
      <w:pPr>
        <w:adjustRightInd w:val="0"/>
        <w:snapToGrid w:val="0"/>
        <w:spacing w:line="560" w:lineRule="exact"/>
        <w:ind w:firstLine="640" w:firstLineChars="200"/>
        <w:rPr>
          <w:rFonts w:ascii="黑体" w:eastAsia="黑体"/>
          <w:sz w:val="32"/>
          <w:szCs w:val="32"/>
        </w:rPr>
      </w:pPr>
    </w:p>
    <w:p w14:paraId="17BA0E66">
      <w:pPr>
        <w:spacing w:line="560" w:lineRule="exact"/>
        <w:rPr>
          <w:rFonts w:ascii="仿宋" w:eastAsia="仿宋"/>
        </w:rPr>
      </w:pPr>
    </w:p>
    <w:sectPr>
      <w:footerReference r:id="rId3" w:type="default"/>
      <w:pgSz w:w="11906" w:h="16838"/>
      <w:pgMar w:top="1440" w:right="1474" w:bottom="1440"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xi Sans">
    <w:altName w:val="Arial"/>
    <w:panose1 w:val="00000000000000000000"/>
    <w:charset w:val="00"/>
    <w:family w:val="auto"/>
    <w:pitch w:val="default"/>
    <w:sig w:usb0="00000000" w:usb1="00000000" w:usb2="00000000" w:usb3="00000000" w:csb0="00000000"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A0204"/>
    <w:charset w:val="00"/>
    <w:family w:val="roman"/>
    <w:pitch w:val="default"/>
    <w:sig w:usb0="E00002FF" w:usb1="4000045F" w:usb2="00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A0E6C">
    <w:pPr>
      <w:pStyle w:val="6"/>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205740" cy="162560"/>
              <wp:effectExtent l="0" t="0" r="0" b="0"/>
              <wp:wrapNone/>
              <wp:docPr id="1" name="Quad Arrow 3073"/>
              <wp:cNvGraphicFramePr/>
              <a:graphic xmlns:a="http://schemas.openxmlformats.org/drawingml/2006/main">
                <a:graphicData uri="http://schemas.microsoft.com/office/word/2010/wordprocessingShape">
                  <wps:wsp>
                    <wps:cNvSpPr/>
                    <wps:spPr>
                      <a:xfrm>
                        <a:off x="0" y="0"/>
                        <a:ext cx="205876" cy="162820"/>
                      </a:xfrm>
                      <a:prstGeom prst="rect">
                        <a:avLst/>
                      </a:prstGeom>
                      <a:noFill/>
                      <a:ln w="9525" cap="flat" cmpd="sng">
                        <a:noFill/>
                        <a:prstDash val="solid"/>
                        <a:miter/>
                      </a:ln>
                    </wps:spPr>
                    <wps:txbx>
                      <w:txbxContent>
                        <w:p w14:paraId="72264FD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id="Quad Arrow 3073" o:spid="_x0000_s1026" o:spt="1" style="position:absolute;left:0pt;margin-top:0pt;height:12.8pt;width:16.2pt;mso-position-horizontal:center;mso-position-horizontal-relative:margin;mso-wrap-style:none;z-index:251659264;mso-width-relative:page;mso-height-relative:page;" filled="f" stroked="f" coordsize="21600,21600" o:gfxdata="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7T+8+dIAAAADAQAADwAAAAAAAAABACAAAAAiAAAAZHJzL2Rvd25yZXYueG1sUEsB&#10;AhQAFAAAAAgAh07iQPerlbj7AQAA+AMAAA4AAAAAAAAAAQAgAAAAIQEAAGRycy9lMm9Eb2MueG1s&#10;UEsFBgAAAAAGAAYAWQEAAI4FAAAAAA==&#10;">
              <v:fill on="f" focussize="0,0"/>
              <v:stroke on="f" joinstyle="miter"/>
              <v:imagedata o:title=""/>
              <o:lock v:ext="edit" aspectratio="f"/>
              <v:textbox inset="0mm,0mm,0mm,0mm" style="mso-fit-shape-to-text:t;">
                <w:txbxContent>
                  <w:p w14:paraId="72264FD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68489B"/>
    <w:multiLevelType w:val="singleLevel"/>
    <w:tmpl w:val="5E68489B"/>
    <w:lvl w:ilvl="0" w:tentative="0">
      <w:start w:val="1"/>
      <w:numFmt w:val="chineseCounting"/>
      <w:suff w:val="nothing"/>
      <w:lvlText w:val="（%1）"/>
      <w:lvlJc w:val="left"/>
      <w:pPr>
        <w:tabs>
          <w:tab w:val="left" w:pos="0"/>
        </w:tabs>
        <w:ind w:left="0" w:firstLine="0"/>
      </w:pPr>
      <w:rPr>
        <w:rFonts w:ascii="楷体" w:hAnsi="楷体" w:eastAsia="楷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splitPgBreakAndParaMark/>
    <w:compatSetting w:name="compatibilityMode" w:uri="http://schemas.microsoft.com/office/word" w:val="11"/>
  </w:compat>
  <w:docVars>
    <w:docVar w:name="commondata" w:val="eyJoZGlkIjoiYzgxMzVhZTBlNDUyZWUxNDVhMjNkN2E1NjFlOTE5NDcifQ=="/>
  </w:docVars>
  <w:rsids>
    <w:rsidRoot w:val="00000000"/>
    <w:rsid w:val="000A002F"/>
    <w:rsid w:val="00BD2157"/>
    <w:rsid w:val="03851E35"/>
    <w:rsid w:val="044163B3"/>
    <w:rsid w:val="04A82509"/>
    <w:rsid w:val="05557F9E"/>
    <w:rsid w:val="0595565C"/>
    <w:rsid w:val="06915006"/>
    <w:rsid w:val="0A9B6453"/>
    <w:rsid w:val="0BAB4DBC"/>
    <w:rsid w:val="0D4511BD"/>
    <w:rsid w:val="0E715E49"/>
    <w:rsid w:val="13451652"/>
    <w:rsid w:val="184B784A"/>
    <w:rsid w:val="18604F75"/>
    <w:rsid w:val="18D8259E"/>
    <w:rsid w:val="19D35C0A"/>
    <w:rsid w:val="1A441E0D"/>
    <w:rsid w:val="1A7A7E33"/>
    <w:rsid w:val="1B872D57"/>
    <w:rsid w:val="1D9B6558"/>
    <w:rsid w:val="1DA97687"/>
    <w:rsid w:val="1EDF0BAD"/>
    <w:rsid w:val="1FDB75C6"/>
    <w:rsid w:val="1FE671AF"/>
    <w:rsid w:val="20370574"/>
    <w:rsid w:val="27FD02F5"/>
    <w:rsid w:val="2A48159F"/>
    <w:rsid w:val="2CEF021C"/>
    <w:rsid w:val="2F647A35"/>
    <w:rsid w:val="306D3573"/>
    <w:rsid w:val="307B6426"/>
    <w:rsid w:val="31F2254D"/>
    <w:rsid w:val="33770F5C"/>
    <w:rsid w:val="34846DC8"/>
    <w:rsid w:val="37B14FD7"/>
    <w:rsid w:val="39135CB8"/>
    <w:rsid w:val="3B0B27E1"/>
    <w:rsid w:val="3C2E6878"/>
    <w:rsid w:val="3D127F47"/>
    <w:rsid w:val="3EAD6F0F"/>
    <w:rsid w:val="3F3A7EA2"/>
    <w:rsid w:val="43D569BD"/>
    <w:rsid w:val="45AF4585"/>
    <w:rsid w:val="4B5C0D0B"/>
    <w:rsid w:val="4F2550C6"/>
    <w:rsid w:val="503B1D58"/>
    <w:rsid w:val="52080C13"/>
    <w:rsid w:val="538E2D21"/>
    <w:rsid w:val="589F1F98"/>
    <w:rsid w:val="59AA781E"/>
    <w:rsid w:val="5A9E49E8"/>
    <w:rsid w:val="5B8F429A"/>
    <w:rsid w:val="646A497D"/>
    <w:rsid w:val="662F3849"/>
    <w:rsid w:val="67053426"/>
    <w:rsid w:val="670927AC"/>
    <w:rsid w:val="682E640B"/>
    <w:rsid w:val="685977DB"/>
    <w:rsid w:val="733F25F6"/>
    <w:rsid w:val="743E4BA3"/>
    <w:rsid w:val="753E0AC3"/>
    <w:rsid w:val="76CF2B2C"/>
    <w:rsid w:val="786F15FC"/>
    <w:rsid w:val="79F619A6"/>
    <w:rsid w:val="7C4A388D"/>
    <w:rsid w:val="7C8554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9">
    <w:name w:val="Default Paragraph Font"/>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5">
    <w:name w:val="Normal Indent"/>
    <w:basedOn w:val="1"/>
    <w:unhideWhenUsed/>
    <w:qFormat/>
    <w:uiPriority w:val="99"/>
    <w:pPr>
      <w:ind w:firstLine="420" w:firstLine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rFonts w:ascii="Times New Roman" w:hAnsi="Times New Roman"/>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8</Pages>
  <Words>529</Words>
  <Characters>549</Characters>
  <Lines>37</Lines>
  <Paragraphs>25</Paragraphs>
  <TotalTime>0</TotalTime>
  <ScaleCrop>false</ScaleCrop>
  <LinksUpToDate>false</LinksUpToDate>
  <CharactersWithSpaces>571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　　</cp:lastModifiedBy>
  <cp:lastPrinted>2026-03-03T01:23:00Z</cp:lastPrinted>
  <dcterms:modified xsi:type="dcterms:W3CDTF">2026-06-24T07:02:42Z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96934721B1514D3FBAA28020338CE855_12</vt:lpwstr>
  </property>
  <property fmtid="{D5CDD505-2E9C-101B-9397-08002B2CF9AE}" pid="4" name="KSOTemplateDocerSaveRecord">
    <vt:lpwstr>eyJoZGlkIjoiNDUyZDdlNGEyYTgwMDJkNGU4NTQ1OWY0MmNiZDA0OTUiLCJ1c2VySWQiOiI0NDE4MTIwOTcifQ==</vt:lpwstr>
  </property>
</Properties>
</file>