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2336" behindDoc="1" locked="0" layoutInCell="1" allowOverlap="1">
            <wp:simplePos x="0" y="0"/>
            <wp:positionH relativeFrom="column">
              <wp:posOffset>-887730</wp:posOffset>
            </wp:positionH>
            <wp:positionV relativeFrom="page">
              <wp:posOffset>-210820</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1"/>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60288;mso-width-relative:page;mso-height-relative:page;" filled="f" stroked="f" coordsize="21600,21600" o:gfxdata="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JcrJzTXAAAACgEAAA8AAAAAAAAAAQAgAAAA&#10;OAAAAGRycy9kb3ducmV2LnhtbFBLAQIUABQAAAAIAIdO4kCjWvfx9gEAAM4DAAAOAAAAAAAAAAEA&#10;IAAAADwBAABkcnMvZTJvRG9jLnhtbFBLBQYAAAAABgAGAFkBAACkBQAAAAA=&#10;">
                <v:fill on="f" focussize="0,0"/>
                <v:stroke on="f"/>
                <v:imagedata o:title=""/>
                <o:lock v:ext="edit" aspectratio="f"/>
                <v:textbox>
                  <w:txbxContent>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石家庄市工业和信息化局</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471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pacing w:val="-20"/>
          <w:sz w:val="72"/>
          <w:szCs w:val="72"/>
        </w:rPr>
      </w:pPr>
      <w:r>
        <w:rPr>
          <w:rFonts w:ascii="Times New Roman" w:eastAsia="方正小标宋_GBK"/>
          <w:b w:val="0"/>
          <w:spacing w:val="-11"/>
          <w:sz w:val="72"/>
          <w:szCs w:val="72"/>
        </w:rPr>
        <w:t>石家庄市工业和信息化局</w:t>
      </w:r>
      <w:r>
        <w:rPr>
          <w:rFonts w:ascii="Times New Roman" w:eastAsia="仿宋_GB2312"/>
          <w:b w:val="0"/>
          <w:spacing w:val="-20"/>
          <w:sz w:val="72"/>
          <w:szCs w:val="72"/>
        </w:rPr>
        <w:t>2025</w:t>
      </w:r>
      <w:r>
        <w:rPr>
          <w:rFonts w:ascii="Times New Roman" w:eastAsia="方正小标宋_GBK"/>
          <w:b w:val="0"/>
          <w:spacing w:val="-20"/>
          <w:sz w:val="72"/>
          <w:szCs w:val="72"/>
        </w:rPr>
        <w:t>年度</w:t>
      </w:r>
      <w:r>
        <w:rPr>
          <w:rFonts w:hint="eastAsia" w:ascii="Times New Roman" w:eastAsia="方正小标宋_GBK"/>
          <w:b w:val="0"/>
          <w:spacing w:val="-20"/>
          <w:sz w:val="72"/>
          <w:szCs w:val="72"/>
          <w:lang w:eastAsia="zh-CN"/>
        </w:rPr>
        <w:t>单位</w:t>
      </w:r>
      <w:r>
        <w:rPr>
          <w:rFonts w:ascii="Times New Roman" w:eastAsia="方正小标宋_GBK"/>
          <w:b w:val="0"/>
          <w:spacing w:val="-2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pStyle w:val="2"/>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石家庄市工业和信息化局</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center"/>
        <w:textAlignment w:val="auto"/>
        <w:outlineLvl w:val="0"/>
        <w:rPr>
          <w:rFonts w:ascii="Times New Roman" w:eastAsia="黑体"/>
          <w:sz w:val="44"/>
          <w:szCs w:val="44"/>
        </w:rPr>
      </w:pPr>
      <w:r>
        <w:rPr>
          <w:rFonts w:ascii="Times New Roman" w:eastAsia="黑体"/>
          <w:b w:val="0"/>
          <w:sz w:val="44"/>
          <w:szCs w:val="44"/>
        </w:rPr>
        <w:t>目  录</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ab/>
      </w:r>
      <w:r>
        <w:rPr>
          <w:rFonts w:hint="eastAsia" w:ascii="Times New Roman" w:eastAsia="黑体"/>
          <w:b w:val="0"/>
          <w:sz w:val="32"/>
          <w:szCs w:val="32"/>
          <w:lang w:eastAsia="zh-CN"/>
        </w:rPr>
        <w:t>单位</w:t>
      </w:r>
      <w:r>
        <w:rPr>
          <w:rFonts w:ascii="Times New Roman" w:eastAsia="黑体"/>
          <w:b w:val="0"/>
          <w:sz w:val="32"/>
          <w:szCs w:val="32"/>
        </w:rPr>
        <w:t>概况</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二、机构设置</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outlineLvl w:val="0"/>
        <w:rPr>
          <w:rFonts w:ascii="Times New Roman" w:eastAsia="黑体"/>
          <w:sz w:val="32"/>
          <w:szCs w:val="32"/>
        </w:rPr>
      </w:pPr>
      <w:r>
        <w:rPr>
          <w:rFonts w:ascii="Times New Roman" w:eastAsia="黑体"/>
          <w:b w:val="0"/>
          <w:sz w:val="32"/>
          <w:szCs w:val="32"/>
        </w:rPr>
        <w:t>第二部分</w:t>
      </w:r>
      <w:r>
        <w:rPr>
          <w:rFonts w:hint="eastAsia" w:ascii="Times New Roman" w:eastAsia="黑体"/>
          <w:b w:val="0"/>
          <w:sz w:val="32"/>
          <w:szCs w:val="32"/>
          <w:lang w:val="en-US" w:eastAsia="zh-CN"/>
        </w:rPr>
        <w:tab/>
      </w:r>
      <w:r>
        <w:rPr>
          <w:rFonts w:ascii="Times New Roman" w:eastAsia="黑体"/>
          <w:b w:val="0"/>
          <w:sz w:val="32"/>
          <w:szCs w:val="32"/>
        </w:rPr>
        <w:t>2025年度</w:t>
      </w:r>
      <w:r>
        <w:rPr>
          <w:rFonts w:hint="eastAsia" w:ascii="Times New Roman" w:eastAsia="黑体"/>
          <w:b w:val="0"/>
          <w:sz w:val="32"/>
          <w:szCs w:val="32"/>
          <w:lang w:eastAsia="zh-CN"/>
        </w:rPr>
        <w:t>单位</w:t>
      </w:r>
      <w:r>
        <w:rPr>
          <w:rFonts w:ascii="Times New Roman" w:eastAsia="黑体"/>
          <w:b w:val="0"/>
          <w:sz w:val="32"/>
          <w:szCs w:val="32"/>
        </w:rPr>
        <w:t>决算报表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二、收入决算表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三、支出决算表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五、一般公共预算财政拨款支出决算表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六、一般公共预算财政拨款基本支出决算明细表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七、政府性基金预算财政拨款收入支出决算表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八、国有资本经营预算财政拨款支出决算表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九、财政拨款</w:t>
      </w:r>
      <w:r>
        <w:rPr>
          <w:rFonts w:hint="eastAsia" w:ascii="Times New Roman" w:eastAsia="仿宋_GB2312"/>
          <w:b w:val="0"/>
          <w:sz w:val="32"/>
          <w:szCs w:val="32"/>
        </w:rPr>
        <w:t>“三公”</w:t>
      </w:r>
      <w:r>
        <w:rPr>
          <w:rFonts w:ascii="Times New Roman" w:eastAsia="仿宋_GB2312"/>
          <w:b w:val="0"/>
          <w:sz w:val="32"/>
          <w:szCs w:val="32"/>
        </w:rPr>
        <w:t>经费支出决算表</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rPr>
          <w:rFonts w:ascii="Times New Roman" w:eastAsia="黑体"/>
          <w:sz w:val="32"/>
          <w:szCs w:val="32"/>
        </w:rPr>
      </w:pPr>
      <w:r>
        <w:rPr>
          <w:rFonts w:ascii="Times New Roman" w:eastAsia="黑体"/>
          <w:b w:val="0"/>
          <w:sz w:val="32"/>
          <w:szCs w:val="32"/>
        </w:rPr>
        <w:t>第三部分</w:t>
      </w:r>
      <w:r>
        <w:rPr>
          <w:rFonts w:hint="eastAsia" w:ascii="Times New Roman" w:eastAsia="黑体"/>
          <w:b w:val="0"/>
          <w:sz w:val="32"/>
          <w:szCs w:val="32"/>
          <w:lang w:val="en-US" w:eastAsia="zh-CN"/>
        </w:rPr>
        <w:tab/>
      </w:r>
      <w:r>
        <w:rPr>
          <w:rFonts w:ascii="Times New Roman" w:eastAsia="黑体"/>
          <w:b w:val="0"/>
          <w:sz w:val="32"/>
          <w:szCs w:val="32"/>
        </w:rPr>
        <w:t>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一、收入支出决算总体情况说明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二、收入决算情况说明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三、支出决算情况说明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四、财政拨款收入支出决算总体情况说明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五、财政拨款</w:t>
      </w:r>
      <w:r>
        <w:rPr>
          <w:rFonts w:hint="eastAsia" w:ascii="Times New Roman" w:eastAsia="仿宋_GB2312"/>
          <w:b w:val="0"/>
          <w:sz w:val="32"/>
          <w:szCs w:val="32"/>
        </w:rPr>
        <w:t>“三公”</w:t>
      </w:r>
      <w:r>
        <w:rPr>
          <w:rFonts w:ascii="Times New Roman" w:eastAsia="仿宋_GB2312"/>
          <w:b w:val="0"/>
          <w:sz w:val="32"/>
          <w:szCs w:val="32"/>
        </w:rPr>
        <w:t>经费支出决算情况说明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六、机关运行经费支出说明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七、政府采购支出说明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八、国有资产占用情况说明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九、关于2025年度绩效评价情况的说明</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firstLine="640" w:firstLineChars="200"/>
        <w:jc w:val="left"/>
        <w:textAlignment w:val="auto"/>
        <w:rPr>
          <w:rFonts w:ascii="Times New Roman" w:eastAsia="仿宋_GB2312"/>
          <w:sz w:val="32"/>
          <w:szCs w:val="32"/>
        </w:rPr>
      </w:pPr>
      <w:r>
        <w:rPr>
          <w:rFonts w:ascii="Times New Roman" w:eastAsia="仿宋_GB2312"/>
          <w:b w:val="0"/>
          <w:sz w:val="32"/>
          <w:szCs w:val="32"/>
        </w:rPr>
        <w:t>十、其他需要说明的情况</w:t>
      </w:r>
    </w:p>
    <w:p>
      <w:pPr>
        <w:keepNext w:val="0"/>
        <w:keepLines w:val="0"/>
        <w:pageBreakBefore w:val="0"/>
        <w:widowControl/>
        <w:kinsoku/>
        <w:wordWrap/>
        <w:overflowPunct/>
        <w:topLinePunct w:val="0"/>
        <w:autoSpaceDE/>
        <w:autoSpaceDN/>
        <w:bidi w:val="0"/>
        <w:adjustRightInd/>
        <w:snapToGrid/>
        <w:spacing w:beforeAutospacing="0" w:afterAutospacing="0" w:line="740" w:lineRule="exact"/>
        <w:ind w:left="0" w:leftChars="0" w:right="0" w:rightChars="0"/>
        <w:jc w:val="left"/>
        <w:textAlignment w:val="auto"/>
        <w:rPr>
          <w:rFonts w:ascii="Times New Roman" w:eastAsia="黑体"/>
          <w:sz w:val="32"/>
          <w:szCs w:val="32"/>
        </w:rPr>
      </w:pPr>
      <w:r>
        <w:rPr>
          <w:rFonts w:ascii="Times New Roman" w:eastAsia="黑体"/>
          <w:b w:val="0"/>
          <w:sz w:val="32"/>
          <w:szCs w:val="32"/>
        </w:rPr>
        <w:t>第四部分</w:t>
      </w:r>
      <w:r>
        <w:rPr>
          <w:rFonts w:hint="eastAsia" w:ascii="Times New Roman" w:eastAsia="黑体"/>
          <w:b w:val="0"/>
          <w:sz w:val="32"/>
          <w:szCs w:val="32"/>
          <w:lang w:val="en-US" w:eastAsia="zh-CN"/>
        </w:rPr>
        <w:tab/>
      </w:r>
      <w:r>
        <w:rPr>
          <w:rFonts w:ascii="Times New Roman" w:eastAsia="黑体"/>
          <w:b w:val="0"/>
          <w:sz w:val="32"/>
          <w:szCs w:val="32"/>
        </w:rPr>
        <w:t>名词解释</w:t>
      </w:r>
    </w:p>
    <w:p>
      <w:pPr>
        <w:keepNext w:val="0"/>
        <w:keepLines w:val="0"/>
        <w:pageBreakBefore w:val="0"/>
        <w:widowControl/>
        <w:kinsoku/>
        <w:wordWrap/>
        <w:overflowPunct/>
        <w:topLinePunct w:val="0"/>
        <w:autoSpaceDE/>
        <w:autoSpaceDN/>
        <w:bidi w:val="0"/>
        <w:adjustRightInd/>
        <w:snapToGrid/>
        <w:spacing w:after="160" w:line="700" w:lineRule="exact"/>
        <w:ind w:left="0" w:leftChars="0" w:right="0" w:rightChars="0"/>
        <w:textAlignment w:val="auto"/>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ab/>
      </w:r>
      <w:r>
        <w:rPr>
          <w:rFonts w:hint="eastAsia" w:ascii="Times New Roman" w:eastAsia="黑体"/>
          <w:b w:val="0"/>
          <w:sz w:val="44"/>
          <w:szCs w:val="44"/>
          <w:lang w:eastAsia="zh-CN"/>
        </w:rPr>
        <w:t>单位</w:t>
      </w:r>
      <w:r>
        <w:rPr>
          <w:rFonts w:ascii="Times New Roman" w:eastAsia="黑体"/>
          <w:b w:val="0"/>
          <w:sz w:val="44"/>
          <w:szCs w:val="44"/>
        </w:rPr>
        <w:t>概况</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（一）提出全市新型工业化发展战略和政策，协调解决新型工业化进程中的重大问题，推进产业结构战略性调整和优化升级，推进信息化和工业化融合。</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二）制订并组织实施全市工业行业规划、计划和产业政策，提出优化产业布局、结构的政策建议，推进现代产业体系建设，起草相关地方性法规、政府规章草案，组织实施行业技术规范和标准，指导行业质量管理工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三）监测、分析全市工业运行态势，统计并发布相关信息，进行预测预警和信息引导，协调解决行业运行发展中的有关问题并提出政策建议，负责工业用电监测，负责工业应急管理、产业安全有关工作；负责市级药品储备管理的有关工作；发挥工业相关行业协会纽带作用，加强对行业、企业发展态势的把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（四）负责提出全市工业固定资产投资规模和方向（含利用外资和境外投资）、工业转型升级（技术改造）投资方向（含利用外资和境外投资）、国家和省、市财政性转型升级（技术改造）专项资金安排的意见。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（五）负责对中小企业促进工作进行指导和综合协调，会同有关部门拟订促进中小企业发展的相关政策和措施并组织实施，协调解决有关重大问题。</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六）贯彻国家政策和标准，拟订高技术产业中涉及生物医药、新材料、信息产业等规划并组织实施；指导行业技术创新和技术进步，以先进适用技术改造提升传统产业；推进实施有关国家和省、市科技重大专项，推进相关科研成果产业化，推动全市软件业、信息服务业和新兴产业发展。</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七）承担全市振兴装备制造业的组织协调，贯彻执行国家、省重大技术装备发展和自主创新规划、政策，依托国家和省、市重点工程建设，协调有关重大专项的实施，推进重大技术装备国产化，指导引进重大技术装备的消化创新。</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（八）拟订并组织实施全市工业能源节约和资源综合利用促进政策，参与拟订能源节约和资源综合利用促进规划，组织协调相关重大示范工程和新产品、新技术、新设备、新材料的推广应用。</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（九）推进全市工业体制改革和管理创新，提高行业综合素质和核心竞争力，指导相关行业加强安全生产管理，负责民爆行业生产流通的监督管理和安全生产工作。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（十）组织开展工业、中小企业的对外合作与交流。</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（十一）承担履行《禁止化学武器公约》的组织协调工作。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（十二）负责二轻集体工业联社资产的经营和管理。</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（十三）负责流通领域盐业行业管理和食盐专营管理。</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（十四）略。</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（十五）略。</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（十六）略。</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（十七）完成市委、市政府、市委军民融合发展委员会交办的其他任务。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rPr>
        <w:t>从决算编报</w:t>
      </w:r>
      <w:r>
        <w:rPr>
          <w:rFonts w:hint="eastAsia" w:ascii="Times New Roman" w:eastAsia="仿宋_GB2312"/>
          <w:b w:val="0"/>
          <w:sz w:val="32"/>
          <w:szCs w:val="32"/>
          <w:lang w:eastAsia="zh-CN"/>
        </w:rPr>
        <w:t>单位</w:t>
      </w:r>
      <w:r>
        <w:rPr>
          <w:rFonts w:hint="eastAsia" w:ascii="Times New Roman" w:eastAsia="仿宋_GB2312"/>
          <w:b w:val="0"/>
          <w:sz w:val="32"/>
          <w:szCs w:val="32"/>
        </w:rPr>
        <w:t>构成看，纳入2025年度本</w:t>
      </w:r>
      <w:r>
        <w:rPr>
          <w:rFonts w:hint="eastAsia" w:ascii="Times New Roman" w:eastAsia="仿宋_GB2312"/>
          <w:b w:val="0"/>
          <w:sz w:val="32"/>
          <w:szCs w:val="32"/>
          <w:lang w:eastAsia="zh-CN"/>
        </w:rPr>
        <w:t>单位</w:t>
      </w:r>
      <w:r>
        <w:rPr>
          <w:rFonts w:hint="eastAsia" w:ascii="Times New Roman" w:eastAsia="仿宋_GB2312"/>
          <w:b w:val="0"/>
          <w:sz w:val="32"/>
          <w:szCs w:val="32"/>
        </w:rPr>
        <w:t>决算汇编范围的独立核算</w:t>
      </w:r>
      <w:r>
        <w:rPr>
          <w:rFonts w:hint="eastAsia" w:ascii="Times New Roman" w:eastAsia="仿宋_GB2312"/>
          <w:b w:val="0"/>
          <w:sz w:val="32"/>
          <w:szCs w:val="32"/>
          <w:lang w:eastAsia="zh-CN"/>
        </w:rPr>
        <w:t>单位</w:t>
      </w:r>
      <w:r>
        <w:rPr>
          <w:rFonts w:hint="eastAsia" w:ascii="Times New Roman" w:eastAsia="仿宋_GB2312"/>
          <w:b w:val="0"/>
          <w:sz w:val="32"/>
          <w:szCs w:val="32"/>
        </w:rPr>
        <w:t>（以下简称“单位”）共1个，具体情况如下：</w:t>
      </w:r>
    </w:p>
    <w:tbl>
      <w:tblPr>
        <w:tblStyle w:val="13"/>
        <w:tblpPr w:leftFromText="180" w:rightFromText="180" w:vertAnchor="text" w:horzAnchor="page" w:tblpXSpec="center" w:tblpY="10"/>
        <w:tblOverlap w:val="never"/>
        <w:tblW w:w="8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3675"/>
        <w:gridCol w:w="2190"/>
        <w:gridCol w:w="1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049"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67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190"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1674"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49" w:type="dxa"/>
            <w:vAlign w:val="center"/>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675" w:type="dxa"/>
            <w:vAlign w:val="center"/>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石家庄市工业和信息化局</w:t>
            </w:r>
          </w:p>
        </w:tc>
        <w:tc>
          <w:tcPr>
            <w:tcW w:w="2190"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1674" w:type="dxa"/>
            <w:vAlign w:val="center"/>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 xml:space="preserve">我部门无二级预算单位，因此，石家庄市工业和信息化局2025年度部门决算即石家庄市工业和信息化局本级2025年度决算。 </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hint="default"/>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tbl>
      <w:tblPr>
        <w:tblStyle w:val="13"/>
        <w:tblpPr w:leftFromText="180" w:rightFromText="180" w:vertAnchor="text" w:horzAnchor="page" w:tblpX="1270" w:tblpY="695"/>
        <w:tblOverlap w:val="never"/>
        <w:tblW w:w="10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02"/>
        <w:gridCol w:w="793"/>
        <w:gridCol w:w="277"/>
        <w:gridCol w:w="1076"/>
        <w:gridCol w:w="1667"/>
        <w:gridCol w:w="1214"/>
        <w:gridCol w:w="630"/>
        <w:gridCol w:w="11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10000" w:type="dxa"/>
            <w:gridSpan w:val="8"/>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520" w:lineRule="exact"/>
              <w:ind w:left="0" w:leftChars="0" w:right="0" w:rightChars="0" w:firstLine="0" w:firstLineChars="0"/>
              <w:jc w:val="center"/>
              <w:textAlignment w:val="bottom"/>
              <w:outlineLvl w:val="9"/>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0000" w:type="dxa"/>
            <w:gridSpan w:val="8"/>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right"/>
              <w:textAlignment w:val="bottom"/>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4272" w:type="dxa"/>
            <w:gridSpan w:val="3"/>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20" w:lineRule="exact"/>
              <w:ind w:left="0" w:leftChars="0" w:right="0" w:rightChars="0"/>
              <w:jc w:val="both"/>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单位：石家庄市工业和信息化局</w:t>
            </w:r>
          </w:p>
        </w:tc>
        <w:tc>
          <w:tcPr>
            <w:tcW w:w="2743" w:type="dxa"/>
            <w:gridSpan w:val="2"/>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20" w:lineRule="exact"/>
              <w:ind w:left="0" w:leftChars="0" w:right="0" w:rightChars="0"/>
              <w:jc w:val="center"/>
              <w:outlineLvl w:val="9"/>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985" w:type="dxa"/>
            <w:gridSpan w:val="3"/>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5348"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收入</w:t>
            </w:r>
          </w:p>
        </w:tc>
        <w:tc>
          <w:tcPr>
            <w:tcW w:w="4652"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决算数</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center"/>
              <w:outlineLvl w:val="9"/>
              <w:rPr>
                <w:rFonts w:hint="eastAsia" w:ascii="宋体" w:hAnsi="宋体" w:eastAsia="宋体" w:cs="宋体"/>
                <w:i w:val="0"/>
                <w:iCs w:val="0"/>
                <w:color w:val="000000"/>
                <w:sz w:val="20"/>
                <w:szCs w:val="20"/>
                <w:highlight w:val="none"/>
                <w:u w:val="none"/>
              </w:rPr>
            </w:pP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center"/>
              <w:outlineLvl w:val="9"/>
              <w:rPr>
                <w:rFonts w:hint="eastAsia" w:ascii="宋体" w:hAnsi="宋体" w:eastAsia="宋体" w:cs="宋体"/>
                <w:i w:val="0"/>
                <w:iCs w:val="0"/>
                <w:color w:val="000000"/>
                <w:sz w:val="20"/>
                <w:szCs w:val="20"/>
                <w:highlight w:val="none"/>
                <w:u w:val="none"/>
              </w:rPr>
            </w:pP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10,942.41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left"/>
              <w:outlineLvl w:val="9"/>
              <w:rPr>
                <w:rFonts w:hint="eastAsia" w:ascii="宋体" w:hAnsi="宋体" w:eastAsia="宋体" w:cs="宋体"/>
                <w:i w:val="0"/>
                <w:iCs w:val="0"/>
                <w:color w:val="000000"/>
                <w:sz w:val="20"/>
                <w:szCs w:val="20"/>
                <w:highlight w:val="none"/>
                <w:u w:val="none"/>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2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79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35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c>
          <w:tcPr>
            <w:tcW w:w="288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center"/>
              <w:textAlignment w:val="center"/>
              <w:outlineLvl w:val="9"/>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14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0000" w:type="dxa"/>
            <w:gridSpan w:val="8"/>
            <w:tcBorders>
              <w:top w:val="nil"/>
              <w:left w:val="nil"/>
              <w:bottom w:val="nil"/>
              <w:right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jc w:val="left"/>
              <w:textAlignment w:val="center"/>
              <w:outlineLvl w:val="9"/>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400" w:firstLineChars="200"/>
              <w:jc w:val="left"/>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5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10"/>
        <w:gridCol w:w="1035"/>
        <w:gridCol w:w="2"/>
        <w:gridCol w:w="284"/>
        <w:gridCol w:w="751"/>
        <w:gridCol w:w="13"/>
        <w:gridCol w:w="860"/>
        <w:gridCol w:w="177"/>
        <w:gridCol w:w="1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508"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508"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642" w:type="dxa"/>
            <w:gridSpan w:val="9"/>
            <w:tcBorders>
              <w:top w:val="nil"/>
              <w:left w:val="nil"/>
              <w:bottom w:val="single" w:color="000000" w:themeColor="text1" w:sz="8" w:space="0"/>
              <w:right w:val="nil"/>
            </w:tcBorders>
            <w:vAlign w:val="bottom"/>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单位：石家庄市工业和信息化局               </w:t>
            </w: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年度                                                                                                       </w:t>
            </w:r>
          </w:p>
        </w:tc>
        <w:tc>
          <w:tcPr>
            <w:tcW w:w="2866" w:type="dxa"/>
            <w:gridSpan w:val="5"/>
            <w:tcBorders>
              <w:top w:val="nil"/>
              <w:left w:val="nil"/>
              <w:bottom w:val="single" w:color="000000" w:themeColor="text1" w:sz="8" w:space="0"/>
              <w:right w:val="nil"/>
            </w:tcBorders>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上级补助收入</w:t>
            </w:r>
          </w:p>
        </w:tc>
        <w:tc>
          <w:tcPr>
            <w:tcW w:w="1047"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事业收入</w:t>
            </w:r>
          </w:p>
        </w:tc>
        <w:tc>
          <w:tcPr>
            <w:tcW w:w="103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经营收入</w:t>
            </w:r>
          </w:p>
        </w:tc>
        <w:tc>
          <w:tcPr>
            <w:tcW w:w="105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附属单位上缴收入</w:t>
            </w:r>
          </w:p>
        </w:tc>
        <w:tc>
          <w:tcPr>
            <w:tcW w:w="106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4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p>
        </w:tc>
        <w:tc>
          <w:tcPr>
            <w:tcW w:w="103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5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4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4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14,303.63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14,303.63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1,502.15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1,502.15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2100410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突发公共卫生事件应急处置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10,942.41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10,942.41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4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7,492.75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7,492.75</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通信设备、计算机及其他电子设备制造业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其他制造业支出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7,489.00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7,489.00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工业和信息产业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3,206.27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3,206.27</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2,965.28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2,965.28</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154.18</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产业发展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支持中小企业发展和管理支出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中小企业发展专项</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243.40</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197.76</w:t>
            </w:r>
          </w:p>
        </w:tc>
        <w:tc>
          <w:tcPr>
            <w:tcW w:w="104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2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508"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pPr>
        <w:pStyle w:val="2"/>
        <w:rPr>
          <w:rFonts w:hint="eastAsia" w:ascii="仿宋_GB2312" w:hAnsi="宋体" w:eastAsia="仿宋_GB2312"/>
          <w:b/>
          <w:color w:val="auto"/>
          <w:kern w:val="0"/>
          <w:sz w:val="32"/>
          <w:szCs w:val="32"/>
          <w:highlight w:val="none"/>
        </w:rPr>
      </w:pPr>
    </w:p>
    <w:p>
      <w:pPr>
        <w:pStyle w:val="2"/>
        <w:rPr>
          <w:rFonts w:hint="eastAsia" w:ascii="仿宋_GB2312" w:hAnsi="宋体" w:eastAsia="仿宋_GB2312"/>
          <w:b/>
          <w:color w:val="auto"/>
          <w:kern w:val="0"/>
          <w:sz w:val="32"/>
          <w:szCs w:val="32"/>
          <w:highlight w:val="none"/>
        </w:rPr>
      </w:pPr>
    </w:p>
    <w:p>
      <w:pPr>
        <w:pStyle w:val="2"/>
        <w:rPr>
          <w:rFonts w:hint="eastAsia" w:ascii="仿宋_GB2312" w:hAnsi="宋体" w:eastAsia="仿宋_GB2312"/>
          <w:b/>
          <w:color w:val="auto"/>
          <w:kern w:val="0"/>
          <w:sz w:val="32"/>
          <w:szCs w:val="32"/>
          <w:highlight w:val="none"/>
        </w:rPr>
      </w:pPr>
    </w:p>
    <w:tbl>
      <w:tblPr>
        <w:tblStyle w:val="13"/>
        <w:tblW w:w="93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126"/>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346" w:type="dxa"/>
            <w:gridSpan w:val="9"/>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br w:type="page"/>
            </w:r>
            <w:r>
              <w:rPr>
                <w:rFonts w:hint="eastAsia" w:ascii="仿宋_GB2312" w:hAnsi="仿宋_GB2312" w:eastAsia="仿宋_GB2312" w:cs="仿宋_GB2312"/>
                <w:b/>
                <w:bCs w:val="0"/>
                <w:color w:val="auto"/>
                <w:kern w:val="0"/>
                <w:sz w:val="36"/>
                <w:szCs w:val="36"/>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346"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104" w:type="dxa"/>
            <w:gridSpan w:val="6"/>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单位：石家庄市工业和信息化局</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r>
              <w:rPr>
                <w:rFonts w:hint="eastAsia" w:asciiTheme="minorEastAsia" w:hAnsiTheme="minorEastAsia" w:cstheme="minorEastAsia"/>
                <w:i w:val="0"/>
                <w:iCs w:val="0"/>
                <w:color w:val="000000"/>
                <w:kern w:val="0"/>
                <w:sz w:val="20"/>
                <w:szCs w:val="20"/>
                <w:highlight w:val="none"/>
                <w:u w:val="none"/>
                <w:lang w:val="en-US" w:eastAsia="zh-CN" w:bidi="ar"/>
              </w:rPr>
              <w:t xml:space="preserve">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3242"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4,935.86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9,367.77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1,502.15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公共卫生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突发公共卫生事件应急处置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10,942.41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7,977.13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其他制造业支出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3,206.27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346" w:type="dxa"/>
            <w:gridSpan w:val="9"/>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2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47"/>
        <w:gridCol w:w="448"/>
        <w:gridCol w:w="1035"/>
        <w:gridCol w:w="1970"/>
        <w:gridCol w:w="430"/>
        <w:gridCol w:w="986"/>
        <w:gridCol w:w="94"/>
        <w:gridCol w:w="1065"/>
        <w:gridCol w:w="1080"/>
        <w:gridCol w:w="12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15" w:type="dxa"/>
            <w:gridSpan w:val="10"/>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bottom"/>
              <w:outlineLvl w:val="9"/>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15" w:type="dxa"/>
            <w:gridSpan w:val="10"/>
            <w:tcBorders>
              <w:top w:val="nil"/>
              <w:left w:val="nil"/>
              <w:bottom w:val="nil"/>
              <w:right w:val="nil"/>
            </w:tcBorders>
            <w:vAlign w:val="bottom"/>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right"/>
              <w:textAlignment w:val="bottom"/>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300" w:type="dxa"/>
            <w:gridSpan w:val="4"/>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outlineLvl w:val="9"/>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单位：石家庄市工业和信息化局</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16" w:type="dxa"/>
            <w:gridSpan w:val="2"/>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499" w:type="dxa"/>
            <w:gridSpan w:val="4"/>
            <w:tcBorders>
              <w:top w:val="nil"/>
              <w:left w:val="nil"/>
              <w:bottom w:val="single" w:color="000000" w:themeColor="text1" w:sz="8" w:space="0"/>
              <w:right w:val="nil"/>
            </w:tcBorders>
            <w:vAlign w:val="bottom"/>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3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收入</w:t>
            </w:r>
          </w:p>
        </w:tc>
        <w:tc>
          <w:tcPr>
            <w:tcW w:w="6885"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    目</w:t>
            </w:r>
          </w:p>
        </w:tc>
        <w:tc>
          <w:tcPr>
            <w:tcW w:w="44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3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金额</w:t>
            </w:r>
          </w:p>
        </w:tc>
        <w:tc>
          <w:tcPr>
            <w:tcW w:w="197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43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8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合计</w:t>
            </w:r>
          </w:p>
        </w:tc>
        <w:tc>
          <w:tcPr>
            <w:tcW w:w="106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一般公共预算财政拨款</w:t>
            </w:r>
          </w:p>
        </w:tc>
        <w:tc>
          <w:tcPr>
            <w:tcW w:w="10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政府性基金预算财政拨款</w:t>
            </w:r>
          </w:p>
        </w:tc>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4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9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1,661.31</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1,661.31</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1,502.15</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1,502.15</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10,942.41</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10,942.41</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197.76</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197.76</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    目</w:t>
            </w:r>
          </w:p>
        </w:tc>
        <w:tc>
          <w:tcPr>
            <w:tcW w:w="44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3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金额</w:t>
            </w:r>
          </w:p>
        </w:tc>
        <w:tc>
          <w:tcPr>
            <w:tcW w:w="197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43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行次</w:t>
            </w:r>
          </w:p>
        </w:tc>
        <w:tc>
          <w:tcPr>
            <w:tcW w:w="108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合计</w:t>
            </w:r>
          </w:p>
        </w:tc>
        <w:tc>
          <w:tcPr>
            <w:tcW w:w="106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一般公共预算财政拨款</w:t>
            </w:r>
          </w:p>
        </w:tc>
        <w:tc>
          <w:tcPr>
            <w:tcW w:w="10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政府性基金预算财政拨款</w:t>
            </w:r>
          </w:p>
        </w:tc>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84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4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9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6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b/>
                <w:bCs/>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eastAsia" w:ascii="宋体" w:hAnsi="宋体" w:eastAsia="宋体" w:cs="宋体"/>
                <w:i w:val="0"/>
                <w:iCs w:val="0"/>
                <w:color w:val="000000"/>
                <w:sz w:val="20"/>
                <w:szCs w:val="20"/>
                <w:highlight w:val="none"/>
                <w:u w:val="none"/>
              </w:rPr>
            </w:pP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both"/>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both"/>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1,40</w:t>
            </w:r>
            <w:r>
              <w:rPr>
                <w:rFonts w:hint="eastAsia" w:ascii="Times New Roman" w:hAnsi="Times New Roman" w:cs="Times New Roman"/>
                <w:sz w:val="20"/>
                <w:szCs w:val="20"/>
                <w:highlight w:val="none"/>
                <w:lang w:eastAsia="zh-CN"/>
              </w:rPr>
              <w:t>0</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20"/>
                <w:szCs w:val="20"/>
                <w:highlight w:val="none"/>
                <w:u w:val="none"/>
              </w:rPr>
            </w:pP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lef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4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44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c>
          <w:tcPr>
            <w:tcW w:w="19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4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0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15,703.63</w:t>
            </w:r>
          </w:p>
        </w:tc>
        <w:tc>
          <w:tcPr>
            <w:tcW w:w="106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cs="Times New Roman"/>
                <w:sz w:val="20"/>
                <w:szCs w:val="20"/>
                <w:highlight w:val="none"/>
              </w:rPr>
            </w:pPr>
          </w:p>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15,703.63</w:t>
            </w:r>
          </w:p>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right"/>
              <w:outlineLvl w:val="9"/>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15" w:type="dxa"/>
            <w:gridSpan w:val="10"/>
            <w:tcBorders>
              <w:top w:val="single" w:color="000000" w:themeColor="text1" w:sz="8" w:space="0"/>
              <w:left w:val="nil"/>
              <w:bottom w:val="nil"/>
              <w:right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860"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5"/>
        <w:gridCol w:w="4100"/>
        <w:gridCol w:w="409"/>
        <w:gridCol w:w="774"/>
        <w:gridCol w:w="1075"/>
        <w:gridCol w:w="432"/>
        <w:gridCol w:w="1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9860" w:type="dxa"/>
            <w:gridSpan w:val="7"/>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9860" w:type="dxa"/>
            <w:gridSpan w:val="7"/>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5834"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单位：石家庄市工业和信息化局</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849" w:type="dxa"/>
            <w:gridSpan w:val="2"/>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177" w:type="dxa"/>
            <w:gridSpan w:val="2"/>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42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4435" w:type="dxa"/>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科目代码</w:t>
            </w:r>
          </w:p>
        </w:tc>
        <w:tc>
          <w:tcPr>
            <w:tcW w:w="410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183"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小计</w:t>
            </w:r>
          </w:p>
        </w:tc>
        <w:tc>
          <w:tcPr>
            <w:tcW w:w="150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基本支出</w:t>
            </w:r>
          </w:p>
        </w:tc>
        <w:tc>
          <w:tcPr>
            <w:tcW w:w="1745"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41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0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45"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25"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41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0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45"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42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42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14,303.63</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4,935.86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9,367.77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1,661.31</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1,367.92</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213.39</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w:t>
            </w:r>
            <w:r>
              <w:rPr>
                <w:rFonts w:hint="eastAsia" w:ascii="Times New Roman" w:hAnsi="Times New Roman" w:eastAsia="宋体" w:cs="Times New Roman"/>
                <w:i w:val="0"/>
                <w:iCs w:val="0"/>
                <w:color w:val="000000"/>
                <w:sz w:val="20"/>
                <w:szCs w:val="20"/>
                <w:highlight w:val="none"/>
                <w:u w:val="none"/>
                <w:lang w:val="en-US" w:eastAsia="zh-CN"/>
              </w:rPr>
              <w:t>0</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1,502.15</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公共卫生</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2100410</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突发公共卫生事件应急处置</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111.50</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59.72</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51.78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10,942.41</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7,977.13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7,492.75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2150299</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其他制造业支出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7,489.00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3,206.27</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2,965.28</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2150502</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325"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410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8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50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197.76</w:t>
            </w:r>
          </w:p>
        </w:tc>
        <w:tc>
          <w:tcPr>
            <w:tcW w:w="1745"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9860" w:type="dxa"/>
            <w:gridSpan w:val="7"/>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3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7"/>
        <w:gridCol w:w="1377"/>
        <w:gridCol w:w="1138"/>
        <w:gridCol w:w="823"/>
        <w:gridCol w:w="940"/>
        <w:gridCol w:w="228"/>
        <w:gridCol w:w="988"/>
        <w:gridCol w:w="362"/>
        <w:gridCol w:w="594"/>
        <w:gridCol w:w="1769"/>
        <w:gridCol w:w="1123"/>
        <w:gridCol w:w="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1" w:type="dxa"/>
          <w:trHeight w:val="522" w:hRule="atLeast"/>
          <w:jc w:val="center"/>
        </w:trPr>
        <w:tc>
          <w:tcPr>
            <w:tcW w:w="10059" w:type="dxa"/>
            <w:gridSpan w:val="11"/>
            <w:tcBorders>
              <w:top w:val="nil"/>
              <w:left w:val="nil"/>
              <w:bottom w:val="nil"/>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bottom"/>
              <w:outlineLvl w:val="9"/>
              <w:rPr>
                <w:rFonts w:ascii="方正仿宋_GB2312" w:hAnsi="方正仿宋_GB2312" w:eastAsia="方正仿宋_GB2312" w:cs="方正仿宋_GB2312"/>
                <w:i w:val="0"/>
                <w:iCs w:val="0"/>
                <w:color w:val="000000"/>
                <w:sz w:val="32"/>
                <w:szCs w:val="32"/>
                <w:u w:val="none"/>
              </w:rPr>
            </w:pPr>
            <w:r>
              <w:rPr>
                <w:rFonts w:hint="eastAsia" w:ascii="仿宋_GB2312" w:hAnsi="仿宋_GB2312" w:eastAsia="仿宋_GB2312" w:cs="仿宋_GB2312"/>
                <w:b/>
                <w:bCs w:val="0"/>
                <w:color w:val="auto"/>
                <w:kern w:val="0"/>
                <w:sz w:val="36"/>
                <w:szCs w:val="36"/>
                <w:highlight w:val="none"/>
                <w:lang w:val="en-US" w:eastAsia="zh-CN"/>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41" w:hRule="atLeast"/>
          <w:jc w:val="center"/>
        </w:trPr>
        <w:tc>
          <w:tcPr>
            <w:tcW w:w="10059" w:type="dxa"/>
            <w:gridSpan w:val="11"/>
            <w:tcBorders>
              <w:top w:val="nil"/>
              <w:left w:val="nil"/>
              <w:bottom w:val="nil"/>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bottom"/>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41" w:hRule="atLeast"/>
          <w:jc w:val="center"/>
        </w:trPr>
        <w:tc>
          <w:tcPr>
            <w:tcW w:w="4995" w:type="dxa"/>
            <w:gridSpan w:val="5"/>
            <w:tcBorders>
              <w:top w:val="nil"/>
              <w:left w:val="nil"/>
              <w:bottom w:val="single" w:color="000000" w:sz="8" w:space="0"/>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bottom"/>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单位：石家庄市工业和信息化局</w:t>
            </w:r>
            <w:r>
              <w:rPr>
                <w:rFonts w:hint="eastAsia" w:ascii="宋体" w:hAnsi="宋体" w:eastAsia="宋体" w:cs="宋体"/>
                <w:i w:val="0"/>
                <w:iCs w:val="0"/>
                <w:color w:val="000000"/>
                <w:kern w:val="0"/>
                <w:sz w:val="18"/>
                <w:szCs w:val="18"/>
                <w:u w:val="none"/>
                <w:lang w:val="en-US" w:eastAsia="zh-CN" w:bidi="ar"/>
              </w:rPr>
              <w:t xml:space="preserve">                                                                  </w:t>
            </w:r>
          </w:p>
        </w:tc>
        <w:tc>
          <w:tcPr>
            <w:tcW w:w="1578" w:type="dxa"/>
            <w:gridSpan w:val="3"/>
            <w:tcBorders>
              <w:top w:val="nil"/>
              <w:left w:val="nil"/>
              <w:bottom w:val="single" w:color="000000" w:sz="8" w:space="0"/>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bottom"/>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3486" w:type="dxa"/>
            <w:gridSpan w:val="3"/>
            <w:tcBorders>
              <w:top w:val="nil"/>
              <w:left w:val="nil"/>
              <w:bottom w:val="single" w:color="000000" w:sz="8" w:space="0"/>
              <w:right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bottom"/>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3232" w:type="dxa"/>
            <w:gridSpan w:val="3"/>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人员经费</w:t>
            </w:r>
          </w:p>
        </w:tc>
        <w:tc>
          <w:tcPr>
            <w:tcW w:w="6827" w:type="dxa"/>
            <w:gridSpan w:val="8"/>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科目代码</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科目名称</w:t>
            </w:r>
          </w:p>
        </w:tc>
        <w:tc>
          <w:tcPr>
            <w:tcW w:w="113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金额</w:t>
            </w:r>
          </w:p>
        </w:tc>
        <w:tc>
          <w:tcPr>
            <w:tcW w:w="82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科目代码</w:t>
            </w:r>
          </w:p>
        </w:tc>
        <w:tc>
          <w:tcPr>
            <w:tcW w:w="1168"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科目名称</w:t>
            </w:r>
          </w:p>
        </w:tc>
        <w:tc>
          <w:tcPr>
            <w:tcW w:w="98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金额</w:t>
            </w:r>
          </w:p>
        </w:tc>
        <w:tc>
          <w:tcPr>
            <w:tcW w:w="956"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科目代码</w:t>
            </w:r>
          </w:p>
        </w:tc>
        <w:tc>
          <w:tcPr>
            <w:tcW w:w="1769"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科目名称</w:t>
            </w:r>
          </w:p>
        </w:tc>
        <w:tc>
          <w:tcPr>
            <w:tcW w:w="112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2,413.63</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299.13</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669.94</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25.42</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514.21</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469.32</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85.50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743"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213.39</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57.87</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r>
              <w:rPr>
                <w:rFonts w:hint="eastAsia" w:ascii="Times New Roman" w:hAnsi="Times New Roman" w:eastAsia="宋体" w:cs="Times New Roman"/>
                <w:i w:val="0"/>
                <w:iCs w:val="0"/>
                <w:color w:val="000000"/>
                <w:kern w:val="0"/>
                <w:sz w:val="18"/>
                <w:szCs w:val="18"/>
                <w:u w:val="none"/>
                <w:lang w:val="en-US" w:eastAsia="zh-CN" w:bidi="ar"/>
              </w:rPr>
              <w:t>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59.72</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51.78</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37.31</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197.76</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72.00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0.41</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2,223.10</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3.74</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128.25</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1,239.66</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166.59</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22.13</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743"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13.65</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9.60</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75.87</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502" w:hRule="atLeast"/>
          <w:jc w:val="center"/>
        </w:trPr>
        <w:tc>
          <w:tcPr>
            <w:tcW w:w="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77"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684.39</w:t>
            </w:r>
          </w:p>
        </w:tc>
        <w:tc>
          <w:tcPr>
            <w:tcW w:w="8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168"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98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52.92</w:t>
            </w:r>
          </w:p>
        </w:tc>
        <w:tc>
          <w:tcPr>
            <w:tcW w:w="956" w:type="dxa"/>
            <w:gridSpan w:val="2"/>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240" w:lineRule="exact"/>
              <w:ind w:left="0" w:leftChars="0" w:right="0" w:rightChars="0" w:firstLine="0" w:firstLineChars="0"/>
              <w:jc w:val="center"/>
              <w:outlineLvl w:val="9"/>
              <w:rPr>
                <w:rFonts w:hint="default" w:ascii="Times New Roman" w:hAnsi="Times New Roman" w:eastAsia="宋体" w:cs="Times New Roman"/>
                <w:i w:val="0"/>
                <w:iCs w:val="0"/>
                <w:color w:val="000000"/>
                <w:sz w:val="18"/>
                <w:szCs w:val="18"/>
                <w:u w:val="none"/>
              </w:rPr>
            </w:pPr>
          </w:p>
        </w:tc>
        <w:tc>
          <w:tcPr>
            <w:tcW w:w="1769"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240" w:lineRule="exact"/>
              <w:ind w:left="0" w:leftChars="0" w:right="0" w:rightChars="0" w:firstLine="0" w:firstLineChars="0"/>
              <w:jc w:val="left"/>
              <w:outlineLvl w:val="9"/>
              <w:rPr>
                <w:rFonts w:hint="eastAsia" w:ascii="方正仿宋_GB2312" w:hAnsi="方正仿宋_GB2312" w:eastAsia="方正仿宋_GB2312" w:cs="方正仿宋_GB2312"/>
                <w:i w:val="0"/>
                <w:iCs w:val="0"/>
                <w:color w:val="000000"/>
                <w:sz w:val="18"/>
                <w:szCs w:val="18"/>
                <w:u w:val="none"/>
              </w:rPr>
            </w:pP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240" w:lineRule="exact"/>
              <w:ind w:left="0" w:leftChars="0" w:right="0" w:rightChars="0" w:firstLine="0" w:firstLineChars="0"/>
              <w:jc w:val="right"/>
              <w:outlineLvl w:val="9"/>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61" w:type="dxa"/>
          <w:trHeight w:val="261" w:hRule="atLeast"/>
          <w:jc w:val="center"/>
        </w:trPr>
        <w:tc>
          <w:tcPr>
            <w:tcW w:w="2094"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138"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4,636.73</w:t>
            </w:r>
          </w:p>
        </w:tc>
        <w:tc>
          <w:tcPr>
            <w:tcW w:w="5704" w:type="dxa"/>
            <w:gridSpan w:val="7"/>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center"/>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12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jc w:val="center"/>
        </w:trPr>
        <w:tc>
          <w:tcPr>
            <w:tcW w:w="10320" w:type="dxa"/>
            <w:gridSpan w:val="12"/>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exact"/>
              <w:ind w:left="0" w:leftChars="0" w:right="0" w:rightChars="0" w:firstLine="0" w:firstLineChars="0"/>
              <w:jc w:val="left"/>
              <w:textAlignment w:val="center"/>
              <w:outlineLvl w:val="9"/>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592" w:type="dxa"/>
            <w:gridSpan w:val="6"/>
            <w:tcBorders>
              <w:top w:val="nil"/>
              <w:left w:val="nil"/>
              <w:bottom w:val="single" w:color="000000" w:themeColor="text1" w:sz="8" w:space="0"/>
              <w:right w:val="nil"/>
            </w:tcBorders>
            <w:vAlign w:val="bottom"/>
          </w:tcPr>
          <w:p>
            <w:pPr>
              <w:keepNext w:val="0"/>
              <w:keepLines w:val="0"/>
              <w:widowControl/>
              <w:suppressLineNumbers w:val="0"/>
              <w:jc w:val="both"/>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单位：石家庄市工业和信息化局      </w:t>
            </w:r>
            <w:r>
              <w:rPr>
                <w:rFonts w:hint="eastAsia" w:ascii="宋体" w:hAnsi="宋体" w:eastAsia="宋体" w:cs="宋体"/>
                <w:i w:val="0"/>
                <w:iCs w:val="0"/>
                <w:color w:val="000000"/>
                <w:kern w:val="0"/>
                <w:sz w:val="20"/>
                <w:szCs w:val="20"/>
                <w:highlight w:val="none"/>
                <w:u w:val="none"/>
                <w:lang w:val="en-US" w:eastAsia="zh-CN" w:bidi="ar"/>
              </w:rPr>
              <w:t xml:space="preserve">        </w:t>
            </w: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3888"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80" w:type="dxa"/>
            <w:gridSpan w:val="9"/>
            <w:tcBorders>
              <w:top w:val="single" w:color="000000" w:themeColor="text1" w:sz="8" w:space="0"/>
              <w:left w:val="nil"/>
              <w:bottom w:val="nil"/>
              <w:right w:val="nil"/>
            </w:tcBorders>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4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2027"/>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428" w:type="dxa"/>
            <w:gridSpan w:val="8"/>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仿宋_GB2312" w:hAnsi="仿宋_GB2312" w:eastAsia="仿宋_GB2312" w:cs="仿宋_GB2312"/>
                <w:b/>
                <w:bCs w:val="0"/>
                <w:color w:val="auto"/>
                <w:kern w:val="0"/>
                <w:sz w:val="36"/>
                <w:szCs w:val="36"/>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428" w:type="dxa"/>
            <w:gridSpan w:val="8"/>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6404"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单位：石家庄市工业和信息化局          </w:t>
            </w: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0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科目代码</w:t>
            </w:r>
          </w:p>
        </w:tc>
        <w:tc>
          <w:tcPr>
            <w:tcW w:w="2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default" w:ascii="方正仿宋_GB2312" w:hAnsi="方正仿宋_GB2312" w:eastAsia="方正仿宋_GB2312" w:cs="方正仿宋_GB2312"/>
                <w:b/>
                <w:bCs/>
                <w:i w:val="0"/>
                <w:iCs w:val="0"/>
                <w:color w:val="000000"/>
                <w:sz w:val="20"/>
                <w:szCs w:val="20"/>
                <w:highlight w:val="none"/>
                <w:u w:val="none"/>
                <w:lang w:val="en-US" w:eastAsia="zh-CN"/>
              </w:rPr>
            </w:pPr>
            <w:r>
              <w:rPr>
                <w:rFonts w:hint="eastAsia" w:ascii="方正仿宋_GB2312" w:hAnsi="方正仿宋_GB2312" w:eastAsia="方正仿宋_GB2312" w:cs="方正仿宋_GB2312"/>
                <w:b/>
                <w:bCs/>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428" w:type="dxa"/>
            <w:gridSpan w:val="8"/>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Spec="center" w:tblpY="39"/>
        <w:tblOverlap w:val="never"/>
        <w:tblW w:w="106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4"/>
        <w:gridCol w:w="759"/>
        <w:gridCol w:w="892"/>
        <w:gridCol w:w="975"/>
        <w:gridCol w:w="965"/>
        <w:gridCol w:w="70"/>
        <w:gridCol w:w="1169"/>
        <w:gridCol w:w="631"/>
        <w:gridCol w:w="162"/>
        <w:gridCol w:w="693"/>
        <w:gridCol w:w="705"/>
        <w:gridCol w:w="870"/>
        <w:gridCol w:w="960"/>
        <w:gridCol w:w="1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0615"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仿宋_GB2312" w:hAnsi="仿宋_GB2312" w:eastAsia="仿宋_GB2312" w:cs="仿宋_GB2312"/>
                <w:b/>
                <w:bCs w:val="0"/>
                <w:color w:val="auto"/>
                <w:kern w:val="0"/>
                <w:sz w:val="36"/>
                <w:szCs w:val="36"/>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0615"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215"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：石家庄市工业和信息化局</w:t>
            </w:r>
          </w:p>
        </w:tc>
        <w:tc>
          <w:tcPr>
            <w:tcW w:w="2032" w:type="dxa"/>
            <w:gridSpan w:val="4"/>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368" w:type="dxa"/>
            <w:gridSpan w:val="5"/>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5454"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预算数</w:t>
            </w:r>
          </w:p>
        </w:tc>
        <w:tc>
          <w:tcPr>
            <w:tcW w:w="5161"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合计</w:t>
            </w:r>
          </w:p>
        </w:tc>
        <w:tc>
          <w:tcPr>
            <w:tcW w:w="75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因公出国（境）费</w:t>
            </w:r>
          </w:p>
        </w:tc>
        <w:tc>
          <w:tcPr>
            <w:tcW w:w="2902"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公务用车购置及运行维护费</w:t>
            </w:r>
          </w:p>
        </w:tc>
        <w:tc>
          <w:tcPr>
            <w:tcW w:w="116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公务接待费</w:t>
            </w:r>
          </w:p>
        </w:tc>
        <w:tc>
          <w:tcPr>
            <w:tcW w:w="63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合计</w:t>
            </w:r>
          </w:p>
        </w:tc>
        <w:tc>
          <w:tcPr>
            <w:tcW w:w="85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因公出国（境）费</w:t>
            </w:r>
          </w:p>
        </w:tc>
        <w:tc>
          <w:tcPr>
            <w:tcW w:w="25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公务用车购置及运行维护费</w:t>
            </w:r>
          </w:p>
        </w:tc>
        <w:tc>
          <w:tcPr>
            <w:tcW w:w="11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75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89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小计</w:t>
            </w:r>
          </w:p>
        </w:tc>
        <w:tc>
          <w:tcPr>
            <w:tcW w:w="9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公务用车购置费</w:t>
            </w: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公务用车运行维护费</w:t>
            </w:r>
          </w:p>
        </w:tc>
        <w:tc>
          <w:tcPr>
            <w:tcW w:w="116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63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85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b/>
                <w:bCs/>
                <w:i w:val="0"/>
                <w:iCs w:val="0"/>
                <w:color w:val="000000"/>
                <w:sz w:val="18"/>
                <w:szCs w:val="18"/>
                <w:highlight w:val="none"/>
                <w:u w:val="none"/>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小计</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公务用车购置费</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公务用车运行维护费</w:t>
            </w:r>
          </w:p>
        </w:tc>
        <w:tc>
          <w:tcPr>
            <w:tcW w:w="11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75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9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116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63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17.91</w:t>
            </w:r>
          </w:p>
        </w:tc>
        <w:tc>
          <w:tcPr>
            <w:tcW w:w="75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9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15.52</w:t>
            </w:r>
          </w:p>
        </w:tc>
        <w:tc>
          <w:tcPr>
            <w:tcW w:w="9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3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15.52</w:t>
            </w:r>
          </w:p>
        </w:tc>
        <w:tc>
          <w:tcPr>
            <w:tcW w:w="116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2.39</w:t>
            </w:r>
          </w:p>
        </w:tc>
        <w:tc>
          <w:tcPr>
            <w:tcW w:w="63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9.79</w:t>
            </w:r>
          </w:p>
        </w:tc>
        <w:tc>
          <w:tcPr>
            <w:tcW w:w="85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9.60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9.60</w:t>
            </w:r>
          </w:p>
        </w:tc>
        <w:tc>
          <w:tcPr>
            <w:tcW w:w="11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10615"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textAlignment w:val="auto"/>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sz w:val="32"/>
          <w:szCs w:val="32"/>
        </w:rPr>
      </w:pPr>
      <w:r>
        <w:rPr>
          <w:rFonts w:ascii="Times New Roman" w:eastAsia="黑体"/>
          <w:b w:val="0"/>
          <w:sz w:val="32"/>
          <w:szCs w:val="32"/>
        </w:rPr>
        <w:t>一、收入支出决算总体情况说明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2025年度收、支总计（含结转和结余）均为15,703.63万元。与2024年度决算相比，收支各增加3,954.06万元，增长33.7%，主要原因是增加了制造业新型技术改造城市试点补助资金。</w:t>
      </w:r>
    </w:p>
    <w:p>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leftChars="0" w:right="0" w:rightChars="0"/>
        <w:jc w:val="both"/>
        <w:textAlignment w:val="auto"/>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二、收入决算情况说明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2025年度本年收入合计14,303.63万元，其中：财政拨款收入14,303.63万元，占10</w:t>
      </w:r>
      <w:r>
        <w:rPr>
          <w:rFonts w:hint="eastAsia" w:ascii="Times New Roman" w:eastAsia="仿宋_GB2312"/>
          <w:b w:val="0"/>
          <w:sz w:val="32"/>
          <w:szCs w:val="32"/>
          <w:lang w:eastAsia="zh-CN"/>
        </w:rPr>
        <w:t>0%</w:t>
      </w:r>
      <w:r>
        <w:rPr>
          <w:rFonts w:hint="eastAsia" w:ascii="Times New Roman" w:eastAsia="仿宋_GB2312"/>
          <w:b w:val="0"/>
          <w:sz w:val="32"/>
          <w:szCs w:val="32"/>
        </w:rPr>
        <w:t>；上级补助收入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；事业收入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；经营收入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；附属单位上缴收入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；其他收入</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w:t>
      </w:r>
    </w:p>
    <w:p>
      <w:pPr>
        <w:keepNext w:val="0"/>
        <w:keepLines w:val="0"/>
        <w:pageBreakBefore w:val="0"/>
        <w:widowControl w:val="0"/>
        <w:kinsoku/>
        <w:wordWrap/>
        <w:overflowPunct/>
        <w:topLinePunct w:val="0"/>
        <w:bidi w:val="0"/>
        <w:adjustRightInd w:val="0"/>
        <w:snapToGrid w:val="0"/>
        <w:spacing w:line="580" w:lineRule="exact"/>
        <w:ind w:left="0" w:leftChars="0" w:right="0" w:rightChars="0"/>
        <w:jc w:val="both"/>
        <w:textAlignment w:val="auto"/>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316865</wp:posOffset>
            </wp:positionH>
            <wp:positionV relativeFrom="paragraph">
              <wp:posOffset>163830</wp:posOffset>
            </wp:positionV>
            <wp:extent cx="5057775" cy="2579370"/>
            <wp:effectExtent l="4445" t="4445" r="5080" b="698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2025年度本年支出合计14,303.63万元，其中：基本支出4,935.86万元，占34.5%；项目支出9,367.77万元，占65.5%；经营支出</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；上缴上级支出</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；对附属单位补助支出</w:t>
      </w:r>
      <w:r>
        <w:rPr>
          <w:rFonts w:hint="eastAsia" w:ascii="Times New Roman" w:eastAsia="仿宋_GB2312"/>
          <w:b w:val="0"/>
          <w:sz w:val="32"/>
          <w:szCs w:val="32"/>
          <w:lang w:eastAsia="zh-CN"/>
        </w:rPr>
        <w:t>0</w:t>
      </w:r>
      <w:r>
        <w:rPr>
          <w:rFonts w:hint="eastAsia" w:ascii="Times New Roman" w:eastAsia="仿宋_GB2312"/>
          <w:b w:val="0"/>
          <w:sz w:val="32"/>
          <w:szCs w:val="32"/>
        </w:rPr>
        <w:t>万元，占</w:t>
      </w:r>
      <w:r>
        <w:rPr>
          <w:rFonts w:hint="eastAsia" w:ascii="Times New Roman" w:eastAsia="仿宋_GB2312"/>
          <w:b w:val="0"/>
          <w:sz w:val="32"/>
          <w:szCs w:val="32"/>
          <w:lang w:eastAsia="zh-CN"/>
        </w:rPr>
        <w:t>0%</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val="0"/>
        <w:autoSpaceDN w:val="0"/>
        <w:bidi w:val="0"/>
        <w:adjustRightInd w:val="0"/>
        <w:ind w:left="0" w:leftChars="0" w:right="0" w:rightChars="0"/>
        <w:jc w:val="center"/>
        <w:textAlignment w:val="auto"/>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086350" cy="2741930"/>
            <wp:effectExtent l="4445" t="4445" r="14605" b="1587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四、财政拨款收入支出决算总体情况说明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2025年度财政拨款收、支总计（含结转和结余）均为15,703.63万元。与2024年度相比，财政拨款收支各增加6,598.41万元，增长72.5%，主要原因是增加了制造业新型技术改造城市试点补助资金。</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2025年度财政拨款本年收入14,303.63万元,比上年增加6,598.41万元，增长85.6%，主要原因是增加了制造业新型技术改造城市试点补助资金；本年支出14,303.63万元，比上年增加6,598.41万元，增长85.6%，主要原因是增加了制造业新型技术改造城市试点补助资金。具体情况如下：</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1. 一般公共预算财政拨款本年收入14,303.63万元,比上年增加6,598.41万元，增长85.6%，主要原因是增加了制造业新型技术改造城市试点补助资金；本年支出14,303.63万元，比上年增加6,598.41万元，增长85.6%，主要原因是增加了制造业新型技术改造城市试点补助资金。</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 政府性基金预算财政拨款本年收入</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政府性基金预算；本年支出</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政府性基金预算。</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3. 国有资本经营预算财政拨款本年收入</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国有资本经营预算；本年支出</w:t>
      </w:r>
      <w:r>
        <w:rPr>
          <w:rFonts w:hint="eastAsia" w:ascii="Times New Roman" w:eastAsia="仿宋_GB2312"/>
          <w:b w:val="0"/>
          <w:sz w:val="32"/>
          <w:szCs w:val="32"/>
          <w:lang w:eastAsia="zh-CN"/>
        </w:rPr>
        <w:t>0</w:t>
      </w:r>
      <w:r>
        <w:rPr>
          <w:rFonts w:hint="eastAsia" w:ascii="Times New Roman" w:eastAsia="仿宋_GB2312"/>
          <w:b w:val="0"/>
          <w:sz w:val="32"/>
          <w:szCs w:val="32"/>
        </w:rPr>
        <w:t>万元，比上年增加</w:t>
      </w:r>
      <w:r>
        <w:rPr>
          <w:rFonts w:hint="eastAsia" w:ascii="Times New Roman" w:eastAsia="仿宋_GB2312"/>
          <w:b w:val="0"/>
          <w:sz w:val="32"/>
          <w:szCs w:val="32"/>
          <w:lang w:eastAsia="zh-CN"/>
        </w:rPr>
        <w:t>0</w:t>
      </w:r>
      <w:r>
        <w:rPr>
          <w:rFonts w:hint="eastAsia" w:ascii="Times New Roman" w:eastAsia="仿宋_GB2312"/>
          <w:b w:val="0"/>
          <w:sz w:val="32"/>
          <w:szCs w:val="32"/>
        </w:rPr>
        <w:t>万元，</w:t>
      </w:r>
      <w:r>
        <w:rPr>
          <w:rFonts w:hint="eastAsia" w:ascii="Times New Roman" w:eastAsia="仿宋_GB2312"/>
          <w:b w:val="0"/>
          <w:sz w:val="32"/>
          <w:szCs w:val="32"/>
          <w:lang w:eastAsia="zh-CN"/>
        </w:rPr>
        <w:t>与上年持平</w:t>
      </w:r>
      <w:r>
        <w:rPr>
          <w:rFonts w:hint="eastAsia" w:ascii="Times New Roman" w:eastAsia="仿宋_GB2312"/>
          <w:b w:val="0"/>
          <w:sz w:val="32"/>
          <w:szCs w:val="32"/>
        </w:rPr>
        <w:t>，主要原因是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国有资本经营预算。</w:t>
      </w:r>
    </w:p>
    <w:p>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leftChars="0" w:right="0" w:rightChars="0"/>
        <w:jc w:val="center"/>
        <w:textAlignment w:val="auto"/>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152390" cy="3056255"/>
            <wp:effectExtent l="4445" t="4445" r="5715"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（二）财政拨款收支与年初预算数对比情况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2025年度财政拨款本年收入14,303.63万元，完成年初预算的207.4%，比年初预算增加7,407.66万元，决算数大于预算数主要原因是增加了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等；本年支出14,303.63万元，完成年初预算的207.4%，比年初预算增加7,407.66万元，决算数大于预算数主要原因是增加了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等。具体情况如下：</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1. 一般公共预算财政拨款本年收入完成年初预算的207.4%，比年初预算增加7,407.66万元，主要原因是增加了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等；支出完成年初预算的207.4%，比年初预算增加7,407.66万元，主要原因是增加了</w:t>
      </w:r>
      <w:r>
        <w:rPr>
          <w:rFonts w:hint="eastAsia" w:ascii="Times New Roman" w:eastAsia="仿宋_GB2312"/>
          <w:b w:val="0"/>
          <w:sz w:val="32"/>
          <w:szCs w:val="32"/>
          <w:lang w:eastAsia="zh-CN"/>
        </w:rPr>
        <w:t>制造业新型技术改造城市试点补助资金</w:t>
      </w:r>
      <w:r>
        <w:rPr>
          <w:rFonts w:hint="eastAsia" w:ascii="Times New Roman" w:eastAsia="仿宋_GB2312"/>
          <w:b w:val="0"/>
          <w:sz w:val="32"/>
          <w:szCs w:val="32"/>
        </w:rPr>
        <w:t>等。</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 政府性基金预算财政拨款本年收入完成年初预算的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政府性基金预算；支出完成年初预算的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政府性基金预算。</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3. 国有资本经营预算财政拨款本年收入完成年初预算的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国有资本经营预算；支出完成年初预算的</w:t>
      </w:r>
      <w:r>
        <w:rPr>
          <w:rFonts w:hint="eastAsia" w:ascii="Times New Roman" w:eastAsia="仿宋_GB2312"/>
          <w:b w:val="0"/>
          <w:sz w:val="32"/>
          <w:szCs w:val="32"/>
          <w:lang w:eastAsia="zh-CN"/>
        </w:rPr>
        <w:t>0%</w:t>
      </w:r>
      <w:r>
        <w:rPr>
          <w:rFonts w:hint="eastAsia" w:ascii="Times New Roman" w:eastAsia="仿宋_GB2312"/>
          <w:b w:val="0"/>
          <w:sz w:val="32"/>
          <w:szCs w:val="32"/>
        </w:rPr>
        <w:t>，比年初预算增加</w:t>
      </w:r>
      <w:r>
        <w:rPr>
          <w:rFonts w:hint="eastAsia" w:ascii="Times New Roman" w:eastAsia="仿宋_GB2312"/>
          <w:b w:val="0"/>
          <w:sz w:val="32"/>
          <w:szCs w:val="32"/>
          <w:lang w:eastAsia="zh-CN"/>
        </w:rPr>
        <w:t>0</w:t>
      </w:r>
      <w:r>
        <w:rPr>
          <w:rFonts w:hint="eastAsia" w:ascii="Times New Roman" w:eastAsia="仿宋_GB2312"/>
          <w:b w:val="0"/>
          <w:sz w:val="32"/>
          <w:szCs w:val="32"/>
        </w:rPr>
        <w:t>万元，主要原因是</w:t>
      </w:r>
      <w:r>
        <w:rPr>
          <w:rFonts w:hint="eastAsia" w:ascii="Times New Roman" w:eastAsia="仿宋_GB2312"/>
          <w:b w:val="0"/>
          <w:sz w:val="32"/>
          <w:szCs w:val="32"/>
          <w:lang w:eastAsia="zh-CN"/>
        </w:rPr>
        <w:t>本单位无</w:t>
      </w:r>
      <w:r>
        <w:rPr>
          <w:rFonts w:hint="eastAsia" w:ascii="Times New Roman" w:eastAsia="仿宋_GB2312"/>
          <w:b w:val="0"/>
          <w:sz w:val="32"/>
          <w:szCs w:val="32"/>
        </w:rPr>
        <w:t>国有资本经营预算。</w:t>
      </w:r>
    </w:p>
    <w:p>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leftChars="0" w:right="0" w:rightChars="0"/>
        <w:jc w:val="center"/>
        <w:textAlignment w:val="auto"/>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4535805" cy="2513965"/>
            <wp:effectExtent l="4445" t="4445" r="12700" b="1524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（三）财政拨款支出决算结构情况</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2025年度财政拨款支出14,303.63万元，主要用于以下方面：</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hint="eastAsia" w:ascii="Times New Roman" w:eastAsia="仿宋_GB2312"/>
          <w:b w:val="0"/>
          <w:sz w:val="32"/>
          <w:szCs w:val="32"/>
          <w:lang w:eastAsia="zh-CN"/>
        </w:rPr>
      </w:pPr>
      <w:r>
        <w:rPr>
          <w:rFonts w:ascii="Times New Roman" w:eastAsia="仿宋_GB2312"/>
          <w:b/>
          <w:sz w:val="32"/>
          <w:szCs w:val="32"/>
        </w:rPr>
        <w:t>一般公共预算财政拨款支出：</w:t>
      </w:r>
      <w:r>
        <w:rPr>
          <w:rFonts w:ascii="Times New Roman" w:eastAsia="仿宋_GB2312"/>
          <w:b w:val="0"/>
          <w:sz w:val="32"/>
          <w:szCs w:val="32"/>
        </w:rPr>
        <w:t>社会保障和就业（类）支出1,661.31万元，占11.6%，主要用于</w:t>
      </w:r>
      <w:r>
        <w:rPr>
          <w:rFonts w:hint="eastAsia" w:ascii="Times New Roman" w:eastAsia="仿宋_GB2312"/>
          <w:b w:val="0"/>
          <w:sz w:val="32"/>
          <w:szCs w:val="32"/>
          <w:lang w:eastAsia="zh-CN"/>
        </w:rPr>
        <w:t>人员</w:t>
      </w:r>
      <w:r>
        <w:rPr>
          <w:rFonts w:ascii="Times New Roman" w:eastAsia="仿宋_GB2312"/>
          <w:b w:val="0"/>
          <w:sz w:val="32"/>
          <w:szCs w:val="32"/>
        </w:rPr>
        <w:t>养老保险、医疗保险等支出；卫生健康（类）支出1,502.15万元，占10.5%，主要用于</w:t>
      </w:r>
      <w:r>
        <w:rPr>
          <w:rFonts w:hint="eastAsia" w:ascii="Times New Roman" w:eastAsia="仿宋_GB2312"/>
          <w:b w:val="0"/>
          <w:sz w:val="32"/>
          <w:szCs w:val="32"/>
          <w:lang w:eastAsia="zh-CN"/>
        </w:rPr>
        <w:t>保供</w:t>
      </w:r>
      <w:r>
        <w:rPr>
          <w:rFonts w:ascii="Times New Roman" w:eastAsia="仿宋_GB2312"/>
          <w:b w:val="0"/>
          <w:sz w:val="32"/>
          <w:szCs w:val="32"/>
        </w:rPr>
        <w:t>储备物资</w:t>
      </w:r>
      <w:r>
        <w:rPr>
          <w:rFonts w:hint="eastAsia" w:ascii="Times New Roman" w:eastAsia="仿宋_GB2312"/>
          <w:b w:val="0"/>
          <w:sz w:val="32"/>
          <w:szCs w:val="32"/>
          <w:lang w:eastAsia="zh-CN"/>
        </w:rPr>
        <w:t>资金</w:t>
      </w:r>
      <w:r>
        <w:rPr>
          <w:rFonts w:ascii="Times New Roman" w:eastAsia="仿宋_GB2312"/>
          <w:b w:val="0"/>
          <w:sz w:val="32"/>
          <w:szCs w:val="32"/>
        </w:rPr>
        <w:t>；资源勘探信息等（类）支出10,942.41万元，占76.5%，主要用于完成</w:t>
      </w:r>
      <w:r>
        <w:rPr>
          <w:rFonts w:hint="eastAsia" w:ascii="Times New Roman" w:eastAsia="仿宋_GB2312"/>
          <w:b w:val="0"/>
          <w:sz w:val="32"/>
          <w:szCs w:val="32"/>
          <w:lang w:eastAsia="zh-CN"/>
        </w:rPr>
        <w:t>石家庄市工业和信息化局</w:t>
      </w:r>
      <w:r>
        <w:rPr>
          <w:rFonts w:ascii="Times New Roman" w:eastAsia="仿宋_GB2312"/>
          <w:b w:val="0"/>
          <w:sz w:val="32"/>
          <w:szCs w:val="32"/>
        </w:rPr>
        <w:t>工作</w:t>
      </w:r>
      <w:r>
        <w:rPr>
          <w:rFonts w:hint="eastAsia" w:ascii="Times New Roman" w:eastAsia="仿宋_GB2312"/>
          <w:b w:val="0"/>
          <w:sz w:val="32"/>
          <w:szCs w:val="32"/>
          <w:lang w:eastAsia="zh-CN"/>
        </w:rPr>
        <w:t>相关的</w:t>
      </w:r>
      <w:r>
        <w:rPr>
          <w:rFonts w:ascii="Times New Roman" w:eastAsia="仿宋_GB2312"/>
          <w:b w:val="0"/>
          <w:sz w:val="32"/>
          <w:szCs w:val="32"/>
        </w:rPr>
        <w:t>项目等支出；住房保障（类）支出197.76万元，占1.4%，主要用于缴纳住房公积金等支出</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hint="eastAsia" w:ascii="Times New Roman" w:eastAsia="仿宋_GB2312"/>
          <w:b/>
          <w:sz w:val="32"/>
          <w:szCs w:val="32"/>
          <w:lang w:eastAsia="zh-CN"/>
        </w:rPr>
      </w:pPr>
      <w:r>
        <w:rPr>
          <w:rFonts w:hint="eastAsia" w:ascii="Times New Roman" w:eastAsia="仿宋_GB2312"/>
          <w:b/>
          <w:sz w:val="32"/>
          <w:szCs w:val="32"/>
          <w:lang w:eastAsia="zh-CN"/>
        </w:rPr>
        <w:t>本单位无</w:t>
      </w:r>
      <w:r>
        <w:rPr>
          <w:rFonts w:ascii="Times New Roman" w:eastAsia="仿宋_GB2312"/>
          <w:b/>
          <w:sz w:val="32"/>
          <w:szCs w:val="32"/>
        </w:rPr>
        <w:t>政府性基金预算财政拨款支出</w:t>
      </w:r>
      <w:r>
        <w:rPr>
          <w:rFonts w:hint="eastAsia" w:ascii="Times New Roman" w:eastAsia="仿宋_GB2312"/>
          <w:b/>
          <w:sz w:val="32"/>
          <w:szCs w:val="32"/>
          <w:lang w:eastAsia="zh-CN"/>
        </w:rPr>
        <w:t>。</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hint="eastAsia" w:ascii="Times New Roman" w:eastAsia="仿宋_GB2312"/>
          <w:b/>
          <w:sz w:val="32"/>
          <w:szCs w:val="32"/>
          <w:lang w:eastAsia="zh-CN"/>
        </w:rPr>
      </w:pPr>
      <w:r>
        <w:rPr>
          <w:rFonts w:hint="eastAsia" w:ascii="Times New Roman" w:eastAsia="仿宋_GB2312"/>
          <w:b/>
          <w:sz w:val="32"/>
          <w:szCs w:val="32"/>
          <w:lang w:eastAsia="zh-CN"/>
        </w:rPr>
        <w:t>本单位无</w:t>
      </w:r>
      <w:r>
        <w:rPr>
          <w:rFonts w:ascii="Times New Roman" w:eastAsia="仿宋_GB2312"/>
          <w:b/>
          <w:sz w:val="32"/>
          <w:szCs w:val="32"/>
        </w:rPr>
        <w:t>国有资本经营预算财政拨款支出</w:t>
      </w:r>
      <w:r>
        <w:rPr>
          <w:rFonts w:hint="eastAsia" w:ascii="Times New Roman" w:eastAsia="仿宋_GB2312"/>
          <w:b/>
          <w:sz w:val="32"/>
          <w:szCs w:val="32"/>
          <w:lang w:eastAsia="zh-CN"/>
        </w:rPr>
        <w:t>。</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（四）一般公共预算财政拨款基本支出决算情况说明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2025年度财政拨款基本支出4,935.86万元，其中：</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人员经费4,636.73万元，主要包括基本工资、津贴补贴、奖金、绩效工资、机关事业</w:t>
      </w:r>
      <w:r>
        <w:rPr>
          <w:rFonts w:hint="eastAsia" w:ascii="Times New Roman" w:eastAsia="仿宋_GB2312"/>
          <w:b w:val="0"/>
          <w:sz w:val="32"/>
          <w:szCs w:val="32"/>
          <w:lang w:eastAsia="zh-CN"/>
        </w:rPr>
        <w:t>单位</w:t>
      </w:r>
      <w:r>
        <w:rPr>
          <w:rFonts w:hint="eastAsia" w:ascii="Times New Roman" w:eastAsia="仿宋_GB2312"/>
          <w:b w:val="0"/>
          <w:sz w:val="32"/>
          <w:szCs w:val="32"/>
        </w:rPr>
        <w:t>基本养老保险缴费、职业年金缴费、职工基本医疗保险缴费、公务员医疗补助缴费、住房公积金、离休费、退休费、抚恤金、其他对个人和家庭的补助支出</w:t>
      </w:r>
      <w:r>
        <w:rPr>
          <w:rFonts w:hint="eastAsia" w:ascii="Times New Roman" w:eastAsia="仿宋_GB2312"/>
          <w:b w:val="0"/>
          <w:sz w:val="32"/>
          <w:szCs w:val="32"/>
          <w:lang w:eastAsia="zh-CN"/>
        </w:rPr>
        <w:t>等</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仿宋_GB2312"/>
          <w:sz w:val="32"/>
          <w:szCs w:val="32"/>
        </w:rPr>
      </w:pPr>
      <w:r>
        <w:rPr>
          <w:rFonts w:hint="eastAsia" w:ascii="Times New Roman" w:eastAsia="仿宋_GB2312"/>
          <w:b w:val="0"/>
          <w:sz w:val="32"/>
          <w:szCs w:val="32"/>
        </w:rPr>
        <w:t>公用经费299.13万元，主要包括办公费、印刷费、邮电费、差旅费、因公出国（境）费用、维修（护）费、会议费、培训费、公务接待费、委托业务费、工会经费、公务用车运行维护费</w:t>
      </w:r>
      <w:r>
        <w:rPr>
          <w:rFonts w:hint="eastAsia" w:ascii="Times New Roman" w:eastAsia="仿宋_GB2312"/>
          <w:b w:val="0"/>
          <w:sz w:val="32"/>
          <w:szCs w:val="32"/>
          <w:lang w:eastAsia="zh-CN"/>
        </w:rPr>
        <w:t>等</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五、财政拨款</w:t>
      </w:r>
      <w:r>
        <w:rPr>
          <w:rFonts w:hint="eastAsia" w:ascii="Times New Roman" w:eastAsia="黑体"/>
          <w:b w:val="0"/>
          <w:sz w:val="32"/>
          <w:szCs w:val="32"/>
          <w:lang w:eastAsia="zh-CN"/>
        </w:rPr>
        <w:t>“</w:t>
      </w:r>
      <w:r>
        <w:rPr>
          <w:rFonts w:ascii="Times New Roman" w:eastAsia="黑体"/>
          <w:b w:val="0"/>
          <w:sz w:val="32"/>
          <w:szCs w:val="32"/>
        </w:rPr>
        <w:t>三公</w:t>
      </w:r>
      <w:r>
        <w:rPr>
          <w:rFonts w:hint="eastAsia" w:ascii="Times New Roman" w:eastAsia="黑体"/>
          <w:b w:val="0"/>
          <w:sz w:val="32"/>
          <w:szCs w:val="32"/>
          <w:lang w:eastAsia="zh-CN"/>
        </w:rPr>
        <w:t>”</w:t>
      </w:r>
      <w:r>
        <w:rPr>
          <w:rFonts w:ascii="Times New Roman" w:eastAsia="黑体"/>
          <w:b w:val="0"/>
          <w:sz w:val="32"/>
          <w:szCs w:val="32"/>
        </w:rPr>
        <w:t>经费支出决算情况说明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（一）</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经费财政拨款支出决算总体情况说明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2025年度“三公”经费财政拨款支出预算为17.91万元，支出决算为9.79万元，完成预算的54.7%，较预算减少8.12万元，降低45.3%，主要原因是厉行节约，公务用车维护费和公务接待费支出减少；较2024年度决算减少5.12万元，降低34.3%，主要原因是2025年度未发生因公出国（境）支出。</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楷体_GB2312"/>
          <w:sz w:val="32"/>
          <w:szCs w:val="32"/>
        </w:rPr>
      </w:pPr>
      <w:r>
        <w:rPr>
          <w:rFonts w:ascii="Times New Roman" w:eastAsia="楷体_GB2312"/>
          <w:b/>
          <w:sz w:val="32"/>
          <w:szCs w:val="32"/>
        </w:rPr>
        <w:t>（二）</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经费财政拨款支出决算具体情况说明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2025年度因公出国（境）费支出预算为</w:t>
      </w:r>
      <w:r>
        <w:rPr>
          <w:rFonts w:hint="eastAsia" w:ascii="Times New Roman" w:eastAsia="仿宋_GB2312"/>
          <w:b w:val="0"/>
          <w:sz w:val="32"/>
          <w:szCs w:val="32"/>
          <w:lang w:eastAsia="zh-CN"/>
        </w:rPr>
        <w:t>0</w:t>
      </w:r>
      <w:r>
        <w:rPr>
          <w:rFonts w:ascii="Times New Roman" w:eastAsia="仿宋_GB2312"/>
          <w:b w:val="0"/>
          <w:sz w:val="32"/>
          <w:szCs w:val="32"/>
        </w:rPr>
        <w:t>万元,支出决算</w:t>
      </w:r>
      <w:r>
        <w:rPr>
          <w:rFonts w:hint="eastAsia" w:ascii="Times New Roman" w:eastAsia="仿宋_GB2312"/>
          <w:b w:val="0"/>
          <w:sz w:val="32"/>
          <w:szCs w:val="32"/>
          <w:lang w:eastAsia="zh-CN"/>
        </w:rPr>
        <w:t>0</w:t>
      </w:r>
      <w:r>
        <w:rPr>
          <w:rFonts w:ascii="Times New Roman" w:eastAsia="仿宋_GB2312"/>
          <w:b w:val="0"/>
          <w:sz w:val="32"/>
          <w:szCs w:val="32"/>
        </w:rPr>
        <w:t>万元</w:t>
      </w:r>
      <w:r>
        <w:rPr>
          <w:rFonts w:hint="eastAsia" w:ascii="Times New Roman" w:eastAsia="仿宋_GB2312"/>
          <w:b w:val="0"/>
          <w:sz w:val="32"/>
          <w:szCs w:val="32"/>
          <w:lang w:eastAsia="zh-CN"/>
        </w:rPr>
        <w:t>。</w:t>
      </w:r>
      <w:r>
        <w:rPr>
          <w:rFonts w:ascii="Times New Roman" w:eastAsia="仿宋_GB2312"/>
          <w:b w:val="0"/>
          <w:sz w:val="32"/>
          <w:szCs w:val="32"/>
        </w:rPr>
        <w:t>因公出国（境）费支出较预算增加</w:t>
      </w:r>
      <w:r>
        <w:rPr>
          <w:rFonts w:hint="eastAsia" w:ascii="Times New Roman" w:eastAsia="仿宋_GB2312"/>
          <w:b w:val="0"/>
          <w:sz w:val="32"/>
          <w:szCs w:val="32"/>
          <w:lang w:eastAsia="zh-CN"/>
        </w:rPr>
        <w:t>0</w:t>
      </w:r>
      <w:r>
        <w:rPr>
          <w:rFonts w:ascii="Times New Roman" w:eastAsia="仿宋_GB2312"/>
          <w:b w:val="0"/>
          <w:sz w:val="32"/>
          <w:szCs w:val="32"/>
        </w:rPr>
        <w:t>万元，与预算持平；较上年减少5.98万元，降低10</w:t>
      </w:r>
      <w:r>
        <w:rPr>
          <w:rFonts w:hint="eastAsia" w:ascii="Times New Roman" w:eastAsia="仿宋_GB2312"/>
          <w:b w:val="0"/>
          <w:sz w:val="32"/>
          <w:szCs w:val="32"/>
          <w:lang w:eastAsia="zh-CN"/>
        </w:rPr>
        <w:t>0%</w:t>
      </w:r>
      <w:r>
        <w:rPr>
          <w:rFonts w:ascii="Times New Roman" w:eastAsia="仿宋_GB2312"/>
          <w:b w:val="0"/>
          <w:sz w:val="32"/>
          <w:szCs w:val="32"/>
        </w:rPr>
        <w:t>,主要原因是2025年度未发生因公出国（境）支出</w:t>
      </w:r>
      <w:r>
        <w:rPr>
          <w:rFonts w:hint="eastAsia" w:ascii="Times New Roman" w:eastAsia="仿宋_GB2312"/>
          <w:b w:val="0"/>
          <w:sz w:val="32"/>
          <w:szCs w:val="32"/>
          <w:lang w:eastAsia="zh-CN"/>
        </w:rPr>
        <w:t>，</w:t>
      </w:r>
      <w:r>
        <w:rPr>
          <w:rFonts w:ascii="Times New Roman" w:eastAsia="仿宋_GB2312"/>
          <w:b w:val="0"/>
          <w:sz w:val="32"/>
          <w:szCs w:val="32"/>
        </w:rPr>
        <w:t>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2025年度公务用车购置及运行维护费预算为15.52万元，支出决算9.6万元，完成预算的61.9%,较预算减少5.92万元，降低38.1%,主要原因是</w:t>
      </w:r>
      <w:r>
        <w:rPr>
          <w:rFonts w:hint="eastAsia" w:ascii="Times New Roman" w:eastAsia="仿宋_GB2312"/>
          <w:b w:val="0"/>
          <w:sz w:val="32"/>
          <w:szCs w:val="32"/>
        </w:rPr>
        <w:t>厉行节约，强化公务用车统筹调度</w:t>
      </w:r>
      <w:r>
        <w:rPr>
          <w:rFonts w:ascii="Times New Roman" w:eastAsia="仿宋_GB2312"/>
          <w:b w:val="0"/>
          <w:sz w:val="32"/>
          <w:szCs w:val="32"/>
        </w:rPr>
        <w:t>；</w:t>
      </w:r>
      <w:r>
        <w:rPr>
          <w:rFonts w:hint="eastAsia" w:ascii="Times New Roman" w:eastAsia="仿宋_GB2312"/>
          <w:b w:val="0"/>
          <w:sz w:val="32"/>
          <w:szCs w:val="32"/>
          <w:lang w:eastAsia="zh-CN"/>
        </w:rPr>
        <w:t>公务用车运行维护费</w:t>
      </w:r>
      <w:r>
        <w:rPr>
          <w:rFonts w:ascii="Times New Roman" w:eastAsia="仿宋_GB2312"/>
          <w:b w:val="0"/>
          <w:sz w:val="32"/>
          <w:szCs w:val="32"/>
        </w:rPr>
        <w:t>较上年增加1.08万元，增长12.5%,主要原因是</w:t>
      </w:r>
      <w:r>
        <w:rPr>
          <w:rFonts w:hint="eastAsia" w:ascii="Times New Roman" w:eastAsia="仿宋_GB2312"/>
          <w:b w:val="0"/>
          <w:sz w:val="32"/>
          <w:szCs w:val="32"/>
          <w:lang w:val="en-US" w:eastAsia="zh-CN"/>
        </w:rPr>
        <w:t>2025年度</w:t>
      </w:r>
      <w:r>
        <w:rPr>
          <w:rFonts w:ascii="Times New Roman" w:eastAsia="仿宋_GB2312"/>
          <w:b w:val="0"/>
          <w:sz w:val="32"/>
          <w:szCs w:val="32"/>
        </w:rPr>
        <w:t>按照公务用车车况增加了</w:t>
      </w:r>
      <w:r>
        <w:rPr>
          <w:rFonts w:hint="eastAsia" w:ascii="Times New Roman" w:eastAsia="仿宋_GB2312"/>
          <w:b w:val="0"/>
          <w:sz w:val="32"/>
          <w:szCs w:val="32"/>
          <w:lang w:eastAsia="zh-CN"/>
        </w:rPr>
        <w:t>保养</w:t>
      </w:r>
      <w:r>
        <w:rPr>
          <w:rFonts w:ascii="Times New Roman" w:eastAsia="仿宋_GB2312"/>
          <w:b w:val="0"/>
          <w:sz w:val="32"/>
          <w:szCs w:val="32"/>
        </w:rPr>
        <w:t>维修费用。其中：</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仿宋_GB2312"/>
          <w:b/>
          <w:sz w:val="32"/>
          <w:szCs w:val="32"/>
        </w:rPr>
        <w:t>公务用车购置费支出</w:t>
      </w:r>
      <w:r>
        <w:rPr>
          <w:rFonts w:hint="eastAsia" w:ascii="Times New Roman" w:eastAsia="仿宋_GB2312"/>
          <w:b/>
          <w:sz w:val="32"/>
          <w:szCs w:val="32"/>
          <w:lang w:eastAsia="zh-CN"/>
        </w:rPr>
        <w:t>0</w:t>
      </w:r>
      <w:r>
        <w:rPr>
          <w:rFonts w:ascii="Times New Roman" w:eastAsia="仿宋_GB2312"/>
          <w:b/>
          <w:sz w:val="32"/>
          <w:szCs w:val="32"/>
        </w:rPr>
        <w:t>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2025年度公务用车购置量0辆，发生</w:t>
      </w:r>
      <w:r>
        <w:rPr>
          <w:rFonts w:hint="eastAsia" w:ascii="Times New Roman" w:eastAsia="仿宋_GB2312"/>
          <w:b w:val="0"/>
          <w:sz w:val="32"/>
          <w:szCs w:val="32"/>
          <w:lang w:eastAsia="zh-CN"/>
        </w:rPr>
        <w:t>“</w:t>
      </w:r>
      <w:r>
        <w:rPr>
          <w:rFonts w:ascii="Times New Roman" w:eastAsia="仿宋_GB2312"/>
          <w:b w:val="0"/>
          <w:sz w:val="32"/>
          <w:szCs w:val="32"/>
        </w:rPr>
        <w:t>公务用车购置</w:t>
      </w:r>
      <w:r>
        <w:rPr>
          <w:rFonts w:hint="eastAsia" w:ascii="Times New Roman" w:eastAsia="仿宋_GB2312"/>
          <w:b w:val="0"/>
          <w:sz w:val="32"/>
          <w:szCs w:val="32"/>
          <w:lang w:eastAsia="zh-CN"/>
        </w:rPr>
        <w:t>”</w:t>
      </w:r>
      <w:r>
        <w:rPr>
          <w:rFonts w:ascii="Times New Roman" w:eastAsia="仿宋_GB2312"/>
          <w:b w:val="0"/>
          <w:sz w:val="32"/>
          <w:szCs w:val="32"/>
        </w:rPr>
        <w:t>经费支出</w:t>
      </w:r>
      <w:r>
        <w:rPr>
          <w:rFonts w:hint="eastAsia" w:ascii="Times New Roman" w:eastAsia="仿宋_GB2312"/>
          <w:b w:val="0"/>
          <w:sz w:val="32"/>
          <w:szCs w:val="32"/>
          <w:lang w:eastAsia="zh-CN"/>
        </w:rPr>
        <w:t>0</w:t>
      </w:r>
      <w:r>
        <w:rPr>
          <w:rFonts w:ascii="Times New Roman" w:eastAsia="仿宋_GB2312"/>
          <w:b w:val="0"/>
          <w:sz w:val="32"/>
          <w:szCs w:val="32"/>
        </w:rPr>
        <w:t>万元。公务用车购置费支出较预算增加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万元，主要原因是未发生</w:t>
      </w:r>
      <w:r>
        <w:rPr>
          <w:rFonts w:hint="eastAsia" w:ascii="Times New Roman" w:eastAsia="仿宋_GB2312"/>
          <w:b w:val="0"/>
          <w:sz w:val="32"/>
          <w:szCs w:val="32"/>
          <w:lang w:eastAsia="zh-CN"/>
        </w:rPr>
        <w:t>“</w:t>
      </w:r>
      <w:r>
        <w:rPr>
          <w:rFonts w:ascii="Times New Roman" w:eastAsia="仿宋_GB2312"/>
          <w:b w:val="0"/>
          <w:sz w:val="32"/>
          <w:szCs w:val="32"/>
        </w:rPr>
        <w:t>公务用车购置</w:t>
      </w:r>
      <w:r>
        <w:rPr>
          <w:rFonts w:hint="eastAsia" w:ascii="Times New Roman" w:eastAsia="仿宋_GB2312"/>
          <w:b w:val="0"/>
          <w:sz w:val="32"/>
          <w:szCs w:val="32"/>
          <w:lang w:eastAsia="zh-CN"/>
        </w:rPr>
        <w:t>”</w:t>
      </w:r>
      <w:r>
        <w:rPr>
          <w:rFonts w:ascii="Times New Roman" w:eastAsia="仿宋_GB2312"/>
          <w:b w:val="0"/>
          <w:sz w:val="32"/>
          <w:szCs w:val="32"/>
        </w:rPr>
        <w:t>经费支出；较上年增加</w:t>
      </w:r>
      <w:r>
        <w:rPr>
          <w:rFonts w:hint="eastAsia" w:ascii="Times New Roman" w:eastAsia="仿宋_GB2312"/>
          <w:b w:val="0"/>
          <w:sz w:val="32"/>
          <w:szCs w:val="32"/>
          <w:lang w:eastAsia="zh-CN"/>
        </w:rPr>
        <w:t>0</w:t>
      </w:r>
      <w:r>
        <w:rPr>
          <w:rFonts w:ascii="Times New Roman" w:eastAsia="仿宋_GB2312"/>
          <w:b w:val="0"/>
          <w:sz w:val="32"/>
          <w:szCs w:val="32"/>
        </w:rPr>
        <w:t>万元，主要原因是未发生</w:t>
      </w:r>
      <w:r>
        <w:rPr>
          <w:rFonts w:hint="eastAsia" w:ascii="Times New Roman" w:eastAsia="仿宋_GB2312"/>
          <w:b w:val="0"/>
          <w:sz w:val="32"/>
          <w:szCs w:val="32"/>
          <w:lang w:eastAsia="zh-CN"/>
        </w:rPr>
        <w:t>“</w:t>
      </w:r>
      <w:r>
        <w:rPr>
          <w:rFonts w:ascii="Times New Roman" w:eastAsia="仿宋_GB2312"/>
          <w:b w:val="0"/>
          <w:sz w:val="32"/>
          <w:szCs w:val="32"/>
        </w:rPr>
        <w:t>公务用车购置</w:t>
      </w:r>
      <w:r>
        <w:rPr>
          <w:rFonts w:hint="eastAsia" w:ascii="Times New Roman" w:eastAsia="仿宋_GB2312"/>
          <w:b w:val="0"/>
          <w:sz w:val="32"/>
          <w:szCs w:val="32"/>
          <w:lang w:eastAsia="zh-CN"/>
        </w:rPr>
        <w:t>”</w:t>
      </w:r>
      <w:r>
        <w:rPr>
          <w:rFonts w:ascii="Times New Roman" w:eastAsia="仿宋_GB2312"/>
          <w:b w:val="0"/>
          <w:sz w:val="32"/>
          <w:szCs w:val="32"/>
        </w:rPr>
        <w:t>经费支出。</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仿宋_GB2312"/>
          <w:b/>
          <w:sz w:val="32"/>
          <w:szCs w:val="32"/>
        </w:rPr>
        <w:t>公务用车运行维护费支出9.6万元：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w:t>
      </w:r>
      <w:r>
        <w:rPr>
          <w:rFonts w:hint="eastAsia" w:ascii="Times New Roman" w:eastAsia="仿宋_GB2312"/>
          <w:b w:val="0"/>
          <w:sz w:val="32"/>
          <w:szCs w:val="32"/>
          <w:lang w:eastAsia="zh-CN"/>
        </w:rPr>
        <w:t>单位</w:t>
      </w:r>
      <w:r>
        <w:rPr>
          <w:rFonts w:ascii="Times New Roman" w:eastAsia="仿宋_GB2312"/>
          <w:b w:val="0"/>
          <w:sz w:val="32"/>
          <w:szCs w:val="32"/>
        </w:rPr>
        <w:t>公务用车保有量9辆，发生运行维护费支出9.6万元。公车运行维护费支出较预算减少5.92万元，降低38.1%</w:t>
      </w:r>
      <w:r>
        <w:rPr>
          <w:rFonts w:hint="eastAsia" w:ascii="Times New Roman" w:eastAsia="仿宋_GB2312"/>
          <w:b w:val="0"/>
          <w:sz w:val="32"/>
          <w:szCs w:val="32"/>
          <w:lang w:eastAsia="zh-CN"/>
        </w:rPr>
        <w:t>，</w:t>
      </w:r>
      <w:r>
        <w:rPr>
          <w:rFonts w:ascii="Times New Roman" w:eastAsia="仿宋_GB2312"/>
          <w:b w:val="0"/>
          <w:sz w:val="32"/>
          <w:szCs w:val="32"/>
        </w:rPr>
        <w:t>主要原因是厉行节约，</w:t>
      </w:r>
      <w:r>
        <w:rPr>
          <w:rFonts w:hint="eastAsia" w:ascii="Times New Roman" w:eastAsia="仿宋_GB2312"/>
          <w:b w:val="0"/>
          <w:sz w:val="32"/>
          <w:szCs w:val="32"/>
        </w:rPr>
        <w:t>强化公务用车统筹调度</w:t>
      </w:r>
      <w:r>
        <w:rPr>
          <w:rFonts w:ascii="Times New Roman" w:eastAsia="仿宋_GB2312"/>
          <w:b w:val="0"/>
          <w:sz w:val="32"/>
          <w:szCs w:val="32"/>
        </w:rPr>
        <w:t>；较上年增加1.08万元，增长12.5%，主要原因是</w:t>
      </w:r>
      <w:r>
        <w:rPr>
          <w:rFonts w:hint="eastAsia" w:ascii="Times New Roman" w:eastAsia="仿宋_GB2312"/>
          <w:b w:val="0"/>
          <w:sz w:val="32"/>
          <w:szCs w:val="32"/>
          <w:lang w:val="en-US" w:eastAsia="zh-CN"/>
        </w:rPr>
        <w:t>2025年度</w:t>
      </w:r>
      <w:r>
        <w:rPr>
          <w:rFonts w:ascii="Times New Roman" w:eastAsia="仿宋_GB2312"/>
          <w:b w:val="0"/>
          <w:sz w:val="32"/>
          <w:szCs w:val="32"/>
        </w:rPr>
        <w:t>按照公务用车车况增加了</w:t>
      </w:r>
      <w:r>
        <w:rPr>
          <w:rFonts w:hint="eastAsia" w:ascii="Times New Roman" w:eastAsia="仿宋_GB2312"/>
          <w:b w:val="0"/>
          <w:sz w:val="32"/>
          <w:szCs w:val="32"/>
          <w:lang w:eastAsia="zh-CN"/>
        </w:rPr>
        <w:t>保养</w:t>
      </w:r>
      <w:r>
        <w:rPr>
          <w:rFonts w:ascii="Times New Roman" w:eastAsia="仿宋_GB2312"/>
          <w:b w:val="0"/>
          <w:sz w:val="32"/>
          <w:szCs w:val="32"/>
        </w:rPr>
        <w:t>维修费用。</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2025年度公务接待费支出预算为2.39万元，支出决算0.19万元，完成预算的7.9%。公务接待费支出较预算减少2.2万元，降低92.1%,主要原因是认真执行公务接待有关规定，严把支出关</w:t>
      </w:r>
      <w:r>
        <w:rPr>
          <w:rFonts w:hint="eastAsia" w:ascii="Times New Roman" w:eastAsia="仿宋_GB2312"/>
          <w:b w:val="0"/>
          <w:sz w:val="32"/>
          <w:szCs w:val="32"/>
          <w:lang w:eastAsia="zh-CN"/>
        </w:rPr>
        <w:t>。</w:t>
      </w:r>
      <w:r>
        <w:rPr>
          <w:rFonts w:ascii="Times New Roman" w:eastAsia="仿宋_GB2312"/>
          <w:b w:val="0"/>
          <w:sz w:val="32"/>
          <w:szCs w:val="32"/>
        </w:rPr>
        <w:t>公务接待费支出较上年度减少0.21万元，</w:t>
      </w:r>
      <w:r>
        <w:rPr>
          <w:rFonts w:hint="eastAsia" w:ascii="Times New Roman" w:eastAsia="仿宋_GB2312"/>
          <w:b w:val="0"/>
          <w:sz w:val="32"/>
          <w:szCs w:val="32"/>
          <w:lang w:eastAsia="zh-CN"/>
        </w:rPr>
        <w:t>同比</w:t>
      </w:r>
      <w:r>
        <w:rPr>
          <w:rFonts w:ascii="Times New Roman" w:eastAsia="仿宋_GB2312"/>
          <w:b w:val="0"/>
          <w:sz w:val="32"/>
          <w:szCs w:val="32"/>
        </w:rPr>
        <w:t>降低52.5%</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rPr>
        <w:t>严控接待标准</w:t>
      </w:r>
      <w:r>
        <w:rPr>
          <w:rFonts w:ascii="Times New Roman" w:eastAsia="仿宋_GB2312"/>
          <w:b w:val="0"/>
          <w:sz w:val="32"/>
          <w:szCs w:val="32"/>
        </w:rPr>
        <w:t>。本年度共发生公务接待2批次、13人次。</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六、机关运行经费支出说明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2025年度机关运行经费支出299.13万元，较2024年度减少3.79万元，降低1.2%。主要原因是</w:t>
      </w:r>
      <w:r>
        <w:rPr>
          <w:rFonts w:hint="eastAsia" w:ascii="Times New Roman" w:eastAsia="仿宋_GB2312"/>
          <w:b w:val="0"/>
          <w:sz w:val="32"/>
          <w:szCs w:val="32"/>
        </w:rPr>
        <w:t>落实过紧日子要求，从严管控一般性运转支出，压减非刚性开支</w:t>
      </w:r>
      <w:r>
        <w:rPr>
          <w:rFonts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七、政府采购支出说明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2025年度政府采购支出总额954.60万元，从采购类型来看，政府采购货物支出</w:t>
      </w:r>
      <w:r>
        <w:rPr>
          <w:rFonts w:hint="eastAsia" w:ascii="Times New Roman" w:eastAsia="仿宋_GB2312"/>
          <w:b w:val="0"/>
          <w:sz w:val="32"/>
          <w:szCs w:val="32"/>
          <w:lang w:eastAsia="zh-CN"/>
        </w:rPr>
        <w:t>0</w:t>
      </w:r>
      <w:r>
        <w:rPr>
          <w:rFonts w:ascii="Times New Roman" w:eastAsia="仿宋_GB2312"/>
          <w:b w:val="0"/>
          <w:sz w:val="32"/>
          <w:szCs w:val="32"/>
        </w:rPr>
        <w:t>万元、政府采购工程支出</w:t>
      </w:r>
      <w:r>
        <w:rPr>
          <w:rFonts w:hint="eastAsia" w:ascii="Times New Roman" w:eastAsia="仿宋_GB2312"/>
          <w:b w:val="0"/>
          <w:sz w:val="32"/>
          <w:szCs w:val="32"/>
          <w:lang w:eastAsia="zh-CN"/>
        </w:rPr>
        <w:t>0</w:t>
      </w:r>
      <w:r>
        <w:rPr>
          <w:rFonts w:ascii="Times New Roman" w:eastAsia="仿宋_GB2312"/>
          <w:b w:val="0"/>
          <w:sz w:val="32"/>
          <w:szCs w:val="32"/>
        </w:rPr>
        <w:t>万元、政府采购服务支出954.60万元。授予中小企业合同金额507.60万元，占政府采购支出总额的53.2%，其中授予小微企业合同金额507.60万元，占政府采购支出总额的53.2%。</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八、国有资产占用情况说明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0" w:firstLineChars="200"/>
        <w:jc w:val="both"/>
        <w:textAlignment w:val="auto"/>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9辆，比上年增加0辆，主要是2025年度没有购置公务用车。其中，副部（省）级及以上领导用车0辆，主要负责人用车0辆，机要通信用车1辆，应急保障用车1辆，执法执勤用车0辆，特种专业技术用车0辆，离退休干部用车7辆，其他用车0辆。单位价值100万元（含）以上设备（不含车辆）</w:t>
      </w:r>
      <w:r>
        <w:rPr>
          <w:rFonts w:hint="eastAsia" w:ascii="Times New Roman" w:eastAsia="仿宋_GB2312"/>
          <w:b w:val="0"/>
          <w:sz w:val="32"/>
          <w:szCs w:val="32"/>
          <w:lang w:val="en-US" w:eastAsia="zh-CN"/>
        </w:rPr>
        <w:t>0</w:t>
      </w:r>
      <w:r>
        <w:rPr>
          <w:rFonts w:ascii="Times New Roman" w:eastAsia="仿宋_GB2312"/>
          <w:b w:val="0"/>
          <w:sz w:val="32"/>
          <w:szCs w:val="32"/>
        </w:rPr>
        <w:t>台（套）。</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ascii="Times New Roman" w:eastAsia="黑体"/>
          <w:b w:val="0"/>
          <w:sz w:val="32"/>
          <w:szCs w:val="32"/>
        </w:rPr>
      </w:pPr>
      <w:r>
        <w:rPr>
          <w:rFonts w:ascii="Times New Roman" w:eastAsia="黑体"/>
          <w:b w:val="0"/>
          <w:sz w:val="32"/>
          <w:szCs w:val="32"/>
        </w:rPr>
        <w:t>九、关于2025年度绩效评价情况的说明</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根据预算绩效管理要求，本</w:t>
      </w:r>
      <w:r>
        <w:rPr>
          <w:rFonts w:hint="eastAsia" w:ascii="Times New Roman" w:eastAsia="仿宋_GB2312"/>
          <w:b w:val="0"/>
          <w:sz w:val="32"/>
          <w:szCs w:val="32"/>
          <w:lang w:eastAsia="zh-CN"/>
        </w:rPr>
        <w:t>单位</w:t>
      </w:r>
      <w:r>
        <w:rPr>
          <w:rFonts w:hint="eastAsia" w:ascii="Times New Roman" w:eastAsia="仿宋_GB2312"/>
          <w:b w:val="0"/>
          <w:sz w:val="32"/>
          <w:szCs w:val="32"/>
        </w:rPr>
        <w:t>组织对2025年度预算项目支出全面开展绩效自评，共涉及资金</w:t>
      </w:r>
      <w:r>
        <w:rPr>
          <w:rFonts w:hint="eastAsia" w:ascii="Times New Roman" w:eastAsia="仿宋_GB2312"/>
          <w:b w:val="0"/>
          <w:sz w:val="32"/>
          <w:szCs w:val="32"/>
          <w:lang w:val="en-US" w:eastAsia="zh-CN"/>
        </w:rPr>
        <w:t>15559.37</w:t>
      </w:r>
      <w:r>
        <w:rPr>
          <w:rFonts w:hint="eastAsia" w:ascii="Times New Roman" w:eastAsia="仿宋_GB2312"/>
          <w:b w:val="0"/>
          <w:sz w:val="32"/>
          <w:szCs w:val="32"/>
        </w:rPr>
        <w:t>万元（包括对下转移项目）。其中，一般公共预算项目</w:t>
      </w:r>
      <w:r>
        <w:rPr>
          <w:rFonts w:hint="eastAsia" w:ascii="Times New Roman" w:eastAsia="仿宋_GB2312"/>
          <w:b w:val="0"/>
          <w:sz w:val="32"/>
          <w:szCs w:val="32"/>
          <w:lang w:val="en-US" w:eastAsia="zh-CN"/>
        </w:rPr>
        <w:t>31</w:t>
      </w:r>
      <w:r>
        <w:rPr>
          <w:rFonts w:hint="eastAsia" w:ascii="Times New Roman" w:eastAsia="仿宋_GB2312"/>
          <w:b w:val="0"/>
          <w:sz w:val="32"/>
          <w:szCs w:val="32"/>
        </w:rPr>
        <w:t>个，涉及资金</w:t>
      </w:r>
      <w:r>
        <w:rPr>
          <w:rFonts w:hint="eastAsia" w:ascii="Times New Roman" w:eastAsia="仿宋_GB2312"/>
          <w:b w:val="0"/>
          <w:sz w:val="32"/>
          <w:szCs w:val="32"/>
          <w:lang w:val="en-US" w:eastAsia="zh-CN"/>
        </w:rPr>
        <w:t>15559.37</w:t>
      </w:r>
      <w:r>
        <w:rPr>
          <w:rFonts w:hint="eastAsia"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hint="eastAsia" w:ascii="Times New Roman" w:eastAsia="仿宋_GB2312"/>
          <w:b w:val="0"/>
          <w:sz w:val="32"/>
          <w:szCs w:val="32"/>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组织对</w:t>
      </w:r>
      <w:r>
        <w:rPr>
          <w:rFonts w:hint="eastAsia" w:ascii="Times New Roman" w:eastAsia="仿宋_GB2312"/>
          <w:b w:val="0"/>
          <w:sz w:val="32"/>
          <w:szCs w:val="32"/>
          <w:lang w:val="en-US" w:eastAsia="zh-CN"/>
        </w:rPr>
        <w:t>1</w:t>
      </w:r>
      <w:r>
        <w:rPr>
          <w:rFonts w:hint="eastAsia" w:ascii="Times New Roman" w:eastAsia="仿宋_GB2312"/>
          <w:b w:val="0"/>
          <w:sz w:val="32"/>
          <w:szCs w:val="32"/>
        </w:rPr>
        <w:t>个项目开展了</w:t>
      </w:r>
      <w:r>
        <w:rPr>
          <w:rFonts w:hint="eastAsia" w:ascii="Times New Roman" w:eastAsia="仿宋_GB2312"/>
          <w:b w:val="0"/>
          <w:sz w:val="32"/>
          <w:szCs w:val="32"/>
          <w:lang w:eastAsia="zh-CN"/>
        </w:rPr>
        <w:t>单位</w:t>
      </w:r>
      <w:r>
        <w:rPr>
          <w:rFonts w:hint="eastAsia" w:ascii="Times New Roman" w:eastAsia="仿宋_GB2312"/>
          <w:b w:val="0"/>
          <w:sz w:val="32"/>
          <w:szCs w:val="32"/>
        </w:rPr>
        <w:t>重点评价，涉及一般公共预算支出1,063.57万元，政府性基金预算支出</w:t>
      </w:r>
      <w:r>
        <w:rPr>
          <w:rFonts w:hint="eastAsia" w:ascii="Times New Roman" w:eastAsia="仿宋_GB2312"/>
          <w:b w:val="0"/>
          <w:sz w:val="32"/>
          <w:szCs w:val="32"/>
          <w:lang w:val="en-US" w:eastAsia="zh-CN"/>
        </w:rPr>
        <w:t>0</w:t>
      </w:r>
      <w:r>
        <w:rPr>
          <w:rFonts w:hint="eastAsia"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hint="eastAsia" w:ascii="Times New Roman" w:eastAsia="仿宋_GB2312"/>
          <w:b w:val="0"/>
          <w:sz w:val="32"/>
          <w:szCs w:val="32"/>
        </w:rPr>
        <w:t>万元，从评价情况来看，自评得分100</w:t>
      </w:r>
      <w:r>
        <w:rPr>
          <w:rFonts w:hint="eastAsia" w:ascii="Times New Roman" w:eastAsia="仿宋_GB2312"/>
          <w:b w:val="0"/>
          <w:sz w:val="32"/>
          <w:szCs w:val="32"/>
          <w:lang w:eastAsia="zh-CN"/>
        </w:rPr>
        <w:t>分</w:t>
      </w:r>
      <w:r>
        <w:rPr>
          <w:rFonts w:hint="eastAsia" w:ascii="Times New Roman" w:eastAsia="仿宋_GB2312"/>
          <w:b w:val="0"/>
          <w:sz w:val="32"/>
          <w:szCs w:val="32"/>
        </w:rPr>
        <w:t>，完成目标任务。</w:t>
      </w:r>
    </w:p>
    <w:p>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firstLine="642"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（二）</w:t>
      </w:r>
      <w:r>
        <w:rPr>
          <w:rFonts w:hint="eastAsia" w:ascii="Times New Roman" w:eastAsia="仿宋_GB2312"/>
          <w:b/>
          <w:sz w:val="32"/>
          <w:szCs w:val="32"/>
          <w:highlight w:val="none"/>
          <w:lang w:eastAsia="zh-CN"/>
        </w:rPr>
        <w:t>单位</w:t>
      </w:r>
      <w:r>
        <w:rPr>
          <w:rFonts w:ascii="Times New Roman" w:eastAsia="仿宋_GB2312"/>
          <w:b/>
          <w:sz w:val="32"/>
          <w:szCs w:val="32"/>
          <w:highlight w:val="none"/>
        </w:rPr>
        <w:t>决算中项目绩效自评结果</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rPr>
        <w:t>本</w:t>
      </w:r>
      <w:r>
        <w:rPr>
          <w:rFonts w:hint="eastAsia" w:ascii="Times New Roman" w:eastAsia="仿宋_GB2312"/>
          <w:b w:val="0"/>
          <w:sz w:val="32"/>
          <w:szCs w:val="32"/>
          <w:lang w:eastAsia="zh-CN"/>
        </w:rPr>
        <w:t>单位</w:t>
      </w:r>
      <w:r>
        <w:rPr>
          <w:rFonts w:hint="eastAsia" w:ascii="Times New Roman" w:eastAsia="仿宋_GB2312"/>
          <w:b w:val="0"/>
          <w:sz w:val="32"/>
          <w:szCs w:val="32"/>
        </w:rPr>
        <w:t>在今年</w:t>
      </w:r>
      <w:r>
        <w:rPr>
          <w:rFonts w:hint="eastAsia" w:ascii="Times New Roman" w:eastAsia="仿宋_GB2312"/>
          <w:b w:val="0"/>
          <w:sz w:val="32"/>
          <w:szCs w:val="32"/>
          <w:lang w:eastAsia="zh-CN"/>
        </w:rPr>
        <w:t>单位</w:t>
      </w:r>
      <w:r>
        <w:rPr>
          <w:rFonts w:hint="eastAsia" w:ascii="Times New Roman" w:eastAsia="仿宋_GB2312"/>
          <w:b w:val="0"/>
          <w:sz w:val="32"/>
          <w:szCs w:val="32"/>
        </w:rPr>
        <w:t>决算公开中反映法律顾问经费</w:t>
      </w:r>
      <w:r>
        <w:rPr>
          <w:rFonts w:hint="eastAsia" w:ascii="Times New Roman" w:eastAsia="仿宋_GB2312"/>
          <w:b w:val="0"/>
          <w:sz w:val="32"/>
          <w:szCs w:val="32"/>
          <w:lang w:eastAsia="zh-CN"/>
        </w:rPr>
        <w:t>、</w:t>
      </w:r>
      <w:r>
        <w:rPr>
          <w:rFonts w:hint="eastAsia" w:ascii="Times New Roman" w:eastAsia="仿宋_GB2312"/>
          <w:b w:val="0"/>
          <w:sz w:val="32"/>
          <w:szCs w:val="32"/>
        </w:rPr>
        <w:t>制造业新型技术改造城市试点补助资金</w:t>
      </w:r>
      <w:r>
        <w:rPr>
          <w:rFonts w:hint="eastAsia" w:ascii="Times New Roman" w:eastAsia="仿宋_GB2312"/>
          <w:b w:val="0"/>
          <w:sz w:val="32"/>
          <w:szCs w:val="32"/>
          <w:lang w:eastAsia="zh-CN"/>
        </w:rPr>
        <w:t>、</w:t>
      </w:r>
      <w:r>
        <w:rPr>
          <w:rFonts w:hint="eastAsia" w:ascii="Times New Roman" w:eastAsia="仿宋_GB2312"/>
          <w:b w:val="0"/>
          <w:sz w:val="32"/>
          <w:szCs w:val="32"/>
        </w:rPr>
        <w:t>工业企业技术改造补助</w:t>
      </w:r>
      <w:r>
        <w:rPr>
          <w:rFonts w:hint="eastAsia" w:ascii="Times New Roman" w:eastAsia="仿宋_GB2312"/>
          <w:b w:val="0"/>
          <w:sz w:val="32"/>
          <w:szCs w:val="32"/>
          <w:lang w:eastAsia="zh-CN"/>
        </w:rPr>
        <w:t>、</w:t>
      </w:r>
      <w:r>
        <w:rPr>
          <w:rFonts w:hint="eastAsia" w:ascii="Times New Roman" w:eastAsia="仿宋_GB2312"/>
          <w:b w:val="0"/>
          <w:sz w:val="32"/>
          <w:szCs w:val="32"/>
        </w:rPr>
        <w:t>2024年制造企业质量管理能力评价复核费用补贴</w:t>
      </w:r>
      <w:r>
        <w:rPr>
          <w:rFonts w:hint="eastAsia" w:ascii="Times New Roman" w:eastAsia="仿宋_GB2312"/>
          <w:b w:val="0"/>
          <w:sz w:val="32"/>
          <w:szCs w:val="32"/>
          <w:lang w:eastAsia="zh-CN"/>
        </w:rPr>
        <w:t>、</w:t>
      </w:r>
      <w:r>
        <w:rPr>
          <w:rFonts w:hint="eastAsia" w:ascii="Times New Roman" w:eastAsia="仿宋_GB2312"/>
          <w:b w:val="0"/>
          <w:sz w:val="32"/>
          <w:szCs w:val="32"/>
        </w:rPr>
        <w:t>中小企业数字化转型试点市级配套资金</w:t>
      </w:r>
      <w:r>
        <w:rPr>
          <w:rFonts w:hint="eastAsia" w:ascii="Times New Roman" w:eastAsia="仿宋_GB2312"/>
          <w:b w:val="0"/>
          <w:sz w:val="32"/>
          <w:szCs w:val="32"/>
          <w:lang w:eastAsia="zh-CN"/>
        </w:rPr>
        <w:t>、</w:t>
      </w:r>
      <w:r>
        <w:rPr>
          <w:rFonts w:hint="eastAsia" w:ascii="Times New Roman" w:eastAsia="仿宋_GB2312"/>
          <w:b w:val="0"/>
          <w:sz w:val="32"/>
          <w:szCs w:val="32"/>
        </w:rPr>
        <w:t>基层统计监测人员业务能力提升</w:t>
      </w:r>
      <w:r>
        <w:rPr>
          <w:rFonts w:hint="eastAsia" w:ascii="Times New Roman" w:eastAsia="仿宋_GB2312"/>
          <w:b w:val="0"/>
          <w:sz w:val="32"/>
          <w:szCs w:val="32"/>
          <w:lang w:eastAsia="zh-CN"/>
        </w:rPr>
        <w:t>、</w:t>
      </w:r>
      <w:r>
        <w:rPr>
          <w:rFonts w:hint="eastAsia" w:ascii="Times New Roman" w:eastAsia="仿宋_GB2312"/>
          <w:b w:val="0"/>
          <w:sz w:val="32"/>
          <w:szCs w:val="32"/>
        </w:rPr>
        <w:t>中小企业运行监测</w:t>
      </w:r>
      <w:r>
        <w:rPr>
          <w:rFonts w:hint="eastAsia" w:ascii="Times New Roman" w:eastAsia="仿宋_GB2312"/>
          <w:b w:val="0"/>
          <w:sz w:val="32"/>
          <w:szCs w:val="32"/>
          <w:lang w:eastAsia="zh-CN"/>
        </w:rPr>
        <w:t>、</w:t>
      </w:r>
      <w:r>
        <w:rPr>
          <w:rFonts w:hint="eastAsia" w:ascii="Times New Roman" w:eastAsia="仿宋_GB2312"/>
          <w:b w:val="0"/>
          <w:sz w:val="32"/>
          <w:szCs w:val="32"/>
        </w:rPr>
        <w:t>职业经理人培训</w:t>
      </w:r>
      <w:r>
        <w:rPr>
          <w:rFonts w:hint="eastAsia" w:ascii="Times New Roman" w:eastAsia="仿宋_GB2312"/>
          <w:b w:val="0"/>
          <w:sz w:val="32"/>
          <w:szCs w:val="32"/>
          <w:lang w:eastAsia="zh-CN"/>
        </w:rPr>
        <w:t>、</w:t>
      </w:r>
      <w:r>
        <w:rPr>
          <w:rFonts w:hint="eastAsia" w:ascii="Times New Roman" w:eastAsia="仿宋_GB2312"/>
          <w:b w:val="0"/>
          <w:sz w:val="32"/>
          <w:szCs w:val="32"/>
        </w:rPr>
        <w:t>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公益服务活动</w:t>
      </w:r>
      <w:r>
        <w:rPr>
          <w:rFonts w:hint="eastAsia" w:ascii="Times New Roman" w:eastAsia="仿宋_GB2312"/>
          <w:b w:val="0"/>
          <w:sz w:val="32"/>
          <w:szCs w:val="32"/>
          <w:lang w:eastAsia="zh-CN"/>
        </w:rPr>
        <w:t>、</w:t>
      </w:r>
      <w:r>
        <w:rPr>
          <w:rFonts w:hint="eastAsia" w:ascii="Times New Roman" w:eastAsia="仿宋_GB2312"/>
          <w:b w:val="0"/>
          <w:sz w:val="32"/>
          <w:szCs w:val="32"/>
        </w:rPr>
        <w:t>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一起益企 集群前行等10个项目绩效自评结果。</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1.</w:t>
      </w:r>
      <w:r>
        <w:rPr>
          <w:rFonts w:hint="eastAsia" w:ascii="Times New Roman" w:eastAsia="仿宋_GB2312"/>
          <w:b w:val="0"/>
          <w:sz w:val="32"/>
          <w:szCs w:val="32"/>
        </w:rPr>
        <w:t>法律顾问经费项目绩效自评情况：根据年初设定的绩效目标，法律顾问经费项目绩效自评得分为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10</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2.</w:t>
      </w:r>
      <w:r>
        <w:rPr>
          <w:rFonts w:hint="eastAsia" w:ascii="Times New Roman" w:eastAsia="仿宋_GB2312"/>
          <w:b w:val="0"/>
          <w:sz w:val="32"/>
          <w:szCs w:val="32"/>
        </w:rPr>
        <w:t>业务咨询费</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根据年初设定的绩效目标，业务咨询费项目绩效自评得分为</w:t>
      </w:r>
      <w:r>
        <w:rPr>
          <w:rFonts w:hint="eastAsia" w:ascii="Times New Roman" w:eastAsia="仿宋_GB2312"/>
          <w:b w:val="0"/>
          <w:sz w:val="32"/>
          <w:szCs w:val="32"/>
          <w:lang w:val="en-US" w:eastAsia="zh-CN"/>
        </w:rPr>
        <w:t>99.52</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62.1</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59.1464</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95.25%</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3.</w:t>
      </w:r>
      <w:r>
        <w:rPr>
          <w:rFonts w:hint="eastAsia" w:ascii="Times New Roman" w:eastAsia="仿宋_GB2312"/>
          <w:b w:val="0"/>
          <w:sz w:val="32"/>
          <w:szCs w:val="32"/>
        </w:rPr>
        <w:t>支撑国家新兴工业化示范区创建工作经费</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根据年初设定的绩效目标，支撑国家新兴工业化示范区创建工作经费项目绩效自评得分为</w:t>
      </w:r>
      <w:r>
        <w:rPr>
          <w:rFonts w:hint="eastAsia" w:ascii="Times New Roman" w:eastAsia="仿宋_GB2312"/>
          <w:b w:val="0"/>
          <w:sz w:val="32"/>
          <w:szCs w:val="32"/>
          <w:lang w:val="en-US" w:eastAsia="zh-CN"/>
        </w:rPr>
        <w:t>97</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39</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38.8</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99.49</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4.</w:t>
      </w:r>
      <w:r>
        <w:rPr>
          <w:rFonts w:hint="eastAsia" w:ascii="Times New Roman" w:eastAsia="仿宋_GB2312"/>
          <w:b w:val="0"/>
          <w:sz w:val="32"/>
          <w:szCs w:val="32"/>
        </w:rPr>
        <w:t>2024年制造企业质量管理能力评价复核费用补贴</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根据年初设定的绩效目标，2024年制造企业质量管理能力评价复核费用补贴项目绩效自评得分为</w:t>
      </w:r>
      <w:r>
        <w:rPr>
          <w:rFonts w:hint="eastAsia" w:ascii="Times New Roman" w:eastAsia="仿宋_GB2312"/>
          <w:b w:val="0"/>
          <w:sz w:val="32"/>
          <w:szCs w:val="32"/>
          <w:lang w:val="en-US" w:eastAsia="zh-CN"/>
        </w:rPr>
        <w:t>98</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25.2</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25.2</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5.</w:t>
      </w:r>
      <w:r>
        <w:rPr>
          <w:rFonts w:hint="eastAsia" w:ascii="Times New Roman" w:eastAsia="仿宋_GB2312"/>
          <w:b w:val="0"/>
          <w:sz w:val="32"/>
          <w:szCs w:val="32"/>
        </w:rPr>
        <w:t>中小企业数字化转型试点市级配套资金</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根据年初设定的绩效目标，中小企业数字化转型试点市级配套资金项目绩效自评得分为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1346.2</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1346.2</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6.</w:t>
      </w:r>
      <w:r>
        <w:rPr>
          <w:rFonts w:hint="eastAsia" w:ascii="Times New Roman" w:eastAsia="仿宋_GB2312"/>
          <w:b w:val="0"/>
          <w:sz w:val="32"/>
          <w:szCs w:val="32"/>
        </w:rPr>
        <w:t>基层统计监测人员业务能力提升</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根据年初设定的绩效目标，基层统计监测人员业务能力提升项目绩效自评得分为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8</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8</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7.</w:t>
      </w:r>
      <w:r>
        <w:rPr>
          <w:rFonts w:hint="eastAsia" w:ascii="Times New Roman" w:eastAsia="仿宋_GB2312"/>
          <w:b w:val="0"/>
          <w:sz w:val="32"/>
          <w:szCs w:val="32"/>
        </w:rPr>
        <w:t>中小企业运行监测</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根据年初设定的绩效目标，中小企业运行监测项目绩效自评得分为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12</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8.</w:t>
      </w:r>
      <w:r>
        <w:rPr>
          <w:rFonts w:hint="eastAsia" w:ascii="Times New Roman" w:eastAsia="仿宋_GB2312"/>
          <w:b w:val="0"/>
          <w:sz w:val="32"/>
          <w:szCs w:val="32"/>
        </w:rPr>
        <w:t>职业经理人培训</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根据年初设定的绩效目标，职业经理人培训项目绩效自评得分为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13</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13</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eastAsia="仿宋_GB2312"/>
          <w:b w:val="0"/>
          <w:sz w:val="32"/>
          <w:szCs w:val="32"/>
        </w:rPr>
      </w:pPr>
      <w:r>
        <w:rPr>
          <w:rFonts w:hint="eastAsia" w:ascii="Times New Roman" w:eastAsia="仿宋_GB2312"/>
          <w:b w:val="0"/>
          <w:sz w:val="32"/>
          <w:szCs w:val="32"/>
          <w:lang w:val="en-US" w:eastAsia="zh-CN"/>
        </w:rPr>
        <w:t>9.</w:t>
      </w:r>
      <w:r>
        <w:rPr>
          <w:rFonts w:hint="eastAsia" w:ascii="Times New Roman" w:eastAsia="仿宋_GB2312"/>
          <w:b w:val="0"/>
          <w:sz w:val="32"/>
          <w:szCs w:val="32"/>
        </w:rPr>
        <w:t>公益服务活动</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公益服务活动项目绩效自评得分为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24</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24</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10.</w:t>
      </w:r>
      <w:r>
        <w:rPr>
          <w:rFonts w:hint="eastAsia" w:ascii="Times New Roman" w:eastAsia="仿宋_GB2312"/>
          <w:b w:val="0"/>
          <w:sz w:val="32"/>
          <w:szCs w:val="32"/>
        </w:rPr>
        <w:t>2025年省级中小企业发展专项资金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一起益企 集群前行</w:t>
      </w:r>
      <w:r>
        <w:rPr>
          <w:rFonts w:hint="eastAsia" w:ascii="Times New Roman" w:eastAsia="仿宋_GB2312"/>
          <w:b w:val="0"/>
          <w:sz w:val="32"/>
          <w:szCs w:val="32"/>
          <w:lang w:val="en-US" w:eastAsia="zh-CN"/>
        </w:rPr>
        <w:t>项目绩效自评情况：</w:t>
      </w:r>
      <w:r>
        <w:rPr>
          <w:rFonts w:hint="eastAsia" w:ascii="Times New Roman" w:eastAsia="仿宋_GB2312"/>
          <w:b w:val="0"/>
          <w:sz w:val="32"/>
          <w:szCs w:val="32"/>
        </w:rPr>
        <w:t>根据年初设定的绩效目标，</w:t>
      </w:r>
      <w:r>
        <w:rPr>
          <w:rFonts w:hint="eastAsia" w:ascii="Times New Roman" w:eastAsia="仿宋_GB2312"/>
          <w:b w:val="0"/>
          <w:sz w:val="32"/>
          <w:szCs w:val="32"/>
          <w:lang w:val="en-US" w:eastAsia="zh-CN"/>
        </w:rPr>
        <w:t>2</w:t>
      </w:r>
      <w:r>
        <w:rPr>
          <w:rFonts w:hint="eastAsia" w:ascii="Times New Roman" w:eastAsia="仿宋_GB2312"/>
          <w:b w:val="0"/>
          <w:sz w:val="32"/>
          <w:szCs w:val="32"/>
        </w:rPr>
        <w:t>025年省级中小企业发展专项资金</w:t>
      </w:r>
      <w:r>
        <w:rPr>
          <w:rFonts w:hint="eastAsia" w:ascii="Times New Roman" w:eastAsia="仿宋_GB2312"/>
          <w:b w:val="0"/>
          <w:sz w:val="32"/>
          <w:szCs w:val="32"/>
          <w:lang w:eastAsia="zh-CN"/>
        </w:rPr>
        <w:t>——</w:t>
      </w:r>
      <w:r>
        <w:rPr>
          <w:rFonts w:hint="eastAsia" w:ascii="Times New Roman" w:eastAsia="仿宋_GB2312"/>
          <w:b w:val="0"/>
          <w:sz w:val="32"/>
          <w:szCs w:val="32"/>
        </w:rPr>
        <w:t>一起益企 集群前行项目绩效自评得分为</w:t>
      </w:r>
      <w:r>
        <w:rPr>
          <w:rFonts w:hint="eastAsia" w:ascii="Times New Roman" w:eastAsia="仿宋_GB2312"/>
          <w:b w:val="0"/>
          <w:sz w:val="32"/>
          <w:szCs w:val="32"/>
          <w:lang w:val="en-US" w:eastAsia="zh-CN"/>
        </w:rPr>
        <w:t>100</w:t>
      </w:r>
      <w:r>
        <w:rPr>
          <w:rFonts w:hint="eastAsia" w:ascii="Times New Roman" w:eastAsia="仿宋_GB2312"/>
          <w:b w:val="0"/>
          <w:sz w:val="32"/>
          <w:szCs w:val="32"/>
        </w:rPr>
        <w:t>分（绩效自评表附后）。全年预算数为</w:t>
      </w:r>
      <w:r>
        <w:rPr>
          <w:rFonts w:hint="eastAsia" w:ascii="Times New Roman" w:eastAsia="仿宋_GB2312"/>
          <w:b w:val="0"/>
          <w:sz w:val="32"/>
          <w:szCs w:val="32"/>
          <w:lang w:val="en-US" w:eastAsia="zh-CN"/>
        </w:rPr>
        <w:t>90</w:t>
      </w:r>
      <w:r>
        <w:rPr>
          <w:rFonts w:hint="eastAsia" w:ascii="Times New Roman" w:eastAsia="仿宋_GB2312"/>
          <w:b w:val="0"/>
          <w:sz w:val="32"/>
          <w:szCs w:val="32"/>
        </w:rPr>
        <w:t>万元，执行数为</w:t>
      </w:r>
      <w:r>
        <w:rPr>
          <w:rFonts w:hint="eastAsia" w:ascii="Times New Roman" w:eastAsia="仿宋_GB2312"/>
          <w:b w:val="0"/>
          <w:sz w:val="32"/>
          <w:szCs w:val="32"/>
          <w:lang w:val="en-US" w:eastAsia="zh-CN"/>
        </w:rPr>
        <w:t>90</w:t>
      </w:r>
      <w:r>
        <w:rPr>
          <w:rFonts w:hint="eastAsia"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hint="eastAsia" w:ascii="Times New Roman" w:eastAsia="仿宋_GB2312"/>
          <w:b w:val="0"/>
          <w:sz w:val="32"/>
          <w:szCs w:val="32"/>
        </w:rPr>
        <w:t>%。通过项目实施，完成了年初设定的各项绩效目标，未发现问题</w:t>
      </w:r>
      <w:r>
        <w:rPr>
          <w:rFonts w:hint="eastAsia" w:ascii="Times New Roman" w:eastAsia="仿宋_GB2312"/>
          <w:b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hint="eastAsia" w:ascii="Times New Roman" w:hAnsi="Times New Roman" w:eastAsia="仿宋_GB2312" w:cs="Times New Roman"/>
          <w:sz w:val="32"/>
          <w:szCs w:val="32"/>
          <w:highlight w:val="none"/>
          <w:lang w:eastAsia="zh-CN"/>
        </w:rPr>
      </w:pPr>
    </w:p>
    <w:p>
      <w:pPr>
        <w:pStyle w:val="2"/>
        <w:jc w:val="both"/>
        <w:rPr>
          <w:rFonts w:hint="eastAsia" w:ascii="Times New Roman" w:hAnsi="Times New Roman" w:eastAsia="仿宋_GB2312" w:cs="Times New Roman"/>
          <w:sz w:val="32"/>
          <w:szCs w:val="32"/>
          <w:highlight w:val="none"/>
          <w:lang w:eastAsia="zh-CN"/>
        </w:rPr>
      </w:pPr>
    </w:p>
    <w:p>
      <w:pPr>
        <w:pStyle w:val="2"/>
        <w:jc w:val="both"/>
        <w:rPr>
          <w:rFonts w:hint="eastAsia" w:ascii="Times New Roman" w:hAnsi="Times New Roman" w:eastAsia="仿宋_GB2312" w:cs="Times New Roman"/>
          <w:sz w:val="32"/>
          <w:szCs w:val="32"/>
          <w:highlight w:val="none"/>
          <w:lang w:eastAsia="zh-CN"/>
        </w:rPr>
      </w:pPr>
    </w:p>
    <w:p>
      <w:pPr>
        <w:pStyle w:val="2"/>
        <w:jc w:val="both"/>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p>
      <w:pPr>
        <w:pStyle w:val="2"/>
        <w:rPr>
          <w:rFonts w:hint="eastAsia" w:ascii="Times New Roman" w:hAnsi="Times New Roman" w:eastAsia="仿宋_GB2312" w:cs="Times New Roman"/>
          <w:sz w:val="32"/>
          <w:szCs w:val="32"/>
          <w:highlight w:val="none"/>
          <w:lang w:eastAsia="zh-CN"/>
        </w:rPr>
      </w:pPr>
    </w:p>
    <w:tbl>
      <w:tblPr>
        <w:tblStyle w:val="13"/>
        <w:tblW w:w="10080" w:type="dxa"/>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0"/>
        <w:gridCol w:w="500"/>
        <w:gridCol w:w="690"/>
        <w:gridCol w:w="1370"/>
        <w:gridCol w:w="1450"/>
        <w:gridCol w:w="890"/>
        <w:gridCol w:w="1587"/>
        <w:gridCol w:w="1113"/>
        <w:gridCol w:w="1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10080"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0"/>
                <w:szCs w:val="20"/>
                <w:u w:val="none"/>
                <w:lang w:val="en-US" w:eastAsia="zh-CN" w:bidi="ar"/>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0"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730"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060"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石家庄市工信局</w:t>
            </w:r>
          </w:p>
        </w:tc>
        <w:tc>
          <w:tcPr>
            <w:tcW w:w="145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8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13"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0"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12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法律顾问经费</w:t>
            </w:r>
          </w:p>
        </w:tc>
        <w:tc>
          <w:tcPr>
            <w:tcW w:w="24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单位</w:t>
            </w:r>
          </w:p>
        </w:tc>
        <w:tc>
          <w:tcPr>
            <w:tcW w:w="2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5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40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3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1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对重大行政决策、行政处罚、政策制定、危机管理和事件处置等事项提出法律意见，承担有关法律法规学习培训授课任务。</w:t>
            </w:r>
          </w:p>
        </w:tc>
        <w:tc>
          <w:tcPr>
            <w:tcW w:w="35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全部完成</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5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5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123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培训次数：法律培训次数</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≥2次</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审核率：合同、规范性文件审核率</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资金拨付时限：该项资金完成拨付时间</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2025年6月30日前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2025年3月</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平均成本：聘请法律顾问的成本</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≤10万元</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10万元</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预算支出进度</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维护依法行政的良好形象，依法行政、文明执法</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杜绝工作纰漏，依法行政</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已完成</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满意度指标（10分）</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机关工作人员的满意度</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96.00%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6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8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bl>
    <w:p>
      <w:pPr>
        <w:pStyle w:val="2"/>
        <w:ind w:left="0" w:leftChars="0" w:firstLine="0" w:firstLineChars="0"/>
        <w:rPr>
          <w:rFonts w:hint="eastAsia" w:ascii="Times New Roman" w:hAnsi="Times New Roman" w:eastAsia="仿宋_GB2312" w:cs="Times New Roman"/>
          <w:sz w:val="32"/>
          <w:szCs w:val="32"/>
          <w:highlight w:val="none"/>
          <w:lang w:eastAsia="zh-CN"/>
        </w:rPr>
      </w:pPr>
    </w:p>
    <w:tbl>
      <w:tblPr>
        <w:tblStyle w:val="13"/>
        <w:tblW w:w="930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8"/>
        <w:gridCol w:w="1100"/>
        <w:gridCol w:w="1030"/>
        <w:gridCol w:w="1100"/>
        <w:gridCol w:w="616"/>
        <w:gridCol w:w="1404"/>
        <w:gridCol w:w="201"/>
        <w:gridCol w:w="1177"/>
        <w:gridCol w:w="13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9308"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308" w:type="dxa"/>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578" w:type="dxa"/>
            <w:gridSpan w:val="4"/>
            <w:tcBorders>
              <w:top w:val="nil"/>
              <w:left w:val="nil"/>
              <w:bottom w:val="nil"/>
              <w:right w:val="nil"/>
            </w:tcBorders>
            <w:shd w:val="clear" w:color="auto" w:fill="auto"/>
            <w:noWrap/>
            <w:vAlign w:val="center"/>
          </w:tcPr>
          <w:p>
            <w:pPr>
              <w:jc w:val="left"/>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填报单位：石家庄市工业和信息化局</w:t>
            </w:r>
          </w:p>
        </w:tc>
        <w:tc>
          <w:tcPr>
            <w:tcW w:w="616" w:type="dxa"/>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4" w:type="dxa"/>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78" w:type="dxa"/>
            <w:gridSpan w:val="2"/>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2"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134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业务咨询费</w:t>
            </w:r>
          </w:p>
        </w:tc>
        <w:tc>
          <w:tcPr>
            <w:tcW w:w="22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实施(主管）单位</w:t>
            </w:r>
          </w:p>
        </w:tc>
        <w:tc>
          <w:tcPr>
            <w:tcW w:w="25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石家庄市工业和信息化局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62.1</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62.1</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59.1464</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62.1</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62.1</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59.1464</w:t>
            </w: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2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33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使得参评企业审核质量更加提高，对企业的验收结果更加公平公正。</w:t>
            </w:r>
          </w:p>
        </w:tc>
        <w:tc>
          <w:tcPr>
            <w:tcW w:w="339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达到预期目标</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9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9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0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聘用人次</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≥50人次</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大于50人</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评审满意度</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2025年12月30日前</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12月底前</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平均成本</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≤79.1万元</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59.1464</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03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4"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95.25%</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nil"/>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通过聘请专家，提高企业参评质量</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提高企业参评质量</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达到预期目标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03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聘请第三方的科室满意程度</w:t>
            </w:r>
          </w:p>
        </w:tc>
        <w:tc>
          <w:tcPr>
            <w:tcW w:w="1404"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378"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6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134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79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4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填报人：何欢</w:t>
            </w:r>
          </w:p>
        </w:tc>
        <w:tc>
          <w:tcPr>
            <w:tcW w:w="1100" w:type="dxa"/>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30" w:type="dxa"/>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0" w:type="dxa"/>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16" w:type="dxa"/>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4" w:type="dxa"/>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710" w:type="dxa"/>
            <w:gridSpan w:val="3"/>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联系电话：86688753</w:t>
            </w:r>
          </w:p>
        </w:tc>
      </w:tr>
    </w:tbl>
    <w:p>
      <w:pPr>
        <w:pStyle w:val="2"/>
        <w:ind w:left="0" w:leftChars="0" w:firstLine="0" w:firstLineChars="0"/>
        <w:rPr>
          <w:rFonts w:hint="eastAsia" w:ascii="Times New Roman" w:hAnsi="Times New Roman" w:eastAsia="仿宋_GB2312" w:cs="Times New Roman"/>
          <w:sz w:val="32"/>
          <w:szCs w:val="32"/>
          <w:highlight w:val="none"/>
          <w:lang w:eastAsia="zh-CN"/>
        </w:rPr>
      </w:pPr>
    </w:p>
    <w:tbl>
      <w:tblPr>
        <w:tblStyle w:val="13"/>
        <w:tblW w:w="9890" w:type="dxa"/>
        <w:tblInd w:w="-21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
        <w:gridCol w:w="100"/>
        <w:gridCol w:w="92"/>
        <w:gridCol w:w="968"/>
        <w:gridCol w:w="20"/>
        <w:gridCol w:w="80"/>
        <w:gridCol w:w="322"/>
        <w:gridCol w:w="3"/>
        <w:gridCol w:w="3"/>
        <w:gridCol w:w="5"/>
        <w:gridCol w:w="167"/>
        <w:gridCol w:w="550"/>
        <w:gridCol w:w="70"/>
        <w:gridCol w:w="10"/>
        <w:gridCol w:w="170"/>
        <w:gridCol w:w="130"/>
        <w:gridCol w:w="10"/>
        <w:gridCol w:w="30"/>
        <w:gridCol w:w="2"/>
        <w:gridCol w:w="108"/>
        <w:gridCol w:w="30"/>
        <w:gridCol w:w="30"/>
        <w:gridCol w:w="100"/>
        <w:gridCol w:w="90"/>
        <w:gridCol w:w="10"/>
        <w:gridCol w:w="20"/>
        <w:gridCol w:w="50"/>
        <w:gridCol w:w="200"/>
        <w:gridCol w:w="80"/>
        <w:gridCol w:w="50"/>
        <w:gridCol w:w="10"/>
        <w:gridCol w:w="60"/>
        <w:gridCol w:w="20"/>
        <w:gridCol w:w="30"/>
        <w:gridCol w:w="210"/>
        <w:gridCol w:w="20"/>
        <w:gridCol w:w="40"/>
        <w:gridCol w:w="50"/>
        <w:gridCol w:w="145"/>
        <w:gridCol w:w="5"/>
        <w:gridCol w:w="5"/>
        <w:gridCol w:w="7"/>
        <w:gridCol w:w="35"/>
        <w:gridCol w:w="143"/>
        <w:gridCol w:w="180"/>
        <w:gridCol w:w="70"/>
        <w:gridCol w:w="67"/>
        <w:gridCol w:w="15"/>
        <w:gridCol w:w="9"/>
        <w:gridCol w:w="19"/>
        <w:gridCol w:w="31"/>
        <w:gridCol w:w="169"/>
        <w:gridCol w:w="12"/>
        <w:gridCol w:w="68"/>
        <w:gridCol w:w="70"/>
        <w:gridCol w:w="20"/>
        <w:gridCol w:w="40"/>
        <w:gridCol w:w="60"/>
        <w:gridCol w:w="90"/>
        <w:gridCol w:w="70"/>
        <w:gridCol w:w="180"/>
        <w:gridCol w:w="72"/>
        <w:gridCol w:w="28"/>
        <w:gridCol w:w="17"/>
        <w:gridCol w:w="53"/>
        <w:gridCol w:w="38"/>
        <w:gridCol w:w="10"/>
        <w:gridCol w:w="2"/>
        <w:gridCol w:w="80"/>
        <w:gridCol w:w="20"/>
        <w:gridCol w:w="40"/>
        <w:gridCol w:w="90"/>
        <w:gridCol w:w="10"/>
        <w:gridCol w:w="20"/>
        <w:gridCol w:w="31"/>
        <w:gridCol w:w="49"/>
        <w:gridCol w:w="14"/>
        <w:gridCol w:w="56"/>
        <w:gridCol w:w="40"/>
        <w:gridCol w:w="90"/>
        <w:gridCol w:w="50"/>
        <w:gridCol w:w="17"/>
        <w:gridCol w:w="20"/>
        <w:gridCol w:w="91"/>
        <w:gridCol w:w="5"/>
        <w:gridCol w:w="143"/>
        <w:gridCol w:w="41"/>
        <w:gridCol w:w="523"/>
        <w:gridCol w:w="10"/>
        <w:gridCol w:w="49"/>
        <w:gridCol w:w="46"/>
        <w:gridCol w:w="28"/>
        <w:gridCol w:w="19"/>
        <w:gridCol w:w="41"/>
        <w:gridCol w:w="22"/>
        <w:gridCol w:w="9"/>
        <w:gridCol w:w="166"/>
        <w:gridCol w:w="110"/>
        <w:gridCol w:w="110"/>
        <w:gridCol w:w="20"/>
        <w:gridCol w:w="200"/>
        <w:gridCol w:w="217"/>
        <w:gridCol w:w="1"/>
        <w:gridCol w:w="1"/>
        <w:gridCol w:w="19"/>
        <w:gridCol w:w="182"/>
        <w:gridCol w:w="50"/>
        <w:gridCol w:w="230"/>
        <w:gridCol w:w="80"/>
        <w:gridCol w:w="364"/>
        <w:gridCol w:w="310"/>
        <w:gridCol w:w="236"/>
        <w:gridCol w:w="10"/>
        <w:gridCol w:w="10"/>
        <w:gridCol w:w="50"/>
        <w:gridCol w:w="300"/>
        <w:gridCol w:w="4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588" w:hRule="atLeast"/>
        </w:trPr>
        <w:tc>
          <w:tcPr>
            <w:tcW w:w="9890" w:type="dxa"/>
            <w:gridSpan w:val="11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9890" w:type="dxa"/>
            <w:gridSpan w:val="114"/>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4910" w:type="dxa"/>
            <w:gridSpan w:val="5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填报单位：石家庄市工信局</w:t>
            </w:r>
          </w:p>
        </w:tc>
        <w:tc>
          <w:tcPr>
            <w:tcW w:w="760" w:type="dxa"/>
            <w:gridSpan w:val="14"/>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18"/>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610" w:type="dxa"/>
            <w:gridSpan w:val="21"/>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80"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504" w:hRule="atLeast"/>
        </w:trPr>
        <w:tc>
          <w:tcPr>
            <w:tcW w:w="1080"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880" w:type="dxa"/>
            <w:gridSpan w:val="6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支撑国家新兴工业化示范区创建工作经费（专项资金）</w:t>
            </w:r>
          </w:p>
        </w:tc>
        <w:tc>
          <w:tcPr>
            <w:tcW w:w="167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实施(主管）单位</w:t>
            </w:r>
          </w:p>
        </w:tc>
        <w:tc>
          <w:tcPr>
            <w:tcW w:w="206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388"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27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94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0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39</w:t>
            </w:r>
          </w:p>
        </w:tc>
        <w:tc>
          <w:tcPr>
            <w:tcW w:w="1560"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7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39</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38.8</w:t>
            </w:r>
          </w:p>
        </w:tc>
        <w:tc>
          <w:tcPr>
            <w:tcW w:w="1280"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0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39</w:t>
            </w:r>
          </w:p>
        </w:tc>
        <w:tc>
          <w:tcPr>
            <w:tcW w:w="1560"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7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39</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38.8</w:t>
            </w:r>
          </w:p>
        </w:tc>
        <w:tc>
          <w:tcPr>
            <w:tcW w:w="128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0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560"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7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28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830" w:type="dxa"/>
            <w:gridSpan w:val="5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3700" w:type="dxa"/>
            <w:gridSpan w:val="5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830" w:type="dxa"/>
            <w:gridSpan w:val="5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完成购买专业第三方机构报告编制服务，进行系统研究、撰写报告</w:t>
            </w:r>
          </w:p>
        </w:tc>
        <w:tc>
          <w:tcPr>
            <w:tcW w:w="3700" w:type="dxa"/>
            <w:gridSpan w:val="5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第三方专业机构已完成系统研究，撰写并交付研究报告。</w:t>
            </w:r>
          </w:p>
        </w:tc>
        <w:tc>
          <w:tcPr>
            <w:tcW w:w="1280"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830" w:type="dxa"/>
            <w:gridSpan w:val="5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700" w:type="dxa"/>
            <w:gridSpan w:val="5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8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830" w:type="dxa"/>
            <w:gridSpan w:val="5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700" w:type="dxa"/>
            <w:gridSpan w:val="5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8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0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0"/>
                <w:szCs w:val="20"/>
                <w:u w:val="none"/>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w:t>
            </w:r>
          </w:p>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c>
          <w:tcPr>
            <w:tcW w:w="1070" w:type="dxa"/>
            <w:gridSpan w:val="1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编制文本数量</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专家评审通过率</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504"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报告编制完成时限</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2025.12.30前</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2025.12.30前</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7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单个编制项目平均支出</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≤20万元</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19.4万元</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707"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070" w:type="dxa"/>
            <w:gridSpan w:val="16"/>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320" w:type="dxa"/>
            <w:gridSpan w:val="41"/>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99.49%</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1200"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0"/>
                <w:szCs w:val="20"/>
                <w:u w:val="none"/>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w:t>
            </w:r>
          </w:p>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c>
          <w:tcPr>
            <w:tcW w:w="1070" w:type="dxa"/>
            <w:gridSpan w:val="1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借鉴典型城市推进新型工业化典型经验，助力我市加快新型工业化进程</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为全市新型工业化发展提供方向</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参考先进经验，结合我市实际，为全市新型工业化发展明确了方向。</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720"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满意度指标（10分）</w:t>
            </w:r>
          </w:p>
        </w:tc>
        <w:tc>
          <w:tcPr>
            <w:tcW w:w="1070" w:type="dxa"/>
            <w:gridSpan w:val="1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320"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石家庄市工业和信息化局满意度</w:t>
            </w:r>
          </w:p>
        </w:tc>
        <w:tc>
          <w:tcPr>
            <w:tcW w:w="133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6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98%</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108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530" w:type="dxa"/>
            <w:gridSpan w:val="10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588" w:hRule="atLeast"/>
        </w:trPr>
        <w:tc>
          <w:tcPr>
            <w:tcW w:w="1660" w:type="dxa"/>
            <w:gridSpan w:val="9"/>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230" w:type="dxa"/>
            <w:gridSpan w:val="10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gridAfter w:val="1"/>
          <w:trHeight w:val="288" w:hRule="atLeast"/>
        </w:trPr>
        <w:tc>
          <w:tcPr>
            <w:tcW w:w="3350" w:type="dxa"/>
            <w:gridSpan w:val="27"/>
            <w:tcBorders>
              <w:top w:val="nil"/>
              <w:left w:val="nil"/>
              <w:bottom w:val="nil"/>
              <w:right w:val="nil"/>
            </w:tcBorders>
            <w:shd w:val="clear" w:color="auto" w:fill="auto"/>
            <w:noWrap/>
            <w:vAlign w:val="center"/>
          </w:tcPr>
          <w:p>
            <w:pPr>
              <w:jc w:val="left"/>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填报人：李善硕</w:t>
            </w:r>
          </w:p>
        </w:tc>
        <w:tc>
          <w:tcPr>
            <w:tcW w:w="1560" w:type="dxa"/>
            <w:gridSpan w:val="27"/>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60" w:type="dxa"/>
            <w:gridSpan w:val="14"/>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18"/>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890" w:type="dxa"/>
            <w:gridSpan w:val="28"/>
            <w:tcBorders>
              <w:top w:val="nil"/>
              <w:left w:val="nil"/>
              <w:bottom w:val="nil"/>
              <w:right w:val="nil"/>
            </w:tcBorders>
            <w:shd w:val="clear" w:color="auto" w:fill="auto"/>
            <w:noWrap/>
            <w:vAlign w:val="center"/>
          </w:tcPr>
          <w:p>
            <w:pPr>
              <w:jc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联系电话：86689392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88" w:hRule="atLeast"/>
        </w:trPr>
        <w:tc>
          <w:tcPr>
            <w:tcW w:w="10471" w:type="dxa"/>
            <w:gridSpan w:val="116"/>
            <w:tcBorders>
              <w:top w:val="nil"/>
              <w:left w:val="nil"/>
              <w:bottom w:val="nil"/>
              <w:right w:val="nil"/>
            </w:tcBorders>
            <w:shd w:val="clear" w:color="auto" w:fill="auto"/>
            <w:vAlign w:val="center"/>
          </w:tcPr>
          <w:p>
            <w:pPr>
              <w:keepNext w:val="0"/>
              <w:keepLines w:val="0"/>
              <w:widowControl/>
              <w:suppressLineNumbers w:val="0"/>
              <w:jc w:val="center"/>
              <w:textAlignment w:val="bottom"/>
              <w:rPr>
                <w:rFonts w:hint="eastAsia" w:ascii="方正小标宋_GBK" w:hAnsi="方正小标宋_GBK" w:eastAsia="方正小标宋_GBK" w:cs="方正小标宋_GBK"/>
                <w:i w:val="0"/>
                <w:iCs w:val="0"/>
                <w:color w:val="000000"/>
                <w:kern w:val="0"/>
                <w:sz w:val="32"/>
                <w:szCs w:val="32"/>
                <w:u w:val="none"/>
                <w:lang w:val="en-US" w:eastAsia="zh-CN" w:bidi="ar"/>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0471" w:type="dxa"/>
            <w:gridSpan w:val="116"/>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760" w:type="dxa"/>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4201" w:type="dxa"/>
            <w:gridSpan w:val="6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616" w:type="dxa"/>
            <w:gridSpan w:val="1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6" w:type="dxa"/>
            <w:gridSpan w:val="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81" w:type="dxa"/>
            <w:gridSpan w:val="1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97" w:type="dxa"/>
            <w:gridSpan w:val="7"/>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800" w:hRule="atLeast"/>
        </w:trPr>
        <w:tc>
          <w:tcPr>
            <w:tcW w:w="1160"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一、基本情况</w:t>
            </w:r>
          </w:p>
        </w:tc>
        <w:tc>
          <w:tcPr>
            <w:tcW w:w="157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845" w:type="dxa"/>
            <w:gridSpan w:val="6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2024年制造企业质量管理能力评价复核费用补贴（专项资金）</w:t>
            </w:r>
          </w:p>
        </w:tc>
        <w:tc>
          <w:tcPr>
            <w:tcW w:w="2497"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单位</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350"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160"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3404" w:type="dxa"/>
            <w:gridSpan w:val="4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20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83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62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178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97"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20" w:hRule="atLeast"/>
        </w:trPr>
        <w:tc>
          <w:tcPr>
            <w:tcW w:w="11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20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3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62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78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25.2</w:t>
            </w:r>
          </w:p>
        </w:tc>
        <w:tc>
          <w:tcPr>
            <w:tcW w:w="1397"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20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3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62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78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97"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370" w:type="dxa"/>
            <w:gridSpan w:val="4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4544" w:type="dxa"/>
            <w:gridSpan w:val="6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660" w:hRule="atLeast"/>
        </w:trPr>
        <w:tc>
          <w:tcPr>
            <w:tcW w:w="11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70" w:type="dxa"/>
            <w:gridSpan w:val="4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根据省工信厅关于开展2024年制造业企业质量管理能力评价工作的通知要求，对7家企业的服务费用进行补贴。</w:t>
            </w:r>
          </w:p>
        </w:tc>
        <w:tc>
          <w:tcPr>
            <w:tcW w:w="4544" w:type="dxa"/>
            <w:gridSpan w:val="6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完成了对石家庄以岭药业股份有限公司、先控捷联电气股份有限公司、兰升生物科技集团股份有限公司、河冶科技股份有限公司、石家庄盛华企业集团有限公司、石家庄四药有限公司、石药集团维生药业（石家庄）有限公司等7家参与2024年制造业企业质量管理能力评价企业服务费用补贴</w:t>
            </w:r>
          </w:p>
        </w:tc>
        <w:tc>
          <w:tcPr>
            <w:tcW w:w="1397"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660" w:hRule="atLeast"/>
        </w:trPr>
        <w:tc>
          <w:tcPr>
            <w:tcW w:w="11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70" w:type="dxa"/>
            <w:gridSpan w:val="4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544" w:type="dxa"/>
            <w:gridSpan w:val="6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97"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660" w:hRule="atLeast"/>
        </w:trPr>
        <w:tc>
          <w:tcPr>
            <w:tcW w:w="11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370" w:type="dxa"/>
            <w:gridSpan w:val="4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544" w:type="dxa"/>
            <w:gridSpan w:val="6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97"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w:t>
            </w:r>
            <w:r>
              <w:rPr>
                <w:rStyle w:val="29"/>
                <w:rFonts w:hint="eastAsia" w:asciiTheme="minorEastAsia" w:hAnsiTheme="minorEastAsia" w:eastAsiaTheme="minorEastAsia" w:cstheme="minorEastAsia"/>
                <w:sz w:val="20"/>
                <w:szCs w:val="20"/>
                <w:lang w:val="en-US" w:eastAsia="zh-CN" w:bidi="ar"/>
              </w:rPr>
              <w:t xml:space="preserve"> </w:t>
            </w:r>
            <w:r>
              <w:rPr>
                <w:rFonts w:hint="eastAsia" w:asciiTheme="minorEastAsia" w:hAnsiTheme="minorEastAsia" w:eastAsiaTheme="minorEastAsia" w:cstheme="minorEastAsia"/>
                <w:i w:val="0"/>
                <w:iCs w:val="0"/>
                <w:color w:val="000000"/>
                <w:kern w:val="0"/>
                <w:sz w:val="20"/>
                <w:szCs w:val="20"/>
                <w:u w:val="none"/>
                <w:lang w:val="en-US" w:eastAsia="zh-CN" w:bidi="ar"/>
              </w:rPr>
              <w:t>年度绩效指标完成情况</w:t>
            </w:r>
          </w:p>
        </w:tc>
        <w:tc>
          <w:tcPr>
            <w:tcW w:w="1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26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260" w:type="dxa"/>
            <w:gridSpan w:val="2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评价复核数量</w:t>
            </w: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=7家</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7家</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6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企业复核认定率</w:t>
            </w: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28"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6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w:t>
            </w: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2025年6月30日前</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7月27日拨付</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6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企业补贴成本</w:t>
            </w: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=3.6万元</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3.6万元</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927"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260" w:type="dxa"/>
            <w:gridSpan w:val="20"/>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1464"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260" w:type="dxa"/>
            <w:gridSpan w:val="20"/>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推动企业树立科学质量观。</w:t>
            </w: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加快质量管理数字化，实现质量效益提升</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7家企业均达到检验级以上，建立了质量管理数字化体系，实现了质量效益提升。</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917"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满意度指标（10）</w:t>
            </w:r>
          </w:p>
        </w:tc>
        <w:tc>
          <w:tcPr>
            <w:tcW w:w="1260" w:type="dxa"/>
            <w:gridSpan w:val="20"/>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补贴企业满意度</w:t>
            </w:r>
          </w:p>
        </w:tc>
        <w:tc>
          <w:tcPr>
            <w:tcW w:w="1660"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288" w:hRule="atLeast"/>
        </w:trPr>
        <w:tc>
          <w:tcPr>
            <w:tcW w:w="116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7914" w:type="dxa"/>
            <w:gridSpan w:val="10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3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22" w:type="dxa"/>
          <w:trHeight w:val="588" w:hRule="atLeast"/>
        </w:trPr>
        <w:tc>
          <w:tcPr>
            <w:tcW w:w="3890" w:type="dxa"/>
            <w:gridSpan w:val="3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五、 </w:t>
            </w:r>
            <w:r>
              <w:rPr>
                <w:rStyle w:val="30"/>
                <w:rFonts w:hint="eastAsia" w:asciiTheme="minorEastAsia" w:hAnsiTheme="minorEastAsia" w:eastAsiaTheme="minorEastAsia" w:cstheme="minorEastAsia"/>
                <w:sz w:val="20"/>
                <w:szCs w:val="20"/>
                <w:lang w:val="en-US" w:eastAsia="zh-CN" w:bidi="ar"/>
              </w:rPr>
              <w:t>存在问题、原因及下一步整改措施</w:t>
            </w:r>
          </w:p>
        </w:tc>
        <w:tc>
          <w:tcPr>
            <w:tcW w:w="6581" w:type="dxa"/>
            <w:gridSpan w:val="8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588" w:hRule="atLeast"/>
        </w:trPr>
        <w:tc>
          <w:tcPr>
            <w:tcW w:w="9506" w:type="dxa"/>
            <w:gridSpan w:val="1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9506" w:type="dxa"/>
            <w:gridSpan w:val="111"/>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3292" w:type="dxa"/>
            <w:gridSpan w:val="2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填报单位：石家庄市工信局</w:t>
            </w:r>
          </w:p>
        </w:tc>
        <w:tc>
          <w:tcPr>
            <w:tcW w:w="330" w:type="dxa"/>
            <w:gridSpan w:val="3"/>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52" w:type="dxa"/>
            <w:gridSpan w:val="23"/>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8" w:type="dxa"/>
            <w:gridSpan w:val="1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6" w:type="dxa"/>
            <w:gridSpan w:val="21"/>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6" w:type="dxa"/>
            <w:gridSpan w:val="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6" w:type="dxa"/>
            <w:gridSpan w:val="1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504" w:hRule="atLeast"/>
        </w:trPr>
        <w:tc>
          <w:tcPr>
            <w:tcW w:w="1382"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060" w:type="dxa"/>
            <w:gridSpan w:val="5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中小企业数字化转型试点市级配套资金（专项资金）</w:t>
            </w:r>
          </w:p>
        </w:tc>
        <w:tc>
          <w:tcPr>
            <w:tcW w:w="163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单位</w:t>
            </w:r>
          </w:p>
        </w:tc>
        <w:tc>
          <w:tcPr>
            <w:tcW w:w="2132"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630"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195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33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31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10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216"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480" w:hRule="atLeast"/>
        </w:trPr>
        <w:tc>
          <w:tcPr>
            <w:tcW w:w="138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33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31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0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1346.20 </w:t>
            </w:r>
          </w:p>
        </w:tc>
        <w:tc>
          <w:tcPr>
            <w:tcW w:w="121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33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1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01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21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940" w:type="dxa"/>
            <w:gridSpan w:val="5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968" w:type="dxa"/>
            <w:gridSpan w:val="4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460" w:hRule="atLeast"/>
        </w:trPr>
        <w:tc>
          <w:tcPr>
            <w:tcW w:w="138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360" w:type="dxa"/>
            <w:gridSpan w:val="5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投入财政资金1485.2万元，用于奖励转型成效显著的优质试点企业，探索形成中小企业数字化转型的方法路径、市场机制和典型模式，引导和推动广大中小企业加快数字化转型。</w:t>
            </w:r>
          </w:p>
        </w:tc>
        <w:tc>
          <w:tcPr>
            <w:tcW w:w="2548" w:type="dxa"/>
            <w:gridSpan w:val="4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2025年共奖励60家复制推广企业及29家“数智标杆”企业，引导推动了广大中小企业加快数字化转型进程。</w:t>
            </w:r>
          </w:p>
        </w:tc>
        <w:tc>
          <w:tcPr>
            <w:tcW w:w="1216"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460" w:hRule="atLeast"/>
        </w:trPr>
        <w:tc>
          <w:tcPr>
            <w:tcW w:w="138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360" w:type="dxa"/>
            <w:gridSpan w:val="5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48" w:type="dxa"/>
            <w:gridSpan w:val="4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1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460" w:hRule="atLeast"/>
        </w:trPr>
        <w:tc>
          <w:tcPr>
            <w:tcW w:w="138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360" w:type="dxa"/>
            <w:gridSpan w:val="5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48" w:type="dxa"/>
            <w:gridSpan w:val="4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1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33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330" w:type="dxa"/>
            <w:gridSpan w:val="2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补贴企业数量</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≥60家</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89家</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企业评定率</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576"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w:t>
            </w:r>
          </w:p>
        </w:tc>
        <w:tc>
          <w:tcPr>
            <w:tcW w:w="1042" w:type="dxa"/>
            <w:gridSpan w:val="13"/>
            <w:tcBorders>
              <w:top w:val="nil"/>
              <w:left w:val="nil"/>
              <w:bottom w:val="nil"/>
              <w:right w:val="nil"/>
            </w:tcBorders>
            <w:shd w:val="clear" w:color="auto" w:fill="auto"/>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2025年12月30日前</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按期拨付</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3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企业补贴成本</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≤70万元</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已完成</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720"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330" w:type="dxa"/>
            <w:gridSpan w:val="22"/>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576"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330" w:type="dxa"/>
            <w:gridSpan w:val="2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促进中小企业提质增效</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提高企业效益</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提高企业效益</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720"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330" w:type="dxa"/>
            <w:gridSpan w:val="2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320" w:type="dxa"/>
            <w:gridSpan w:val="4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补贴企业满意度</w:t>
            </w:r>
          </w:p>
        </w:tc>
        <w:tc>
          <w:tcPr>
            <w:tcW w:w="104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91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288" w:hRule="atLeast"/>
        </w:trPr>
        <w:tc>
          <w:tcPr>
            <w:tcW w:w="1382"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908" w:type="dxa"/>
            <w:gridSpan w:val="9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2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1087" w:type="dxa"/>
          <w:trHeight w:val="588" w:hRule="atLeast"/>
        </w:trPr>
        <w:tc>
          <w:tcPr>
            <w:tcW w:w="1382" w:type="dxa"/>
            <w:gridSpan w:val="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124" w:type="dxa"/>
            <w:gridSpan w:val="10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市级资金总预算1485.2万元，其中136万元用于中小企业数字化转型城市试点项目财务审计资金，3万元用于中小企业数字化转型试点市级配套资金补贴“数智标杆”企业。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588" w:hRule="atLeast"/>
        </w:trPr>
        <w:tc>
          <w:tcPr>
            <w:tcW w:w="9498" w:type="dxa"/>
            <w:gridSpan w:val="1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9498" w:type="dxa"/>
            <w:gridSpan w:val="112"/>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07" w:type="dxa"/>
            <w:gridSpan w:val="3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17" w:type="dxa"/>
            <w:gridSpan w:val="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8" w:type="dxa"/>
            <w:gridSpan w:val="15"/>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7" w:type="dxa"/>
            <w:gridSpan w:val="19"/>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8" w:type="dxa"/>
            <w:gridSpan w:val="9"/>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95" w:type="dxa"/>
            <w:gridSpan w:val="1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90"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504" w:hRule="atLeast"/>
        </w:trPr>
        <w:tc>
          <w:tcPr>
            <w:tcW w:w="1396"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 基本情况</w:t>
            </w:r>
          </w:p>
        </w:tc>
        <w:tc>
          <w:tcPr>
            <w:tcW w:w="11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820" w:type="dxa"/>
            <w:gridSpan w:val="4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基层统计监测人员业务能力提升（专项资金）</w:t>
            </w:r>
          </w:p>
        </w:tc>
        <w:tc>
          <w:tcPr>
            <w:tcW w:w="2180"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96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42"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490"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8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8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0"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480" w:hRule="atLeast"/>
        </w:trPr>
        <w:tc>
          <w:tcPr>
            <w:tcW w:w="139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8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9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8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0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9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22" w:type="dxa"/>
            <w:gridSpan w:val="4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90" w:type="dxa"/>
            <w:gridSpan w:val="4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2" w:type="dxa"/>
            <w:gridSpan w:val="5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通过使用财政资金开展基层统计培训，为政府决策提供参考依据。</w:t>
            </w:r>
          </w:p>
        </w:tc>
        <w:tc>
          <w:tcPr>
            <w:tcW w:w="2850" w:type="dxa"/>
            <w:gridSpan w:val="4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举办2场次基层统计培训会议，提升基层统计人员水平。</w:t>
            </w:r>
          </w:p>
        </w:tc>
        <w:tc>
          <w:tcPr>
            <w:tcW w:w="1290"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2" w:type="dxa"/>
            <w:gridSpan w:val="5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850" w:type="dxa"/>
            <w:gridSpan w:val="4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29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2" w:type="dxa"/>
            <w:gridSpan w:val="5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850" w:type="dxa"/>
            <w:gridSpan w:val="4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290"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11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0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9"/>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00" w:type="dxa"/>
            <w:gridSpan w:val="17"/>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共计开展统计培训人次</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0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实际参训人数占比</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0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该项目资金完成拨付时间</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2025年12月底前</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2025年12月底前</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9"/>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0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每人参训平均成本</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≤0.03万元</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0.026</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720"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00" w:type="dxa"/>
            <w:gridSpan w:val="17"/>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预算支出比例</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720"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9"/>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00" w:type="dxa"/>
            <w:gridSpan w:val="1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为政府单位提供决策依据</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做好特色产业集群统计工作</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指导县区做好特色产业集群统计工作</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720"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满意度指标（10分）</w:t>
            </w:r>
          </w:p>
        </w:tc>
        <w:tc>
          <w:tcPr>
            <w:tcW w:w="1100" w:type="dxa"/>
            <w:gridSpan w:val="1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参训人员满意度</w:t>
            </w:r>
          </w:p>
        </w:tc>
        <w:tc>
          <w:tcPr>
            <w:tcW w:w="129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288" w:hRule="atLeast"/>
        </w:trPr>
        <w:tc>
          <w:tcPr>
            <w:tcW w:w="1396" w:type="dxa"/>
            <w:gridSpan w:val="6"/>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12" w:type="dxa"/>
            <w:gridSpan w:val="9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2"/>
          <w:wBefore w:w="314" w:type="dxa"/>
          <w:wAfter w:w="781" w:type="dxa"/>
          <w:trHeight w:val="588" w:hRule="atLeast"/>
        </w:trPr>
        <w:tc>
          <w:tcPr>
            <w:tcW w:w="1396" w:type="dxa"/>
            <w:gridSpan w:val="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 存在问题、原因及下一步整改措施</w:t>
            </w:r>
          </w:p>
        </w:tc>
        <w:tc>
          <w:tcPr>
            <w:tcW w:w="8102" w:type="dxa"/>
            <w:gridSpan w:val="10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588" w:hRule="atLeast"/>
        </w:trPr>
        <w:tc>
          <w:tcPr>
            <w:tcW w:w="9448" w:type="dxa"/>
            <w:gridSpan w:val="1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9448" w:type="dxa"/>
            <w:gridSpan w:val="111"/>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09" w:type="dxa"/>
            <w:gridSpan w:val="3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19" w:type="dxa"/>
            <w:gridSpan w:val="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6" w:type="dxa"/>
            <w:gridSpan w:val="15"/>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30" w:type="dxa"/>
            <w:gridSpan w:val="19"/>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gridSpan w:val="9"/>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4" w:type="dxa"/>
            <w:gridSpan w:val="10"/>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3" w:type="dxa"/>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504" w:hRule="atLeast"/>
        </w:trPr>
        <w:tc>
          <w:tcPr>
            <w:tcW w:w="1401" w:type="dxa"/>
            <w:gridSpan w:val="7"/>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0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240" w:type="dxa"/>
            <w:gridSpan w:val="5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中小企业运行监测（专项资金）</w:t>
            </w:r>
          </w:p>
        </w:tc>
        <w:tc>
          <w:tcPr>
            <w:tcW w:w="178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单位</w:t>
            </w:r>
          </w:p>
        </w:tc>
        <w:tc>
          <w:tcPr>
            <w:tcW w:w="193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3028"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1676"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185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75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6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666"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493" w:type="dxa"/>
            <w:gridSpan w:val="1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480"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75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6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666"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12</w:t>
            </w:r>
          </w:p>
        </w:tc>
        <w:tc>
          <w:tcPr>
            <w:tcW w:w="149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75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3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6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666"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9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974" w:type="dxa"/>
            <w:gridSpan w:val="5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580"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74" w:type="dxa"/>
            <w:gridSpan w:val="5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通过财政资金对中小企业运行情况进行监测，为部门提供决策参考。</w:t>
            </w:r>
          </w:p>
        </w:tc>
        <w:tc>
          <w:tcPr>
            <w:tcW w:w="2580" w:type="dxa"/>
            <w:gridSpan w:val="3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完成年度报送任务，为部门决策提供参考。</w:t>
            </w:r>
          </w:p>
        </w:tc>
        <w:tc>
          <w:tcPr>
            <w:tcW w:w="1493" w:type="dxa"/>
            <w:gridSpan w:val="1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74" w:type="dxa"/>
            <w:gridSpan w:val="5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80" w:type="dxa"/>
            <w:gridSpan w:val="3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9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74" w:type="dxa"/>
            <w:gridSpan w:val="5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580" w:type="dxa"/>
            <w:gridSpan w:val="3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9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44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440" w:type="dxa"/>
            <w:gridSpan w:val="24"/>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纳入中小企业运行监测的企业数量</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≥250</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380</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4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月均填报系统户数占总户数比重</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≥80%</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480"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4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资金拨付完成时间</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2025年12月底前</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2025年12月底前</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4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每家企业补助的费用成本</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≤0.04万元</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0.0315万元</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720"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40" w:type="dxa"/>
            <w:gridSpan w:val="24"/>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预算支出比例</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480"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440" w:type="dxa"/>
            <w:gridSpan w:val="2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考察监测数据为部门提供决策参考的程度</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80%</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720"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40" w:type="dxa"/>
            <w:gridSpan w:val="2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01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补贴企业满意度</w:t>
            </w:r>
          </w:p>
        </w:tc>
        <w:tc>
          <w:tcPr>
            <w:tcW w:w="9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54" w:type="dxa"/>
            <w:gridSpan w:val="9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9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3"/>
          <w:wBefore w:w="314" w:type="dxa"/>
          <w:wAfter w:w="831" w:type="dxa"/>
          <w:trHeight w:val="588" w:hRule="atLeast"/>
        </w:trPr>
        <w:tc>
          <w:tcPr>
            <w:tcW w:w="1401" w:type="dxa"/>
            <w:gridSpan w:val="7"/>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47" w:type="dxa"/>
            <w:gridSpan w:val="10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588" w:hRule="atLeast"/>
        </w:trPr>
        <w:tc>
          <w:tcPr>
            <w:tcW w:w="9428" w:type="dxa"/>
            <w:gridSpan w:val="10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9428" w:type="dxa"/>
            <w:gridSpan w:val="109"/>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03" w:type="dxa"/>
            <w:gridSpan w:val="3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12" w:type="dxa"/>
            <w:gridSpan w:val="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5" w:type="dxa"/>
            <w:gridSpan w:val="15"/>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02" w:type="dxa"/>
            <w:gridSpan w:val="15"/>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35" w:type="dxa"/>
            <w:gridSpan w:val="13"/>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90" w:type="dxa"/>
            <w:gridSpan w:val="14"/>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71"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504" w:hRule="atLeast"/>
        </w:trPr>
        <w:tc>
          <w:tcPr>
            <w:tcW w:w="1390" w:type="dxa"/>
            <w:gridSpan w:val="4"/>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51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2800" w:type="dxa"/>
            <w:gridSpan w:val="4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职业经理人培训（专项资金）</w:t>
            </w:r>
          </w:p>
        </w:tc>
        <w:tc>
          <w:tcPr>
            <w:tcW w:w="1700"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单位</w:t>
            </w:r>
          </w:p>
        </w:tc>
        <w:tc>
          <w:tcPr>
            <w:tcW w:w="202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3015" w:type="dxa"/>
            <w:gridSpan w:val="4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125"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7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37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7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09"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71"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480" w:hRule="atLeast"/>
        </w:trPr>
        <w:tc>
          <w:tcPr>
            <w:tcW w:w="13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7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37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7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09"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13</w:t>
            </w:r>
          </w:p>
        </w:tc>
        <w:tc>
          <w:tcPr>
            <w:tcW w:w="1471"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7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7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7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09"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71"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3940" w:type="dxa"/>
            <w:gridSpan w:val="5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627" w:type="dxa"/>
            <w:gridSpan w:val="4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40" w:type="dxa"/>
            <w:gridSpan w:val="5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开展职业经理人培训，为企业培养高级职业管理人员。</w:t>
            </w:r>
          </w:p>
        </w:tc>
        <w:tc>
          <w:tcPr>
            <w:tcW w:w="2627" w:type="dxa"/>
            <w:gridSpan w:val="4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培育职业经理人710人，完成年度任务目标。</w:t>
            </w:r>
          </w:p>
        </w:tc>
        <w:tc>
          <w:tcPr>
            <w:tcW w:w="1471"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40" w:type="dxa"/>
            <w:gridSpan w:val="5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627" w:type="dxa"/>
            <w:gridSpan w:val="4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71"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3940" w:type="dxa"/>
            <w:gridSpan w:val="5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627" w:type="dxa"/>
            <w:gridSpan w:val="4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71"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788"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227"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1"/>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227" w:type="dxa"/>
            <w:gridSpan w:val="19"/>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培育经理人人次</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≥650</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710</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1"/>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27"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培训达标率</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480"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1"/>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27"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培训完成时间</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2025年11月30日前</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2025年11月30日前</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1"/>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227"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人均培训费用</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≤0.02万元</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0.0183万元</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720"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227" w:type="dxa"/>
            <w:gridSpan w:val="19"/>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480"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1"/>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227" w:type="dxa"/>
            <w:gridSpan w:val="1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促进民营企业发展</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提升民营企业经营管理水平</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提升民营企业经营管理水平</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720"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788"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227" w:type="dxa"/>
            <w:gridSpan w:val="1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142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培训人员满意度</w:t>
            </w:r>
          </w:p>
        </w:tc>
        <w:tc>
          <w:tcPr>
            <w:tcW w:w="113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9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288" w:hRule="atLeast"/>
        </w:trPr>
        <w:tc>
          <w:tcPr>
            <w:tcW w:w="1390"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67" w:type="dxa"/>
            <w:gridSpan w:val="9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5"/>
          <w:wBefore w:w="314" w:type="dxa"/>
          <w:wAfter w:w="851" w:type="dxa"/>
          <w:trHeight w:val="588" w:hRule="atLeast"/>
        </w:trPr>
        <w:tc>
          <w:tcPr>
            <w:tcW w:w="1390"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38" w:type="dxa"/>
            <w:gridSpan w:val="10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588" w:hRule="atLeast"/>
        </w:trPr>
        <w:tc>
          <w:tcPr>
            <w:tcW w:w="9438" w:type="dxa"/>
            <w:gridSpan w:val="11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9438" w:type="dxa"/>
            <w:gridSpan w:val="110"/>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44" w:type="dxa"/>
            <w:gridSpan w:val="3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34" w:type="dxa"/>
            <w:gridSpan w:val="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87" w:type="dxa"/>
            <w:gridSpan w:val="15"/>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30" w:type="dxa"/>
            <w:gridSpan w:val="1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gridSpan w:val="1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3" w:type="dxa"/>
            <w:gridSpan w:val="6"/>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83"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504" w:hRule="atLeast"/>
        </w:trPr>
        <w:tc>
          <w:tcPr>
            <w:tcW w:w="1401" w:type="dxa"/>
            <w:gridSpan w:val="7"/>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152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2690" w:type="dxa"/>
            <w:gridSpan w:val="4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公益服务活动（专项资金）</w:t>
            </w:r>
          </w:p>
        </w:tc>
        <w:tc>
          <w:tcPr>
            <w:tcW w:w="192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单位</w:t>
            </w:r>
          </w:p>
        </w:tc>
        <w:tc>
          <w:tcPr>
            <w:tcW w:w="19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3078"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1717"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1759"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15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20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96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314"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82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48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480"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15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20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96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314"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2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w:t>
            </w:r>
          </w:p>
        </w:tc>
        <w:tc>
          <w:tcPr>
            <w:tcW w:w="148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1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15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20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96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314"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2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8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4065" w:type="dxa"/>
            <w:gridSpan w:val="5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489"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65" w:type="dxa"/>
            <w:gridSpan w:val="5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通过组织多种形式的公益服务活动，推动企业与服务机构对接，解决企业存在问题，提升企业管理水平。</w:t>
            </w:r>
          </w:p>
        </w:tc>
        <w:tc>
          <w:tcPr>
            <w:tcW w:w="2489" w:type="dxa"/>
            <w:gridSpan w:val="3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完成年段培训任务目标，提升企业管理水平。</w:t>
            </w:r>
          </w:p>
        </w:tc>
        <w:tc>
          <w:tcPr>
            <w:tcW w:w="148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65" w:type="dxa"/>
            <w:gridSpan w:val="5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9" w:type="dxa"/>
            <w:gridSpan w:val="3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65" w:type="dxa"/>
            <w:gridSpan w:val="5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9" w:type="dxa"/>
            <w:gridSpan w:val="3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40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46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460" w:type="dxa"/>
            <w:gridSpan w:val="2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开展公益服务活动场次</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≥10场次</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11场次</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6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活动完成率</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6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活动完成时间</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6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单场成本</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≤2.4万元</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2.18万元</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720"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60" w:type="dxa"/>
            <w:gridSpan w:val="22"/>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资金支付进度</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480"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3"/>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460" w:type="dxa"/>
            <w:gridSpan w:val="2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优化企业发展环境</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通过培训提升企业管理水平</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通过培训提升企业管理水平</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720"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0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460" w:type="dxa"/>
            <w:gridSpan w:val="2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1620"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服务对象满意度</w:t>
            </w:r>
          </w:p>
        </w:tc>
        <w:tc>
          <w:tcPr>
            <w:tcW w:w="1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0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28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401" w:type="dxa"/>
            <w:gridSpan w:val="7"/>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54" w:type="dxa"/>
            <w:gridSpan w:val="9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8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588" w:hRule="atLeast"/>
        </w:trPr>
        <w:tc>
          <w:tcPr>
            <w:tcW w:w="1401" w:type="dxa"/>
            <w:gridSpan w:val="7"/>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37" w:type="dxa"/>
            <w:gridSpan w:val="10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588" w:hRule="atLeast"/>
        </w:trPr>
        <w:tc>
          <w:tcPr>
            <w:tcW w:w="9438" w:type="dxa"/>
            <w:gridSpan w:val="11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市级单位预算项目绩效自评表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9438" w:type="dxa"/>
            <w:gridSpan w:val="110"/>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05" w:type="dxa"/>
            <w:gridSpan w:val="3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石家庄市工业和信息化局</w:t>
            </w:r>
          </w:p>
        </w:tc>
        <w:tc>
          <w:tcPr>
            <w:tcW w:w="550" w:type="dxa"/>
            <w:gridSpan w:val="10"/>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28" w:type="dxa"/>
            <w:gridSpan w:val="17"/>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5" w:type="dxa"/>
            <w:gridSpan w:val="1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2" w:type="dxa"/>
            <w:gridSpan w:val="10"/>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33" w:type="dxa"/>
            <w:gridSpan w:val="8"/>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82" w:type="dxa"/>
            <w:gridSpan w:val="10"/>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720" w:hRule="atLeast"/>
        </w:trPr>
        <w:tc>
          <w:tcPr>
            <w:tcW w:w="1393" w:type="dxa"/>
            <w:gridSpan w:val="5"/>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 基本情况</w:t>
            </w:r>
          </w:p>
        </w:tc>
        <w:tc>
          <w:tcPr>
            <w:tcW w:w="8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项目名称</w:t>
            </w:r>
          </w:p>
        </w:tc>
        <w:tc>
          <w:tcPr>
            <w:tcW w:w="3730" w:type="dxa"/>
            <w:gridSpan w:val="6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2025年省级中小企业发展专项资金——一起益企 集群前行（专项资金）</w:t>
            </w:r>
          </w:p>
        </w:tc>
        <w:tc>
          <w:tcPr>
            <w:tcW w:w="1370"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实施(主管）</w:t>
            </w:r>
            <w:r>
              <w:rPr>
                <w:rFonts w:hint="eastAsia" w:asciiTheme="minorEastAsia" w:hAnsiTheme="minorEastAsia" w:cstheme="minorEastAsia"/>
                <w:i w:val="0"/>
                <w:iCs w:val="0"/>
                <w:color w:val="000000"/>
                <w:kern w:val="0"/>
                <w:sz w:val="20"/>
                <w:szCs w:val="20"/>
                <w:u w:val="none"/>
                <w:lang w:val="en-US" w:eastAsia="zh-CN" w:bidi="ar"/>
              </w:rPr>
              <w:t>单位</w:t>
            </w:r>
          </w:p>
        </w:tc>
        <w:tc>
          <w:tcPr>
            <w:tcW w:w="214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石家庄市工信局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二、预算执行情况</w:t>
            </w:r>
          </w:p>
        </w:tc>
        <w:tc>
          <w:tcPr>
            <w:tcW w:w="2505"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预算安排情况（调整后）</w:t>
            </w:r>
          </w:p>
        </w:tc>
        <w:tc>
          <w:tcPr>
            <w:tcW w:w="2030"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资金到位情况</w:t>
            </w:r>
          </w:p>
        </w:tc>
        <w:tc>
          <w:tcPr>
            <w:tcW w:w="2028"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资金执行情况</w:t>
            </w:r>
          </w:p>
        </w:tc>
        <w:tc>
          <w:tcPr>
            <w:tcW w:w="14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50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预算数：</w:t>
            </w:r>
          </w:p>
        </w:tc>
        <w:tc>
          <w:tcPr>
            <w:tcW w:w="100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8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到位数：</w:t>
            </w:r>
          </w:p>
        </w:tc>
        <w:tc>
          <w:tcPr>
            <w:tcW w:w="85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执行数：</w:t>
            </w:r>
          </w:p>
        </w:tc>
        <w:tc>
          <w:tcPr>
            <w:tcW w:w="8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482"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480" w:hRule="atLeast"/>
        </w:trPr>
        <w:tc>
          <w:tcPr>
            <w:tcW w:w="139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50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100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8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5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其中：                     财政资金</w:t>
            </w:r>
          </w:p>
        </w:tc>
        <w:tc>
          <w:tcPr>
            <w:tcW w:w="8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482"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50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100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18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5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19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其他</w:t>
            </w:r>
          </w:p>
        </w:tc>
        <w:tc>
          <w:tcPr>
            <w:tcW w:w="8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w:t>
            </w:r>
          </w:p>
        </w:tc>
        <w:tc>
          <w:tcPr>
            <w:tcW w:w="1482"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三、目标完成情况</w:t>
            </w:r>
          </w:p>
        </w:tc>
        <w:tc>
          <w:tcPr>
            <w:tcW w:w="4083" w:type="dxa"/>
            <w:gridSpan w:val="5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年度预期目标</w:t>
            </w:r>
          </w:p>
        </w:tc>
        <w:tc>
          <w:tcPr>
            <w:tcW w:w="2480"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具体完成情况</w:t>
            </w:r>
          </w:p>
        </w:tc>
        <w:tc>
          <w:tcPr>
            <w:tcW w:w="14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83" w:type="dxa"/>
            <w:gridSpan w:val="5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主要通过开展一对一入企业服务的形式，深度赋能企业发展，进一步提高企业经营管理水平。</w:t>
            </w:r>
          </w:p>
        </w:tc>
        <w:tc>
          <w:tcPr>
            <w:tcW w:w="2480" w:type="dxa"/>
            <w:gridSpan w:val="3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入企服务177家次，完成年度任务目标。</w:t>
            </w:r>
          </w:p>
        </w:tc>
        <w:tc>
          <w:tcPr>
            <w:tcW w:w="1482"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83" w:type="dxa"/>
            <w:gridSpan w:val="5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0" w:type="dxa"/>
            <w:gridSpan w:val="3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2"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4083" w:type="dxa"/>
            <w:gridSpan w:val="5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2480" w:type="dxa"/>
            <w:gridSpan w:val="3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482"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四、 年度绩效指标完成情况</w:t>
            </w:r>
          </w:p>
        </w:tc>
        <w:tc>
          <w:tcPr>
            <w:tcW w:w="131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一级指标</w:t>
            </w:r>
          </w:p>
        </w:tc>
        <w:tc>
          <w:tcPr>
            <w:tcW w:w="104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二级指标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三级指标</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预期指标值</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实际完成值</w:t>
            </w:r>
          </w:p>
        </w:tc>
        <w:tc>
          <w:tcPr>
            <w:tcW w:w="1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4"/>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产出指标（40）</w:t>
            </w:r>
          </w:p>
        </w:tc>
        <w:tc>
          <w:tcPr>
            <w:tcW w:w="1040" w:type="dxa"/>
            <w:gridSpan w:val="1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数量指标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一对一入企业服务数量</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≥100家</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177家</w:t>
            </w:r>
          </w:p>
        </w:tc>
        <w:tc>
          <w:tcPr>
            <w:tcW w:w="1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4"/>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4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质量指标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实际服务企业与计划服务企业数量之比</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≥95%</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4"/>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4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时效指标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资金拨付时限</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2025年12月底</w:t>
            </w:r>
          </w:p>
        </w:tc>
        <w:tc>
          <w:tcPr>
            <w:tcW w:w="1000" w:type="dxa"/>
            <w:gridSpan w:val="5"/>
            <w:tcBorders>
              <w:top w:val="nil"/>
              <w:left w:val="nil"/>
              <w:bottom w:val="nil"/>
              <w:right w:val="single" w:color="000000" w:sz="4" w:space="0"/>
            </w:tcBorders>
            <w:shd w:val="clear" w:color="auto" w:fill="auto"/>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4"/>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04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成本指标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服务每家企业平均成本</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≤2万</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0.5万元</w:t>
            </w:r>
          </w:p>
        </w:tc>
        <w:tc>
          <w:tcPr>
            <w:tcW w:w="1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720"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预算执行率指标（10分）</w:t>
            </w:r>
          </w:p>
        </w:tc>
        <w:tc>
          <w:tcPr>
            <w:tcW w:w="1040" w:type="dxa"/>
            <w:gridSpan w:val="16"/>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预算执行率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资金支付进度</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720"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4"/>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效益指标（40）</w:t>
            </w:r>
          </w:p>
        </w:tc>
        <w:tc>
          <w:tcPr>
            <w:tcW w:w="1040" w:type="dxa"/>
            <w:gridSpan w:val="1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社会效益指标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优化中小企业发展环境</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进一步提升企业经营管理水平</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进一步提升企业经营管理水平</w:t>
            </w:r>
          </w:p>
        </w:tc>
        <w:tc>
          <w:tcPr>
            <w:tcW w:w="1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720"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131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（10分）</w:t>
            </w:r>
          </w:p>
        </w:tc>
        <w:tc>
          <w:tcPr>
            <w:tcW w:w="1040" w:type="dxa"/>
            <w:gridSpan w:val="1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满意度指标</w:t>
            </w:r>
          </w:p>
        </w:tc>
        <w:tc>
          <w:tcPr>
            <w:tcW w:w="2084"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服务对象满意度调查</w:t>
            </w:r>
          </w:p>
        </w:tc>
        <w:tc>
          <w:tcPr>
            <w:tcW w:w="1291"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≥90%</w:t>
            </w:r>
          </w:p>
        </w:tc>
        <w:tc>
          <w:tcPr>
            <w:tcW w:w="13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c>
          <w:tcPr>
            <w:tcW w:w="1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288" w:hRule="atLeast"/>
        </w:trPr>
        <w:tc>
          <w:tcPr>
            <w:tcW w:w="1393" w:type="dxa"/>
            <w:gridSpan w:val="5"/>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Theme="minorEastAsia" w:hAnsiTheme="minorEastAsia" w:eastAsiaTheme="minorEastAsia" w:cstheme="minorEastAsia"/>
                <w:i w:val="0"/>
                <w:iCs w:val="0"/>
                <w:color w:val="000000"/>
                <w:sz w:val="20"/>
                <w:szCs w:val="20"/>
                <w:u w:val="none"/>
              </w:rPr>
            </w:pPr>
          </w:p>
        </w:tc>
        <w:tc>
          <w:tcPr>
            <w:tcW w:w="6563" w:type="dxa"/>
            <w:gridSpan w:val="9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总分</w:t>
            </w:r>
          </w:p>
        </w:tc>
        <w:tc>
          <w:tcPr>
            <w:tcW w:w="14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3"/>
          <w:gridAfter w:val="4"/>
          <w:wBefore w:w="314" w:type="dxa"/>
          <w:wAfter w:w="841" w:type="dxa"/>
          <w:trHeight w:val="588" w:hRule="atLeast"/>
        </w:trPr>
        <w:tc>
          <w:tcPr>
            <w:tcW w:w="1393" w:type="dxa"/>
            <w:gridSpan w:val="5"/>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五、 存在问题、原因及下一步整改措施</w:t>
            </w:r>
          </w:p>
        </w:tc>
        <w:tc>
          <w:tcPr>
            <w:tcW w:w="8045" w:type="dxa"/>
            <w:gridSpan w:val="10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0"/>
                <w:szCs w:val="20"/>
                <w:u w:val="none"/>
              </w:rPr>
            </w:pPr>
            <w:r>
              <w:rPr>
                <w:rFonts w:hint="eastAsia" w:asciiTheme="minorEastAsia" w:hAnsiTheme="minorEastAsia" w:eastAsiaTheme="minorEastAsia" w:cstheme="minorEastAsia"/>
                <w:i w:val="0"/>
                <w:iCs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本年度我</w:t>
      </w:r>
      <w:r>
        <w:rPr>
          <w:rFonts w:hint="eastAsia" w:ascii="Times New Roman" w:eastAsia="仿宋_GB2312"/>
          <w:b w:val="0"/>
          <w:sz w:val="32"/>
          <w:szCs w:val="32"/>
          <w:lang w:eastAsia="zh-CN"/>
        </w:rPr>
        <w:t>单位</w:t>
      </w:r>
      <w:r>
        <w:rPr>
          <w:rFonts w:ascii="Times New Roman" w:eastAsia="仿宋_GB2312"/>
          <w:b w:val="0"/>
          <w:sz w:val="32"/>
          <w:szCs w:val="32"/>
        </w:rPr>
        <w:t>无财政评价项目。</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2025年度政府性基金预算财政拨款收入支出决算表（公开07表）、国有资本经营预算财政拨款支出决算表（公开08表）无相应收支，故空表列示。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bookmarkStart w:id="0" w:name="_GoBack"/>
      <w:bookmarkEnd w:id="0"/>
      <w:r>
        <w:rPr>
          <w:rFonts w:ascii="Times New Roman" w:eastAsia="仿宋_GB2312"/>
          <w:b w:val="0"/>
          <w:sz w:val="32"/>
          <w:szCs w:val="32"/>
        </w:rPr>
        <w:t>部门取得的财政预算资金。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2" w:firstLineChars="200"/>
        <w:jc w:val="left"/>
        <w:textAlignment w:val="auto"/>
        <w:outlineLvl w:val="9"/>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2" w:firstLineChars="200"/>
        <w:jc w:val="left"/>
        <w:textAlignment w:val="auto"/>
        <w:outlineLvl w:val="9"/>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十四、</w:t>
      </w:r>
      <w:r>
        <w:rPr>
          <w:rFonts w:hint="eastAsia" w:ascii="Times New Roman" w:eastAsia="仿宋_GB2312"/>
          <w:b/>
          <w:sz w:val="32"/>
          <w:szCs w:val="32"/>
        </w:rPr>
        <w:t>“三公”</w:t>
      </w:r>
      <w:r>
        <w:rPr>
          <w:rFonts w:ascii="Times New Roman" w:eastAsia="仿宋_GB2312"/>
          <w:b/>
          <w:sz w:val="32"/>
          <w:szCs w:val="32"/>
        </w:rPr>
        <w:t>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headerReference r:id="rId8" w:type="default"/>
      <w:footerReference r:id="rId9" w:type="default"/>
      <w:pgSz w:w="11906" w:h="16838"/>
      <w:pgMar w:top="2098" w:right="1417" w:bottom="1871" w:left="1417" w:header="851" w:footer="992" w:gutter="0"/>
      <w:pgBorders>
        <w:top w:val="none" w:sz="0" w:space="0"/>
        <w:left w:val="none" w:sz="0" w:space="0"/>
        <w:bottom w:val="none" w:sz="0" w:space="0"/>
        <w:right w:val="none" w:sz="0" w:space="0"/>
      </w:pgBorders>
      <w:pgNumType w:fmt="numberInDash" w:start="1"/>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4"/>
      <w:lvlText w:val="%1."/>
      <w:lvlJc w:val="left"/>
      <w:pPr>
        <w:ind w:left="425" w:hanging="425"/>
      </w:pPr>
      <w:rPr>
        <w:rFonts w:hint="default"/>
      </w:rPr>
    </w:lvl>
    <w:lvl w:ilvl="1" w:tentative="0">
      <w:start w:val="1"/>
      <w:numFmt w:val="decimal"/>
      <w:pStyle w:val="5"/>
      <w:lvlText w:val="%1.%2."/>
      <w:lvlJc w:val="left"/>
      <w:pPr>
        <w:ind w:left="567" w:hanging="567"/>
      </w:pPr>
      <w:rPr>
        <w:rFonts w:hint="default"/>
      </w:rPr>
    </w:lvl>
    <w:lvl w:ilvl="2" w:tentative="0">
      <w:start w:val="1"/>
      <w:numFmt w:val="decimal"/>
      <w:pStyle w:val="6"/>
      <w:lvlText w:val="%1.%2.%3."/>
      <w:lvlJc w:val="left"/>
      <w:pPr>
        <w:ind w:left="709" w:hanging="709"/>
      </w:pPr>
      <w:rPr>
        <w:rFonts w:hint="default"/>
      </w:rPr>
    </w:lvl>
    <w:lvl w:ilvl="3" w:tentative="0">
      <w:start w:val="1"/>
      <w:numFmt w:val="decimal"/>
      <w:pStyle w:val="7"/>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5B0E66"/>
    <w:rsid w:val="00822154"/>
    <w:rsid w:val="00C65689"/>
    <w:rsid w:val="00CC2C8E"/>
    <w:rsid w:val="010A64DB"/>
    <w:rsid w:val="0179546C"/>
    <w:rsid w:val="01A03C5A"/>
    <w:rsid w:val="01A5267D"/>
    <w:rsid w:val="01A81D45"/>
    <w:rsid w:val="01AE3368"/>
    <w:rsid w:val="01AF6A8D"/>
    <w:rsid w:val="024808A2"/>
    <w:rsid w:val="025C3821"/>
    <w:rsid w:val="02DA3B1B"/>
    <w:rsid w:val="02E57B4D"/>
    <w:rsid w:val="03450B90"/>
    <w:rsid w:val="037B12D4"/>
    <w:rsid w:val="03804D63"/>
    <w:rsid w:val="03F5128D"/>
    <w:rsid w:val="03FB73B0"/>
    <w:rsid w:val="04466E6C"/>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CB93FF"/>
    <w:rsid w:val="0F0E7284"/>
    <w:rsid w:val="0F28110F"/>
    <w:rsid w:val="0F37083F"/>
    <w:rsid w:val="0F4351D1"/>
    <w:rsid w:val="0F7470AF"/>
    <w:rsid w:val="0F8751F8"/>
    <w:rsid w:val="0F891DB8"/>
    <w:rsid w:val="0F8D3287"/>
    <w:rsid w:val="0FAA3B86"/>
    <w:rsid w:val="0FD33D67"/>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584322"/>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BAB5C"/>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BD7049"/>
    <w:rsid w:val="1ED22D79"/>
    <w:rsid w:val="1EDF707D"/>
    <w:rsid w:val="1F394761"/>
    <w:rsid w:val="1F65664C"/>
    <w:rsid w:val="1F7C149A"/>
    <w:rsid w:val="1F84140D"/>
    <w:rsid w:val="1F9B7FFD"/>
    <w:rsid w:val="1F9C7614"/>
    <w:rsid w:val="1FBE1971"/>
    <w:rsid w:val="1FFF0AEF"/>
    <w:rsid w:val="2008768D"/>
    <w:rsid w:val="204B327F"/>
    <w:rsid w:val="204C2B10"/>
    <w:rsid w:val="207D30AD"/>
    <w:rsid w:val="209064B9"/>
    <w:rsid w:val="20970D81"/>
    <w:rsid w:val="20C22F58"/>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083C94"/>
    <w:rsid w:val="232C221B"/>
    <w:rsid w:val="2356249E"/>
    <w:rsid w:val="236E713A"/>
    <w:rsid w:val="23700968"/>
    <w:rsid w:val="238761A6"/>
    <w:rsid w:val="238F2973"/>
    <w:rsid w:val="23920578"/>
    <w:rsid w:val="23BB6F9A"/>
    <w:rsid w:val="23FC3864"/>
    <w:rsid w:val="24344FFE"/>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53A59"/>
    <w:rsid w:val="26661BB3"/>
    <w:rsid w:val="26773DC1"/>
    <w:rsid w:val="26D50E55"/>
    <w:rsid w:val="271A539C"/>
    <w:rsid w:val="273823FA"/>
    <w:rsid w:val="274972D4"/>
    <w:rsid w:val="27AA3D97"/>
    <w:rsid w:val="280A3758"/>
    <w:rsid w:val="28292E99"/>
    <w:rsid w:val="28390CF1"/>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EA1D3D"/>
    <w:rsid w:val="2EEE5120"/>
    <w:rsid w:val="2EFC0112"/>
    <w:rsid w:val="2F0F45A5"/>
    <w:rsid w:val="2F0F6197"/>
    <w:rsid w:val="2F2B730D"/>
    <w:rsid w:val="2F6A001E"/>
    <w:rsid w:val="2F9F3DC1"/>
    <w:rsid w:val="2FFC7AC2"/>
    <w:rsid w:val="301430AF"/>
    <w:rsid w:val="304D72A6"/>
    <w:rsid w:val="30630612"/>
    <w:rsid w:val="308E59B0"/>
    <w:rsid w:val="30B10568"/>
    <w:rsid w:val="30E070F0"/>
    <w:rsid w:val="30E55DD3"/>
    <w:rsid w:val="30E60399"/>
    <w:rsid w:val="31356AA5"/>
    <w:rsid w:val="313D580D"/>
    <w:rsid w:val="313E22F0"/>
    <w:rsid w:val="31B0194C"/>
    <w:rsid w:val="31CE17D1"/>
    <w:rsid w:val="31FD161E"/>
    <w:rsid w:val="31FD3AD3"/>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4F04F2C"/>
    <w:rsid w:val="35144B80"/>
    <w:rsid w:val="35277FF8"/>
    <w:rsid w:val="35763460"/>
    <w:rsid w:val="35776F72"/>
    <w:rsid w:val="35997371"/>
    <w:rsid w:val="35BC359E"/>
    <w:rsid w:val="35DA3A24"/>
    <w:rsid w:val="35DD4D47"/>
    <w:rsid w:val="35FB1A57"/>
    <w:rsid w:val="360134DF"/>
    <w:rsid w:val="360B1E2F"/>
    <w:rsid w:val="360D500F"/>
    <w:rsid w:val="36330424"/>
    <w:rsid w:val="36FE3ABA"/>
    <w:rsid w:val="37072BDE"/>
    <w:rsid w:val="37455334"/>
    <w:rsid w:val="37527C32"/>
    <w:rsid w:val="37731921"/>
    <w:rsid w:val="37E509C0"/>
    <w:rsid w:val="37E96FB8"/>
    <w:rsid w:val="37F72DCE"/>
    <w:rsid w:val="38222D85"/>
    <w:rsid w:val="38767A34"/>
    <w:rsid w:val="38803721"/>
    <w:rsid w:val="38925A62"/>
    <w:rsid w:val="389F5F4F"/>
    <w:rsid w:val="38C36BA2"/>
    <w:rsid w:val="38D34E55"/>
    <w:rsid w:val="38E11CEF"/>
    <w:rsid w:val="38F6595C"/>
    <w:rsid w:val="391702A7"/>
    <w:rsid w:val="39286EB6"/>
    <w:rsid w:val="39601DF4"/>
    <w:rsid w:val="396960F3"/>
    <w:rsid w:val="396E2A50"/>
    <w:rsid w:val="39840D35"/>
    <w:rsid w:val="39A97DAF"/>
    <w:rsid w:val="39AB229D"/>
    <w:rsid w:val="39BF365D"/>
    <w:rsid w:val="39CD1330"/>
    <w:rsid w:val="39DD1AFF"/>
    <w:rsid w:val="39E605A8"/>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BD762EB"/>
    <w:rsid w:val="3C14299D"/>
    <w:rsid w:val="3C6C0B58"/>
    <w:rsid w:val="3C945583"/>
    <w:rsid w:val="3CBE41D5"/>
    <w:rsid w:val="3D446B0E"/>
    <w:rsid w:val="3D745844"/>
    <w:rsid w:val="3D8626D0"/>
    <w:rsid w:val="3D8C1AA8"/>
    <w:rsid w:val="3D953A6B"/>
    <w:rsid w:val="3DBB5979"/>
    <w:rsid w:val="3DD56F21"/>
    <w:rsid w:val="3DEF6699"/>
    <w:rsid w:val="3E1057AF"/>
    <w:rsid w:val="3E5FDFA5"/>
    <w:rsid w:val="3E6C0DFA"/>
    <w:rsid w:val="3E70ECF8"/>
    <w:rsid w:val="3E740322"/>
    <w:rsid w:val="3E7F4380"/>
    <w:rsid w:val="3E8D171B"/>
    <w:rsid w:val="3EA5630D"/>
    <w:rsid w:val="3EBA731B"/>
    <w:rsid w:val="3EE33949"/>
    <w:rsid w:val="3EFB5800"/>
    <w:rsid w:val="3F3B4E59"/>
    <w:rsid w:val="3F6E677C"/>
    <w:rsid w:val="3F712F46"/>
    <w:rsid w:val="3FBC0EF7"/>
    <w:rsid w:val="3FBFBE94"/>
    <w:rsid w:val="3FCD2AB9"/>
    <w:rsid w:val="3FCD4B44"/>
    <w:rsid w:val="3FD17600"/>
    <w:rsid w:val="3FDF30DD"/>
    <w:rsid w:val="3FFC422D"/>
    <w:rsid w:val="3FFF0C57"/>
    <w:rsid w:val="3FFF293E"/>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0A6781"/>
    <w:rsid w:val="44223AB6"/>
    <w:rsid w:val="44404C8E"/>
    <w:rsid w:val="447537F1"/>
    <w:rsid w:val="44870D07"/>
    <w:rsid w:val="44D33826"/>
    <w:rsid w:val="44DF5258"/>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883184"/>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EA34C2"/>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0753D9"/>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9F74E27"/>
    <w:rsid w:val="5A001BC6"/>
    <w:rsid w:val="5A09263D"/>
    <w:rsid w:val="5A1D5B0A"/>
    <w:rsid w:val="5A2447F3"/>
    <w:rsid w:val="5A3B4B4E"/>
    <w:rsid w:val="5A4804CA"/>
    <w:rsid w:val="5A594C85"/>
    <w:rsid w:val="5A8842AA"/>
    <w:rsid w:val="5AEB1E3C"/>
    <w:rsid w:val="5B1117C5"/>
    <w:rsid w:val="5B2507CA"/>
    <w:rsid w:val="5B2A474A"/>
    <w:rsid w:val="5B2D237E"/>
    <w:rsid w:val="5B612747"/>
    <w:rsid w:val="5B830730"/>
    <w:rsid w:val="5BBB2DD6"/>
    <w:rsid w:val="5BD6009C"/>
    <w:rsid w:val="5BE263B6"/>
    <w:rsid w:val="5BF77C6D"/>
    <w:rsid w:val="5C8E5C5A"/>
    <w:rsid w:val="5C965E61"/>
    <w:rsid w:val="5CD839BA"/>
    <w:rsid w:val="5CF0089C"/>
    <w:rsid w:val="5CF5796F"/>
    <w:rsid w:val="5CFA604D"/>
    <w:rsid w:val="5D242A11"/>
    <w:rsid w:val="5D9217C2"/>
    <w:rsid w:val="5DAD06BF"/>
    <w:rsid w:val="5DC92CE9"/>
    <w:rsid w:val="5DE23CB3"/>
    <w:rsid w:val="5DE97EEC"/>
    <w:rsid w:val="5DFA5EB0"/>
    <w:rsid w:val="5DFE31E1"/>
    <w:rsid w:val="5E000E4D"/>
    <w:rsid w:val="5E0B583E"/>
    <w:rsid w:val="5E201A7B"/>
    <w:rsid w:val="5EA45884"/>
    <w:rsid w:val="5EBD0484"/>
    <w:rsid w:val="5EFCDAE1"/>
    <w:rsid w:val="5F2C5C7C"/>
    <w:rsid w:val="5F36141C"/>
    <w:rsid w:val="5FC5273F"/>
    <w:rsid w:val="5FD64459"/>
    <w:rsid w:val="5FDF23C3"/>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5FB7C1B"/>
    <w:rsid w:val="663E1DBA"/>
    <w:rsid w:val="665D0213"/>
    <w:rsid w:val="6673F902"/>
    <w:rsid w:val="668506C7"/>
    <w:rsid w:val="669E59F1"/>
    <w:rsid w:val="66A2024B"/>
    <w:rsid w:val="66CB5E2D"/>
    <w:rsid w:val="6704732B"/>
    <w:rsid w:val="670F6731"/>
    <w:rsid w:val="67585CB0"/>
    <w:rsid w:val="67770F0C"/>
    <w:rsid w:val="679E649A"/>
    <w:rsid w:val="67B03535"/>
    <w:rsid w:val="67FA0864"/>
    <w:rsid w:val="68174F69"/>
    <w:rsid w:val="682C436A"/>
    <w:rsid w:val="68382778"/>
    <w:rsid w:val="68391F41"/>
    <w:rsid w:val="68436B8C"/>
    <w:rsid w:val="68797358"/>
    <w:rsid w:val="6884624F"/>
    <w:rsid w:val="68A519DF"/>
    <w:rsid w:val="68BF2482"/>
    <w:rsid w:val="68C4160B"/>
    <w:rsid w:val="68C41C30"/>
    <w:rsid w:val="68CF3BA4"/>
    <w:rsid w:val="69257FA7"/>
    <w:rsid w:val="69344437"/>
    <w:rsid w:val="693F26C7"/>
    <w:rsid w:val="697E12B2"/>
    <w:rsid w:val="69C8706D"/>
    <w:rsid w:val="6A0E3FB4"/>
    <w:rsid w:val="6A292754"/>
    <w:rsid w:val="6A5E3B28"/>
    <w:rsid w:val="6A6B1EBE"/>
    <w:rsid w:val="6A8F43F7"/>
    <w:rsid w:val="6AD625F3"/>
    <w:rsid w:val="6AFFADA7"/>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B7DF70"/>
    <w:rsid w:val="6EEAADB9"/>
    <w:rsid w:val="6EEB4AC4"/>
    <w:rsid w:val="6F212DD6"/>
    <w:rsid w:val="6F3B5912"/>
    <w:rsid w:val="6F538780"/>
    <w:rsid w:val="6FA14A81"/>
    <w:rsid w:val="6FA3261F"/>
    <w:rsid w:val="6FB44BAA"/>
    <w:rsid w:val="6FD92514"/>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5FE9AE"/>
    <w:rsid w:val="73614EAA"/>
    <w:rsid w:val="73617E1B"/>
    <w:rsid w:val="736D7653"/>
    <w:rsid w:val="738035CB"/>
    <w:rsid w:val="73852C46"/>
    <w:rsid w:val="7396335C"/>
    <w:rsid w:val="739E684F"/>
    <w:rsid w:val="73F46595"/>
    <w:rsid w:val="73F47FAE"/>
    <w:rsid w:val="74283FA2"/>
    <w:rsid w:val="742C135B"/>
    <w:rsid w:val="74463733"/>
    <w:rsid w:val="748A2F40"/>
    <w:rsid w:val="74BBB1CD"/>
    <w:rsid w:val="74D84FF7"/>
    <w:rsid w:val="74F85778"/>
    <w:rsid w:val="75272439"/>
    <w:rsid w:val="758F1E9B"/>
    <w:rsid w:val="75CE266B"/>
    <w:rsid w:val="75E538F2"/>
    <w:rsid w:val="75FEE240"/>
    <w:rsid w:val="76120141"/>
    <w:rsid w:val="76510960"/>
    <w:rsid w:val="768216BE"/>
    <w:rsid w:val="76C23B43"/>
    <w:rsid w:val="76FD6F97"/>
    <w:rsid w:val="770218E8"/>
    <w:rsid w:val="773340E9"/>
    <w:rsid w:val="779469CE"/>
    <w:rsid w:val="77C875A5"/>
    <w:rsid w:val="77D777E8"/>
    <w:rsid w:val="78A27DF6"/>
    <w:rsid w:val="79285B3A"/>
    <w:rsid w:val="79490B03"/>
    <w:rsid w:val="79625CA9"/>
    <w:rsid w:val="79A91196"/>
    <w:rsid w:val="7A0B32D3"/>
    <w:rsid w:val="7AC13CD3"/>
    <w:rsid w:val="7ACE65F1"/>
    <w:rsid w:val="7AE10264"/>
    <w:rsid w:val="7AE4248E"/>
    <w:rsid w:val="7B2E52E3"/>
    <w:rsid w:val="7B4A207F"/>
    <w:rsid w:val="7B7122A7"/>
    <w:rsid w:val="7B936F45"/>
    <w:rsid w:val="7BA47419"/>
    <w:rsid w:val="7BB10D45"/>
    <w:rsid w:val="7BB44151"/>
    <w:rsid w:val="7C067CC4"/>
    <w:rsid w:val="7C656A39"/>
    <w:rsid w:val="7CAE7D7C"/>
    <w:rsid w:val="7CB93996"/>
    <w:rsid w:val="7CBE0F99"/>
    <w:rsid w:val="7D4E45F1"/>
    <w:rsid w:val="7DEDF21C"/>
    <w:rsid w:val="7DFB6D82"/>
    <w:rsid w:val="7E1D71D1"/>
    <w:rsid w:val="7E246254"/>
    <w:rsid w:val="7E553215"/>
    <w:rsid w:val="7E6D090F"/>
    <w:rsid w:val="7E77F40A"/>
    <w:rsid w:val="7E7E2263"/>
    <w:rsid w:val="7ECC66B2"/>
    <w:rsid w:val="7ED7E65A"/>
    <w:rsid w:val="7EDFDFAB"/>
    <w:rsid w:val="7EFDB721"/>
    <w:rsid w:val="7EFE3D92"/>
    <w:rsid w:val="7F2914C3"/>
    <w:rsid w:val="7F5F2ED6"/>
    <w:rsid w:val="7F73C362"/>
    <w:rsid w:val="7FA837EF"/>
    <w:rsid w:val="7FB96827"/>
    <w:rsid w:val="7FBA7AA3"/>
    <w:rsid w:val="7FBF1DF3"/>
    <w:rsid w:val="7FC36955"/>
    <w:rsid w:val="7FE308F5"/>
    <w:rsid w:val="7FE903A0"/>
    <w:rsid w:val="7FF07065"/>
    <w:rsid w:val="7FF72148"/>
    <w:rsid w:val="7FF97946"/>
    <w:rsid w:val="7FFE7888"/>
    <w:rsid w:val="9BB4FDBC"/>
    <w:rsid w:val="9FB3F696"/>
    <w:rsid w:val="9FFB8567"/>
    <w:rsid w:val="ADFD58E2"/>
    <w:rsid w:val="B5FFD30A"/>
    <w:rsid w:val="B7DBC2A3"/>
    <w:rsid w:val="B9DF11FF"/>
    <w:rsid w:val="BB1D95E8"/>
    <w:rsid w:val="BD5F9E2E"/>
    <w:rsid w:val="BEBD9792"/>
    <w:rsid w:val="BFFB4BA9"/>
    <w:rsid w:val="CEFDF9DB"/>
    <w:rsid w:val="D0FA67BF"/>
    <w:rsid w:val="DD5D397C"/>
    <w:rsid w:val="DEF3ED57"/>
    <w:rsid w:val="DFDD7E66"/>
    <w:rsid w:val="E5FFA110"/>
    <w:rsid w:val="E60F1ACA"/>
    <w:rsid w:val="E65FA22B"/>
    <w:rsid w:val="EF75C7BD"/>
    <w:rsid w:val="F0F609C4"/>
    <w:rsid w:val="F53BCD5B"/>
    <w:rsid w:val="F6F5C1E5"/>
    <w:rsid w:val="F77DE1C3"/>
    <w:rsid w:val="F7ADDA0A"/>
    <w:rsid w:val="F7BFE23B"/>
    <w:rsid w:val="F7EC5F65"/>
    <w:rsid w:val="F7F58BD0"/>
    <w:rsid w:val="FAFE6740"/>
    <w:rsid w:val="FB26EC07"/>
    <w:rsid w:val="FB5FC904"/>
    <w:rsid w:val="FB7FBC4E"/>
    <w:rsid w:val="FBADFD34"/>
    <w:rsid w:val="FDBC948A"/>
    <w:rsid w:val="FDBFFF07"/>
    <w:rsid w:val="FDDBEE79"/>
    <w:rsid w:val="FDF4719E"/>
    <w:rsid w:val="FF3F22D6"/>
    <w:rsid w:val="FF6681DC"/>
    <w:rsid w:val="FF7FD409"/>
    <w:rsid w:val="FF7FF3C3"/>
    <w:rsid w:val="FFB8C94B"/>
    <w:rsid w:val="FFE68EB7"/>
    <w:rsid w:val="FFE77476"/>
    <w:rsid w:val="FFEF7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4">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5">
    <w:name w:val="heading 2"/>
    <w:basedOn w:val="1"/>
    <w:next w:val="1"/>
    <w:link w:val="17"/>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6">
    <w:name w:val="heading 3"/>
    <w:basedOn w:val="1"/>
    <w:next w:val="1"/>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7">
    <w:name w:val="heading 4"/>
    <w:basedOn w:val="1"/>
    <w:next w:val="1"/>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Body Text First Indent 21"/>
    <w:basedOn w:val="3"/>
    <w:qFormat/>
    <w:uiPriority w:val="99"/>
    <w:pPr>
      <w:ind w:firstLine="420"/>
    </w:pPr>
  </w:style>
  <w:style w:type="paragraph" w:customStyle="1" w:styleId="3">
    <w:name w:val="Body Text Indent1"/>
    <w:basedOn w:val="1"/>
    <w:qFormat/>
    <w:uiPriority w:val="99"/>
    <w:pPr>
      <w:spacing w:line="360" w:lineRule="auto"/>
      <w:ind w:firstLine="200" w:firstLineChars="200"/>
      <w:textAlignment w:val="baseline"/>
    </w:pPr>
    <w:rPr>
      <w:sz w:val="24"/>
      <w:szCs w:val="24"/>
    </w:rPr>
  </w:style>
  <w:style w:type="paragraph" w:styleId="8">
    <w:name w:val="annotation text"/>
    <w:basedOn w:val="1"/>
    <w:unhideWhenUsed/>
    <w:qFormat/>
    <w:uiPriority w:val="99"/>
    <w:pPr>
      <w:jc w:val="left"/>
    </w:pPr>
  </w:style>
  <w:style w:type="paragraph" w:styleId="9">
    <w:name w:val="Balloon Text"/>
    <w:basedOn w:val="1"/>
    <w:link w:val="26"/>
    <w:unhideWhenUsed/>
    <w:qFormat/>
    <w:uiPriority w:val="99"/>
    <w:rPr>
      <w:rFonts w:cstheme="minorBidi"/>
      <w:kern w:val="2"/>
      <w:sz w:val="18"/>
      <w:szCs w:val="18"/>
    </w:rPr>
  </w:style>
  <w:style w:type="paragraph" w:styleId="10">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1">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2">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5"/>
    <w:qFormat/>
    <w:uiPriority w:val="0"/>
    <w:rPr>
      <w:rFonts w:ascii="Calibri Light" w:hAnsi="Calibri Light" w:eastAsia="宋体" w:cs="Times New Roman"/>
      <w:b/>
      <w:bCs/>
      <w:sz w:val="28"/>
      <w:szCs w:val="32"/>
    </w:rPr>
  </w:style>
  <w:style w:type="character" w:customStyle="1" w:styleId="18">
    <w:name w:val="页脚 Char"/>
    <w:basedOn w:val="15"/>
    <w:link w:val="10"/>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1"/>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9"/>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 w:type="character" w:customStyle="1" w:styleId="29">
    <w:name w:val="font71"/>
    <w:basedOn w:val="15"/>
    <w:qFormat/>
    <w:uiPriority w:val="0"/>
    <w:rPr>
      <w:rFonts w:ascii="Calibri" w:hAnsi="Calibri" w:cs="Calibri"/>
      <w:color w:val="000000"/>
      <w:sz w:val="20"/>
      <w:szCs w:val="20"/>
      <w:u w:val="none"/>
    </w:rPr>
  </w:style>
  <w:style w:type="character" w:customStyle="1" w:styleId="30">
    <w:name w:val="font81"/>
    <w:basedOn w:val="15"/>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15703.63</c:v>
                </c:pt>
                <c:pt idx="1">
                  <c:v>11749.58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143036325.09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49358594.13</c:v>
                </c:pt>
                <c:pt idx="1">
                  <c:v>93677730.96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7705.22</c:v>
                </c:pt>
                <c:pt idx="1">
                  <c:v>7705.22</c:v>
                </c:pt>
                <c:pt idx="2">
                  <c:v>7705.22</c:v>
                </c:pt>
                <c:pt idx="3">
                  <c:v>7705.22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14303.63</c:v>
                </c:pt>
                <c:pt idx="1">
                  <c:v>14303.63</c:v>
                </c:pt>
                <c:pt idx="2">
                  <c:v>14303.63</c:v>
                </c:pt>
                <c:pt idx="3">
                  <c:v>14303.63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6895.97</c:v>
                </c:pt>
                <c:pt idx="1">
                  <c:v>6895.97</c:v>
                </c:pt>
                <c:pt idx="2">
                  <c:v>6895.97</c:v>
                </c:pt>
                <c:pt idx="3">
                  <c:v>6895.97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14303.63</c:v>
                </c:pt>
                <c:pt idx="1">
                  <c:v>14303.63</c:v>
                </c:pt>
                <c:pt idx="2">
                  <c:v>14303.63</c:v>
                </c:pt>
                <c:pt idx="3">
                  <c:v>14303.63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1660</Words>
  <Characters>6225</Characters>
  <Lines>86</Lines>
  <Paragraphs>24</Paragraphs>
  <TotalTime>5</TotalTime>
  <ScaleCrop>false</ScaleCrop>
  <LinksUpToDate>false</LinksUpToDate>
  <CharactersWithSpaces>6550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2023-08-06T23:55:00Z</dcterms:created>
  <dc:creator>王明新TIAD</dc:creator>
  <cp:lastModifiedBy>uos</cp:lastModifiedBy>
  <cp:lastPrinted>2023-08-06T17:00:00Z</cp:lastPrinted>
  <dcterms:modified xsi:type="dcterms:W3CDTF">2026-08-31T08:50:13Z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