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2336" behindDoc="1" locked="0" layoutInCell="1" allowOverlap="1">
            <wp:simplePos x="0" y="0"/>
            <wp:positionH relativeFrom="column">
              <wp:posOffset>-887730</wp:posOffset>
            </wp:positionH>
            <wp:positionV relativeFrom="page">
              <wp:posOffset>-210820</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1"/>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部门</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60288;mso-width-relative:page;mso-height-relative:page;" filled="f" stroked="f" coordsize="21600,21600" o:gfxdata="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JcrJzTXAAAACgEAAA8AAAAAAAAAAQAgAAAA&#10;OAAAAGRycy9kb3ducmV2LnhtbFBLAQIUABQAAAAIAIdO4kCjWvfx9gEAAM4DAAAOAAAAAAAAAAEA&#10;IAAAADwBAABkcnMvZTJvRG9jLnhtbFBLBQYAAAAABgAGAFkBAACkBQAAAAA=&#10;">
                <v:fill on="f" focussize="0,0"/>
                <v:stroke on="f"/>
                <v:imagedata o:title=""/>
                <o:lock v:ext="edit" aspectratio="f"/>
                <v:textbox>
                  <w:txbxContent>
                    <w:p>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部门</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石家庄市工业和信息化局</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471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pacing w:val="-20"/>
          <w:sz w:val="72"/>
          <w:szCs w:val="72"/>
        </w:rPr>
      </w:pPr>
      <w:r>
        <w:rPr>
          <w:rFonts w:ascii="Times New Roman" w:eastAsia="方正小标宋_GBK"/>
          <w:b w:val="0"/>
          <w:spacing w:val="-11"/>
          <w:sz w:val="72"/>
          <w:szCs w:val="72"/>
        </w:rPr>
        <w:t>石家庄市工业和信息化局</w:t>
      </w:r>
      <w:r>
        <w:rPr>
          <w:rFonts w:ascii="Times New Roman" w:eastAsia="仿宋_GB2312"/>
          <w:b w:val="0"/>
          <w:spacing w:val="-20"/>
          <w:sz w:val="72"/>
          <w:szCs w:val="72"/>
        </w:rPr>
        <w:t>2025</w:t>
      </w:r>
      <w:r>
        <w:rPr>
          <w:rFonts w:ascii="Times New Roman" w:eastAsia="方正小标宋_GBK"/>
          <w:b w:val="0"/>
          <w:spacing w:val="-20"/>
          <w:sz w:val="72"/>
          <w:szCs w:val="72"/>
        </w:rPr>
        <w:t>年度</w:t>
      </w:r>
      <w:r>
        <w:rPr>
          <w:rFonts w:hint="eastAsia" w:ascii="Times New Roman" w:eastAsia="方正小标宋_GBK"/>
          <w:b w:val="0"/>
          <w:spacing w:val="-20"/>
          <w:sz w:val="72"/>
          <w:szCs w:val="72"/>
          <w:lang w:eastAsia="zh-CN"/>
        </w:rPr>
        <w:t>部门</w:t>
      </w:r>
      <w:r>
        <w:rPr>
          <w:rFonts w:ascii="Times New Roman" w:eastAsia="方正小标宋_GBK"/>
          <w:b w:val="0"/>
          <w:spacing w:val="-20"/>
          <w:sz w:val="72"/>
          <w:szCs w:val="72"/>
        </w:rPr>
        <w:t>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pStyle w:val="2"/>
        <w:rPr>
          <w:rFonts w:ascii="黑体" w:hAnsi="黑体" w:eastAsia="黑体" w:cs="黑体"/>
          <w:sz w:val="56"/>
          <w:szCs w:val="72"/>
        </w:rPr>
      </w:pPr>
    </w:p>
    <w:p>
      <w:pPr>
        <w:pStyle w:val="2"/>
        <w:rPr>
          <w:rFonts w:ascii="黑体" w:hAnsi="黑体" w:eastAsia="黑体" w:cs="黑体"/>
          <w:sz w:val="56"/>
          <w:szCs w:val="72"/>
        </w:rPr>
      </w:pPr>
    </w:p>
    <w:p>
      <w:pPr>
        <w:pStyle w:val="2"/>
        <w:rPr>
          <w:rFonts w:ascii="黑体" w:hAnsi="黑体" w:eastAsia="黑体" w:cs="黑体"/>
          <w:sz w:val="56"/>
          <w:szCs w:val="72"/>
        </w:rPr>
      </w:pPr>
    </w:p>
    <w:p>
      <w:pPr>
        <w:pStyle w:val="2"/>
        <w:rPr>
          <w:rFonts w:ascii="黑体" w:hAnsi="黑体" w:eastAsia="黑体" w:cs="黑体"/>
          <w:sz w:val="56"/>
          <w:szCs w:val="72"/>
        </w:rPr>
      </w:pPr>
    </w:p>
    <w:p>
      <w:pPr>
        <w:pStyle w:val="2"/>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石家庄市工业和信息化局</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jc w:val="center"/>
        <w:textAlignment w:val="auto"/>
        <w:outlineLvl w:val="0"/>
        <w:rPr>
          <w:rFonts w:ascii="Times New Roman" w:eastAsia="黑体"/>
          <w:sz w:val="44"/>
          <w:szCs w:val="44"/>
        </w:rPr>
      </w:pPr>
      <w:r>
        <w:rPr>
          <w:rFonts w:ascii="Times New Roman" w:eastAsia="黑体"/>
          <w:b w:val="0"/>
          <w:sz w:val="44"/>
          <w:szCs w:val="44"/>
        </w:rPr>
        <w:t>目  录</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jc w:val="left"/>
        <w:textAlignment w:val="auto"/>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val="en-US" w:eastAsia="zh-CN"/>
        </w:rPr>
        <w:tab/>
      </w:r>
      <w:r>
        <w:rPr>
          <w:rFonts w:hint="eastAsia" w:ascii="Times New Roman" w:eastAsia="黑体"/>
          <w:b w:val="0"/>
          <w:sz w:val="32"/>
          <w:szCs w:val="32"/>
          <w:lang w:eastAsia="zh-CN"/>
        </w:rPr>
        <w:t>部门</w:t>
      </w:r>
      <w:r>
        <w:rPr>
          <w:rFonts w:ascii="Times New Roman" w:eastAsia="黑体"/>
          <w:b w:val="0"/>
          <w:sz w:val="32"/>
          <w:szCs w:val="32"/>
        </w:rPr>
        <w:t>概况</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eastAsia="zh-CN"/>
        </w:rPr>
        <w:t>部门</w:t>
      </w:r>
      <w:r>
        <w:rPr>
          <w:rFonts w:ascii="Times New Roman" w:eastAsia="仿宋_GB2312"/>
          <w:b w:val="0"/>
          <w:sz w:val="32"/>
          <w:szCs w:val="32"/>
        </w:rPr>
        <w:t>职责</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二、机构设置</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jc w:val="left"/>
        <w:textAlignment w:val="auto"/>
        <w:outlineLvl w:val="0"/>
        <w:rPr>
          <w:rFonts w:ascii="Times New Roman" w:eastAsia="黑体"/>
          <w:sz w:val="32"/>
          <w:szCs w:val="32"/>
        </w:rPr>
      </w:pPr>
      <w:r>
        <w:rPr>
          <w:rFonts w:ascii="Times New Roman" w:eastAsia="黑体"/>
          <w:b w:val="0"/>
          <w:sz w:val="32"/>
          <w:szCs w:val="32"/>
        </w:rPr>
        <w:t>第二部分</w:t>
      </w:r>
      <w:r>
        <w:rPr>
          <w:rFonts w:hint="eastAsia" w:ascii="Times New Roman" w:eastAsia="黑体"/>
          <w:b w:val="0"/>
          <w:sz w:val="32"/>
          <w:szCs w:val="32"/>
          <w:lang w:val="en-US" w:eastAsia="zh-CN"/>
        </w:rPr>
        <w:tab/>
      </w:r>
      <w:r>
        <w:rPr>
          <w:rFonts w:ascii="Times New Roman" w:eastAsia="黑体"/>
          <w:b w:val="0"/>
          <w:sz w:val="32"/>
          <w:szCs w:val="32"/>
        </w:rPr>
        <w:t>2025年度部门决算报表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一、收入支出决算总表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二、收入决算表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三、支出决算表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四、财政拨款收入支出决算总表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五、一般公共预算财政拨款支出决算表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六、一般公共预算财政拨款基本支出决算明细表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七、政府性基金预算财政拨款收入支出决算表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八、国有资本经营预算财政拨款支出决算表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九、财政拨款</w:t>
      </w:r>
      <w:r>
        <w:rPr>
          <w:rFonts w:hint="eastAsia" w:ascii="Times New Roman" w:eastAsia="仿宋_GB2312"/>
          <w:b w:val="0"/>
          <w:sz w:val="32"/>
          <w:szCs w:val="32"/>
        </w:rPr>
        <w:t>“三公”</w:t>
      </w:r>
      <w:r>
        <w:rPr>
          <w:rFonts w:ascii="Times New Roman" w:eastAsia="仿宋_GB2312"/>
          <w:b w:val="0"/>
          <w:sz w:val="32"/>
          <w:szCs w:val="32"/>
        </w:rPr>
        <w:t>经费支出决算表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jc w:val="left"/>
        <w:textAlignment w:val="auto"/>
        <w:rPr>
          <w:rFonts w:ascii="Times New Roman" w:eastAsia="黑体"/>
          <w:sz w:val="32"/>
          <w:szCs w:val="32"/>
        </w:rPr>
      </w:pPr>
      <w:r>
        <w:rPr>
          <w:rFonts w:ascii="Times New Roman" w:eastAsia="黑体"/>
          <w:b w:val="0"/>
          <w:sz w:val="32"/>
          <w:szCs w:val="32"/>
        </w:rPr>
        <w:t>第三部分</w:t>
      </w:r>
      <w:r>
        <w:rPr>
          <w:rFonts w:hint="eastAsia" w:ascii="Times New Roman" w:eastAsia="黑体"/>
          <w:b w:val="0"/>
          <w:sz w:val="32"/>
          <w:szCs w:val="32"/>
          <w:lang w:val="en-US" w:eastAsia="zh-CN"/>
        </w:rPr>
        <w:tab/>
      </w:r>
      <w:r>
        <w:rPr>
          <w:rFonts w:ascii="Times New Roman" w:eastAsia="黑体"/>
          <w:b w:val="0"/>
          <w:sz w:val="32"/>
          <w:szCs w:val="32"/>
        </w:rPr>
        <w:t>2025年度部门决算情况说明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一、收入支出决算总体情况说明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二、收入决算情况说明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三、支出决算情况说明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四、财政拨款收入支出决算总体情况说明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五、财政拨款</w:t>
      </w:r>
      <w:r>
        <w:rPr>
          <w:rFonts w:hint="eastAsia" w:ascii="Times New Roman" w:eastAsia="仿宋_GB2312"/>
          <w:b w:val="0"/>
          <w:sz w:val="32"/>
          <w:szCs w:val="32"/>
        </w:rPr>
        <w:t>“三公”</w:t>
      </w:r>
      <w:r>
        <w:rPr>
          <w:rFonts w:ascii="Times New Roman" w:eastAsia="仿宋_GB2312"/>
          <w:b w:val="0"/>
          <w:sz w:val="32"/>
          <w:szCs w:val="32"/>
        </w:rPr>
        <w:t>经费支出决算情况说明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六、机关运行经费支出说明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七、政府采购支出说明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八、国有资产占用情况说明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九、关于2025年度绩效评价情况的说明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十、其他需要说明的情况</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jc w:val="left"/>
        <w:textAlignment w:val="auto"/>
        <w:rPr>
          <w:rFonts w:ascii="Times New Roman" w:eastAsia="黑体"/>
          <w:sz w:val="32"/>
          <w:szCs w:val="32"/>
        </w:rPr>
      </w:pPr>
      <w:r>
        <w:rPr>
          <w:rFonts w:ascii="Times New Roman" w:eastAsia="黑体"/>
          <w:b w:val="0"/>
          <w:sz w:val="32"/>
          <w:szCs w:val="32"/>
        </w:rPr>
        <w:t>第四部分</w:t>
      </w:r>
      <w:r>
        <w:rPr>
          <w:rFonts w:hint="eastAsia" w:ascii="Times New Roman" w:eastAsia="黑体"/>
          <w:b w:val="0"/>
          <w:sz w:val="32"/>
          <w:szCs w:val="32"/>
          <w:lang w:val="en-US" w:eastAsia="zh-CN"/>
        </w:rPr>
        <w:tab/>
      </w:r>
      <w:r>
        <w:rPr>
          <w:rFonts w:ascii="Times New Roman" w:eastAsia="黑体"/>
          <w:b w:val="0"/>
          <w:sz w:val="32"/>
          <w:szCs w:val="32"/>
        </w:rPr>
        <w:t>名词解释</w:t>
      </w:r>
    </w:p>
    <w:p>
      <w:pPr>
        <w:keepNext w:val="0"/>
        <w:keepLines w:val="0"/>
        <w:pageBreakBefore w:val="0"/>
        <w:widowControl/>
        <w:kinsoku/>
        <w:wordWrap/>
        <w:overflowPunct/>
        <w:topLinePunct w:val="0"/>
        <w:autoSpaceDE/>
        <w:autoSpaceDN/>
        <w:bidi w:val="0"/>
        <w:adjustRightInd/>
        <w:snapToGrid/>
        <w:spacing w:after="160" w:line="700" w:lineRule="exact"/>
        <w:ind w:left="0" w:leftChars="0" w:right="0" w:rightChars="0"/>
        <w:textAlignment w:val="auto"/>
        <w:rPr>
          <w:rFonts w:hint="eastAsia" w:ascii="Times New Roman" w:hAnsi="Times New Roman" w:eastAsia="黑体" w:cs="Times New Roman"/>
          <w:sz w:val="32"/>
          <w:szCs w:val="32"/>
          <w:lang w:val="en-US" w:eastAsia="zh-CN"/>
        </w:rPr>
        <w:sectPr>
          <w:headerReference r:id="rId5" w:type="first"/>
          <w:footerReference r:id="rId7" w:type="first"/>
          <w:headerReference r:id="rId4" w:type="default"/>
          <w:footerReference r:id="rId6"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val="en-US" w:eastAsia="zh-CN"/>
        </w:rPr>
        <w:tab/>
      </w:r>
      <w:r>
        <w:rPr>
          <w:rFonts w:hint="eastAsia" w:ascii="Times New Roman" w:eastAsia="黑体"/>
          <w:b w:val="0"/>
          <w:sz w:val="44"/>
          <w:szCs w:val="44"/>
          <w:lang w:eastAsia="zh-CN"/>
        </w:rPr>
        <w:t>部门</w:t>
      </w:r>
      <w:r>
        <w:rPr>
          <w:rFonts w:ascii="Times New Roman" w:eastAsia="黑体"/>
          <w:b w:val="0"/>
          <w:sz w:val="44"/>
          <w:szCs w:val="44"/>
        </w:rPr>
        <w:t>概况</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eastAsia="zh-CN"/>
        </w:rPr>
        <w:t>部门</w:t>
      </w:r>
      <w:r>
        <w:rPr>
          <w:rFonts w:ascii="Times New Roman" w:eastAsia="黑体"/>
          <w:b w:val="0"/>
          <w:sz w:val="32"/>
          <w:szCs w:val="32"/>
        </w:rPr>
        <w:t>职责</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（一）提出全市新型工业化发展战略和政策，协调解决新型工业化进程中的重大问题，推进产业结构战略性调整和优化升级，推进信息化和工业化融合。</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二）制订并组织实施全市工业行业规划、计划和产业政策，提出优化产业布局、结构的政策建议，推进现代产业体系建设，起草相关地方性法规、政府规章草案，组织实施行业技术规范和标准，指导行业质量管理工作。</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三）监测、分析全市工业运行态势，统计并发布相关信息，进行预测预警和信息引导，协调解决行业运行发展中的有关问题并提出政策建议，负责工业用电监测，负责工业应急管理、产业安全有关工作；负责市级药品储备管理的有关工作；发挥工业相关行业协会纽带作用，加强对行业、企业发展态势的把握。</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（四）负责提出全市工业固定资产投资规模和方向（含利用外资和境外投资）、工业转型升级（技术改造）投资方向（含利用外资和境外投资）、国家和省、市财政性转型升级（技术改造）专项资金安排的意见。</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（五）负责对中小企业促进工作进行指导和综合协调，会同有关部门拟订促进中小企业发展的相关政策和措施并组织实施，协调解决有关重大问题。</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六）贯彻国家政策和标准，拟订高技术产业中涉及生物医药、新材料、信息产业等规划并组织实施；指导行业技术创新和技术进步，以先进适用技术改造提升传统产业；推进实施有关国家和省、市科技重大专项，推进相关科研成果产业化，推动全市软件业、信息服务业和新兴产业发展。</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七）承担全市振兴装备制造业的组织协调，贯彻执行国家、省重大技术装备发展和自主创新规划、政策，依托国家和省、市重点工程建设，协调有关重大专项的实施，推进重大技术装备国产化，指导引进重大技术装备的消化创新。</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（八）拟订并组织实施全市工业能源节约和资源综合利用促进政策，参与拟订能源节约和资源综合利用促进规划，组织协调相关重大示范工程和新产品、新技术、新设备、新材料的推广应用。</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（九）推进全市工业体制改革和管理创新，提高行业综合素质和核心竞争力，指导相关行业加强安全生产管理，负责民爆行业生产流通的监督管理和安全生产工作。</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（十）组织开展工业、中小企业的对外合作与交流。</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（十一）承担履行《禁止化学武器公约》的组织协调工作。</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（十二）负责二轻集体工业联社资产的经营和管理。</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（十三）负责流通领域盐业行业管理和食盐专营管理。</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（十四）略。</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（十五）略。</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（十六）略。</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（十七）完成市委、市政府、市委军民融合发展委员会交办的其他任务。</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从决算编报</w:t>
      </w:r>
      <w:r>
        <w:rPr>
          <w:rFonts w:hint="eastAsia" w:ascii="Times New Roman" w:eastAsia="仿宋_GB2312"/>
          <w:b w:val="0"/>
          <w:sz w:val="32"/>
          <w:szCs w:val="32"/>
          <w:lang w:eastAsia="zh-CN"/>
        </w:rPr>
        <w:t>单位</w:t>
      </w:r>
      <w:r>
        <w:rPr>
          <w:rFonts w:hint="eastAsia" w:ascii="Times New Roman" w:eastAsia="仿宋_GB2312"/>
          <w:b w:val="0"/>
          <w:sz w:val="32"/>
          <w:szCs w:val="32"/>
        </w:rPr>
        <w:t>构成看，纳入2025年度本部门决算汇编范围的独立核算</w:t>
      </w:r>
      <w:r>
        <w:rPr>
          <w:rFonts w:hint="eastAsia" w:ascii="Times New Roman" w:eastAsia="仿宋_GB2312"/>
          <w:b w:val="0"/>
          <w:sz w:val="32"/>
          <w:szCs w:val="32"/>
          <w:lang w:eastAsia="zh-CN"/>
        </w:rPr>
        <w:t>单位</w:t>
      </w:r>
      <w:r>
        <w:rPr>
          <w:rFonts w:hint="eastAsia" w:ascii="Times New Roman" w:eastAsia="仿宋_GB2312"/>
          <w:b w:val="0"/>
          <w:sz w:val="32"/>
          <w:szCs w:val="32"/>
        </w:rPr>
        <w:t>（以下简称“单位”）共1个，具体情况如下：</w:t>
      </w:r>
    </w:p>
    <w:tbl>
      <w:tblPr>
        <w:tblStyle w:val="13"/>
        <w:tblpPr w:leftFromText="180" w:rightFromText="180" w:vertAnchor="text" w:horzAnchor="page" w:tblpXSpec="center" w:tblpY="10"/>
        <w:tblOverlap w:val="never"/>
        <w:tblW w:w="8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3675"/>
        <w:gridCol w:w="2190"/>
        <w:gridCol w:w="1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049"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67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190"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1674"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049" w:type="dxa"/>
            <w:vAlign w:val="center"/>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675" w:type="dxa"/>
            <w:vAlign w:val="center"/>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石家庄市工业和信息化局</w:t>
            </w:r>
          </w:p>
        </w:tc>
        <w:tc>
          <w:tcPr>
            <w:tcW w:w="2190" w:type="dxa"/>
            <w:vAlign w:val="center"/>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行政单位</w:t>
            </w:r>
          </w:p>
        </w:tc>
        <w:tc>
          <w:tcPr>
            <w:tcW w:w="1674" w:type="dxa"/>
            <w:vAlign w:val="center"/>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 xml:space="preserve">我部门无二级预算单位，因此，石家庄市工业和信息化局2025年度部门决算即石家庄市工业和信息化局本级2025年度决算。 </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widowControl/>
        <w:spacing w:before="0" w:beforeLines="0" w:beforeAutospacing="0" w:after="0" w:afterLines="0" w:afterAutospacing="0" w:line="360" w:lineRule="auto"/>
        <w:jc w:val="center"/>
        <w:outlineLvl w:val="0"/>
        <w:rPr>
          <w:rFonts w:hint="default"/>
          <w:lang w:val="en-US" w:eastAsia="zh-CN"/>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部门</w:t>
      </w:r>
      <w:r>
        <w:rPr>
          <w:rFonts w:ascii="Times New Roman" w:eastAsia="黑体"/>
          <w:b w:val="0"/>
          <w:sz w:val="44"/>
          <w:szCs w:val="44"/>
        </w:rPr>
        <w:t>决算表</w:t>
      </w:r>
    </w:p>
    <w:tbl>
      <w:tblPr>
        <w:tblStyle w:val="13"/>
        <w:tblpPr w:leftFromText="180" w:rightFromText="180" w:vertAnchor="text" w:horzAnchor="page" w:tblpX="1270" w:tblpY="695"/>
        <w:tblOverlap w:val="never"/>
        <w:tblW w:w="100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02"/>
        <w:gridCol w:w="793"/>
        <w:gridCol w:w="277"/>
        <w:gridCol w:w="1076"/>
        <w:gridCol w:w="1667"/>
        <w:gridCol w:w="1214"/>
        <w:gridCol w:w="630"/>
        <w:gridCol w:w="11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8" w:hRule="atLeast"/>
        </w:trPr>
        <w:tc>
          <w:tcPr>
            <w:tcW w:w="10000" w:type="dxa"/>
            <w:gridSpan w:val="8"/>
            <w:tcBorders>
              <w:top w:val="nil"/>
              <w:left w:val="nil"/>
              <w:bottom w:val="nil"/>
              <w:right w:val="nil"/>
            </w:tcBorders>
            <w:vAlign w:val="bottom"/>
          </w:tcPr>
          <w:p>
            <w:pPr>
              <w:keepNext w:val="0"/>
              <w:keepLines w:val="0"/>
              <w:pageBreakBefore w:val="0"/>
              <w:widowControl/>
              <w:suppressLineNumbers w:val="0"/>
              <w:kinsoku/>
              <w:wordWrap/>
              <w:overflowPunct/>
              <w:topLinePunct w:val="0"/>
              <w:autoSpaceDE/>
              <w:autoSpaceDN/>
              <w:bidi w:val="0"/>
              <w:adjustRightInd/>
              <w:snapToGrid/>
              <w:spacing w:line="520" w:lineRule="exact"/>
              <w:ind w:left="0" w:leftChars="0" w:right="0" w:rightChars="0" w:firstLine="0" w:firstLineChars="0"/>
              <w:jc w:val="center"/>
              <w:textAlignment w:val="bottom"/>
              <w:outlineLvl w:val="9"/>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b/>
                <w:bCs w:val="0"/>
                <w:color w:val="auto"/>
                <w:kern w:val="0"/>
                <w:sz w:val="36"/>
                <w:szCs w:val="36"/>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10000" w:type="dxa"/>
            <w:gridSpan w:val="8"/>
            <w:tcBorders>
              <w:top w:val="nil"/>
              <w:left w:val="nil"/>
              <w:bottom w:val="nil"/>
              <w:right w:val="nil"/>
            </w:tcBorders>
            <w:vAlign w:val="bottom"/>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right"/>
              <w:textAlignment w:val="bottom"/>
              <w:outlineLvl w:val="9"/>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4272" w:type="dxa"/>
            <w:gridSpan w:val="3"/>
            <w:tcBorders>
              <w:top w:val="nil"/>
              <w:left w:val="nil"/>
              <w:bottom w:val="single" w:color="000000" w:themeColor="text1" w:sz="8" w:space="0"/>
              <w:right w:val="nil"/>
            </w:tcBorders>
            <w:vAlign w:val="bottom"/>
          </w:tcPr>
          <w:p>
            <w:pPr>
              <w:keepNext w:val="0"/>
              <w:keepLines w:val="0"/>
              <w:pageBreakBefore w:val="0"/>
              <w:kinsoku/>
              <w:wordWrap/>
              <w:overflowPunct/>
              <w:topLinePunct w:val="0"/>
              <w:autoSpaceDE/>
              <w:autoSpaceDN/>
              <w:bidi w:val="0"/>
              <w:adjustRightInd/>
              <w:snapToGrid/>
              <w:spacing w:line="320" w:lineRule="exact"/>
              <w:ind w:left="0" w:leftChars="0" w:right="0" w:rightChars="0"/>
              <w:jc w:val="both"/>
              <w:outlineLvl w:val="9"/>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部门：石家庄市工业和信息化局</w:t>
            </w:r>
          </w:p>
        </w:tc>
        <w:tc>
          <w:tcPr>
            <w:tcW w:w="2743" w:type="dxa"/>
            <w:gridSpan w:val="2"/>
            <w:tcBorders>
              <w:top w:val="nil"/>
              <w:left w:val="nil"/>
              <w:bottom w:val="single" w:color="000000" w:themeColor="text1" w:sz="8" w:space="0"/>
              <w:right w:val="nil"/>
            </w:tcBorders>
            <w:vAlign w:val="bottom"/>
          </w:tcPr>
          <w:p>
            <w:pPr>
              <w:keepNext w:val="0"/>
              <w:keepLines w:val="0"/>
              <w:pageBreakBefore w:val="0"/>
              <w:kinsoku/>
              <w:wordWrap/>
              <w:overflowPunct/>
              <w:topLinePunct w:val="0"/>
              <w:autoSpaceDE/>
              <w:autoSpaceDN/>
              <w:bidi w:val="0"/>
              <w:adjustRightInd/>
              <w:snapToGrid/>
              <w:spacing w:line="320" w:lineRule="exact"/>
              <w:ind w:left="0" w:leftChars="0" w:right="0" w:rightChars="0"/>
              <w:jc w:val="center"/>
              <w:outlineLvl w:val="9"/>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985" w:type="dxa"/>
            <w:gridSpan w:val="3"/>
            <w:tcBorders>
              <w:top w:val="nil"/>
              <w:left w:val="nil"/>
              <w:bottom w:val="single" w:color="000000" w:themeColor="text1" w:sz="8" w:space="0"/>
              <w:right w:val="nil"/>
            </w:tcBorders>
            <w:vAlign w:val="bottom"/>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5348"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收入</w:t>
            </w:r>
          </w:p>
        </w:tc>
        <w:tc>
          <w:tcPr>
            <w:tcW w:w="4652"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行次</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决算数</w:t>
            </w: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行次</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center"/>
              <w:outlineLvl w:val="9"/>
              <w:rPr>
                <w:rFonts w:hint="eastAsia" w:ascii="宋体" w:hAnsi="宋体" w:eastAsia="宋体" w:cs="宋体"/>
                <w:i w:val="0"/>
                <w:iCs w:val="0"/>
                <w:color w:val="000000"/>
                <w:sz w:val="20"/>
                <w:szCs w:val="20"/>
                <w:highlight w:val="none"/>
                <w:u w:val="none"/>
              </w:rPr>
            </w:pP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center"/>
              <w:outlineLvl w:val="9"/>
              <w:rPr>
                <w:rFonts w:hint="eastAsia" w:ascii="宋体" w:hAnsi="宋体" w:eastAsia="宋体" w:cs="宋体"/>
                <w:i w:val="0"/>
                <w:iCs w:val="0"/>
                <w:color w:val="000000"/>
                <w:sz w:val="20"/>
                <w:szCs w:val="20"/>
                <w:highlight w:val="none"/>
                <w:u w:val="none"/>
              </w:rPr>
            </w:pP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1,661.31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1,502.15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10,942.41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1,40</w:t>
            </w:r>
            <w:r>
              <w:rPr>
                <w:rFonts w:hint="eastAsia" w:ascii="Times New Roman" w:hAnsi="Times New Roman" w:cs="Times New Roman"/>
                <w:sz w:val="20"/>
                <w:szCs w:val="20"/>
                <w:highlight w:val="none"/>
                <w:lang w:eastAsia="zh-CN"/>
              </w:rPr>
              <w:t>0</w:t>
            </w: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1,40</w:t>
            </w:r>
            <w:r>
              <w:rPr>
                <w:rFonts w:hint="eastAsia" w:ascii="Times New Roman" w:hAnsi="Times New Roman" w:cs="Times New Roman"/>
                <w:sz w:val="20"/>
                <w:szCs w:val="20"/>
                <w:highlight w:val="none"/>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15,703.63</w:t>
            </w: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15,703.63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trPr>
        <w:tc>
          <w:tcPr>
            <w:tcW w:w="10000" w:type="dxa"/>
            <w:gridSpan w:val="8"/>
            <w:tcBorders>
              <w:top w:val="nil"/>
              <w:left w:val="nil"/>
              <w:bottom w:val="nil"/>
              <w:right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400" w:firstLineChars="200"/>
              <w:jc w:val="left"/>
              <w:textAlignment w:val="center"/>
              <w:outlineLvl w:val="9"/>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950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10"/>
        <w:gridCol w:w="1035"/>
        <w:gridCol w:w="2"/>
        <w:gridCol w:w="284"/>
        <w:gridCol w:w="751"/>
        <w:gridCol w:w="13"/>
        <w:gridCol w:w="860"/>
        <w:gridCol w:w="177"/>
        <w:gridCol w:w="10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508" w:type="dxa"/>
            <w:gridSpan w:val="14"/>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b/>
                <w:bCs w:val="0"/>
                <w:color w:val="auto"/>
                <w:kern w:val="0"/>
                <w:sz w:val="36"/>
                <w:szCs w:val="36"/>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508" w:type="dxa"/>
            <w:gridSpan w:val="14"/>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6642" w:type="dxa"/>
            <w:gridSpan w:val="9"/>
            <w:tcBorders>
              <w:top w:val="nil"/>
              <w:left w:val="nil"/>
              <w:bottom w:val="single" w:color="000000" w:themeColor="text1" w:sz="8" w:space="0"/>
              <w:right w:val="nil"/>
            </w:tcBorders>
            <w:vAlign w:val="bottom"/>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部门：石家庄市工业和信息化局               </w:t>
            </w: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年度                                                                                                       </w:t>
            </w:r>
          </w:p>
        </w:tc>
        <w:tc>
          <w:tcPr>
            <w:tcW w:w="2866" w:type="dxa"/>
            <w:gridSpan w:val="5"/>
            <w:tcBorders>
              <w:top w:val="nil"/>
              <w:left w:val="nil"/>
              <w:bottom w:val="single" w:color="000000" w:themeColor="text1" w:sz="8" w:space="0"/>
              <w:right w:val="nil"/>
            </w:tcBorders>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上级补助收入</w:t>
            </w:r>
          </w:p>
        </w:tc>
        <w:tc>
          <w:tcPr>
            <w:tcW w:w="1047"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事业收入</w:t>
            </w:r>
          </w:p>
        </w:tc>
        <w:tc>
          <w:tcPr>
            <w:tcW w:w="103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经营收入</w:t>
            </w:r>
          </w:p>
        </w:tc>
        <w:tc>
          <w:tcPr>
            <w:tcW w:w="105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附属单位上缴收入</w:t>
            </w:r>
          </w:p>
        </w:tc>
        <w:tc>
          <w:tcPr>
            <w:tcW w:w="106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047"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p>
        </w:tc>
        <w:tc>
          <w:tcPr>
            <w:tcW w:w="103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05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06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47"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5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6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47"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5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6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14,303.63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14,303.63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1,367.92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1,367.92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213.39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213.39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w:t>
            </w:r>
            <w:r>
              <w:rPr>
                <w:rFonts w:hint="eastAsia" w:ascii="Times New Roman" w:hAnsi="Times New Roman" w:eastAsia="宋体" w:cs="Times New Roman"/>
                <w:spacing w:val="-2"/>
                <w:sz w:val="20"/>
                <w:szCs w:val="20"/>
                <w:lang w:val="en-US" w:eastAsia="zh-CN"/>
              </w:rPr>
              <w:t>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w:t>
            </w:r>
            <w:r>
              <w:rPr>
                <w:rFonts w:hint="eastAsia" w:ascii="Times New Roman" w:hAnsi="Times New Roman" w:eastAsia="宋体" w:cs="Times New Roman"/>
                <w:spacing w:val="-2"/>
                <w:sz w:val="20"/>
                <w:szCs w:val="20"/>
                <w:lang w:val="en-US" w:eastAsia="zh-CN"/>
              </w:rPr>
              <w:t>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1,502.15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1,502.15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2100410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突发公共卫生事件应急处置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资源勘探工业信息等支出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10,942.41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10,942.41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7,492.75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7,492.75</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通信设备、计算机及其他电子设备制造业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3.75</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其他制造业支出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7,489.00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7,489.00</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工业和信息产业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3,206.27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3,206.27</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2,965.28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2,965.28</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154.18</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2150517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产业发展</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86.80</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支持中小企业发展和管理支出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243.40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243.40</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中小企业发展专项</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243.40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243.40</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197.76</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197.76</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197.76</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508" w:type="dxa"/>
            <w:gridSpan w:val="14"/>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pStyle w:val="2"/>
        <w:rPr>
          <w:rFonts w:hint="eastAsia" w:ascii="仿宋_GB2312" w:hAnsi="宋体" w:eastAsia="仿宋_GB2312"/>
          <w:b/>
          <w:color w:val="auto"/>
          <w:kern w:val="0"/>
          <w:sz w:val="32"/>
          <w:szCs w:val="32"/>
          <w:highlight w:val="none"/>
        </w:rPr>
      </w:pPr>
    </w:p>
    <w:p>
      <w:pPr>
        <w:pStyle w:val="2"/>
        <w:rPr>
          <w:rFonts w:hint="eastAsia" w:ascii="仿宋_GB2312" w:hAnsi="宋体" w:eastAsia="仿宋_GB2312"/>
          <w:b/>
          <w:color w:val="auto"/>
          <w:kern w:val="0"/>
          <w:sz w:val="32"/>
          <w:szCs w:val="32"/>
          <w:highlight w:val="none"/>
        </w:rPr>
      </w:pPr>
    </w:p>
    <w:p>
      <w:pPr>
        <w:pStyle w:val="2"/>
        <w:rPr>
          <w:rFonts w:hint="eastAsia" w:ascii="仿宋_GB2312" w:hAnsi="宋体" w:eastAsia="仿宋_GB2312"/>
          <w:b/>
          <w:color w:val="auto"/>
          <w:kern w:val="0"/>
          <w:sz w:val="32"/>
          <w:szCs w:val="32"/>
          <w:highlight w:val="none"/>
        </w:rPr>
      </w:pPr>
    </w:p>
    <w:tbl>
      <w:tblPr>
        <w:tblStyle w:val="13"/>
        <w:tblW w:w="93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126"/>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346" w:type="dxa"/>
            <w:gridSpan w:val="9"/>
            <w:tcBorders>
              <w:top w:val="nil"/>
              <w:left w:val="nil"/>
              <w:bottom w:val="nil"/>
              <w:right w:val="nil"/>
            </w:tcBorders>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b/>
                <w:bCs w:val="0"/>
                <w:color w:val="auto"/>
                <w:kern w:val="0"/>
                <w:sz w:val="36"/>
                <w:szCs w:val="36"/>
                <w:highlight w:val="none"/>
                <w:lang w:val="en-US" w:eastAsia="zh-CN"/>
              </w:rPr>
              <w:br w:type="page"/>
            </w:r>
            <w:r>
              <w:rPr>
                <w:rFonts w:hint="eastAsia" w:ascii="仿宋_GB2312" w:hAnsi="仿宋_GB2312" w:eastAsia="仿宋_GB2312" w:cs="仿宋_GB2312"/>
                <w:b/>
                <w:bCs w:val="0"/>
                <w:color w:val="auto"/>
                <w:kern w:val="0"/>
                <w:sz w:val="36"/>
                <w:szCs w:val="36"/>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346" w:type="dxa"/>
            <w:gridSpan w:val="9"/>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6104" w:type="dxa"/>
            <w:gridSpan w:val="6"/>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部门：石家庄市工业和信息化局</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r>
              <w:rPr>
                <w:rFonts w:hint="eastAsia" w:asciiTheme="minorEastAsia" w:hAnsiTheme="minorEastAsia" w:cstheme="minorEastAsia"/>
                <w:i w:val="0"/>
                <w:iCs w:val="0"/>
                <w:color w:val="000000"/>
                <w:kern w:val="0"/>
                <w:sz w:val="20"/>
                <w:szCs w:val="20"/>
                <w:highlight w:val="none"/>
                <w:u w:val="none"/>
                <w:lang w:val="en-US" w:eastAsia="zh-CN" w:bidi="ar"/>
              </w:rPr>
              <w:t xml:space="preserve">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3242"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1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基本支出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项目支出</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上缴上级支出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经营支出</w:t>
            </w:r>
          </w:p>
        </w:tc>
        <w:tc>
          <w:tcPr>
            <w:tcW w:w="14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科目代码</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科目名称</w:t>
            </w: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4,935.86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9,367.77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1,367.92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1,367.92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213.39</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213.39</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w:t>
            </w:r>
            <w:r>
              <w:rPr>
                <w:rFonts w:hint="eastAsia" w:ascii="Times New Roman" w:hAnsi="Times New Roman" w:eastAsia="宋体" w:cs="Times New Roman"/>
                <w:i w:val="0"/>
                <w:iCs w:val="0"/>
                <w:color w:val="000000"/>
                <w:sz w:val="20"/>
                <w:szCs w:val="20"/>
                <w:highlight w:val="none"/>
                <w:u w:val="none"/>
                <w:lang w:val="en-US" w:eastAsia="zh-CN"/>
              </w:rPr>
              <w:t>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w:t>
            </w:r>
            <w:r>
              <w:rPr>
                <w:rFonts w:hint="eastAsia" w:ascii="Times New Roman" w:hAnsi="Times New Roman" w:eastAsia="宋体" w:cs="Times New Roman"/>
                <w:i w:val="0"/>
                <w:iCs w:val="0"/>
                <w:color w:val="000000"/>
                <w:sz w:val="20"/>
                <w:szCs w:val="20"/>
                <w:highlight w:val="none"/>
                <w:u w:val="none"/>
                <w:lang w:val="en-US" w:eastAsia="zh-CN"/>
              </w:rPr>
              <w:t>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1,502.15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公共卫生</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2100410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突发公共卫生事件应急处置</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59.72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59.72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10,942.41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7,977.13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7,492.75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7,492.75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2150207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通信设备、计算机及其他电子设备制造业</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其他制造业支出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7,489.00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7,489.00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工业和信息产业</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3,206.27</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240.98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154.18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154.18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2150517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产业发展</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86.80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86.80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支持中小企业发展和管理支出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中小企业发展专项</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346" w:type="dxa"/>
            <w:gridSpan w:val="9"/>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02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47"/>
        <w:gridCol w:w="448"/>
        <w:gridCol w:w="1035"/>
        <w:gridCol w:w="1970"/>
        <w:gridCol w:w="430"/>
        <w:gridCol w:w="986"/>
        <w:gridCol w:w="94"/>
        <w:gridCol w:w="1065"/>
        <w:gridCol w:w="1080"/>
        <w:gridCol w:w="12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15" w:type="dxa"/>
            <w:gridSpan w:val="10"/>
            <w:tcBorders>
              <w:top w:val="nil"/>
              <w:left w:val="nil"/>
              <w:bottom w:val="nil"/>
              <w:right w:val="nil"/>
            </w:tcBorders>
            <w:vAlign w:val="bottom"/>
          </w:tcPr>
          <w:p>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right="0" w:rightChars="0" w:firstLine="0" w:firstLineChars="0"/>
              <w:jc w:val="center"/>
              <w:textAlignment w:val="bottom"/>
              <w:outlineLvl w:val="9"/>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b/>
                <w:bCs w:val="0"/>
                <w:color w:val="auto"/>
                <w:kern w:val="0"/>
                <w:sz w:val="36"/>
                <w:szCs w:val="36"/>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15" w:type="dxa"/>
            <w:gridSpan w:val="10"/>
            <w:tcBorders>
              <w:top w:val="nil"/>
              <w:left w:val="nil"/>
              <w:bottom w:val="nil"/>
              <w:right w:val="nil"/>
            </w:tcBorders>
            <w:vAlign w:val="bottom"/>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right"/>
              <w:textAlignment w:val="bottom"/>
              <w:outlineLvl w:val="9"/>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300" w:type="dxa"/>
            <w:gridSpan w:val="4"/>
            <w:tcBorders>
              <w:top w:val="nil"/>
              <w:left w:val="nil"/>
              <w:bottom w:val="single" w:color="000000" w:themeColor="text1" w:sz="8" w:space="0"/>
              <w:right w:val="nil"/>
            </w:tcBorders>
            <w:vAlign w:val="bottom"/>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outlineLvl w:val="9"/>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部门：石家庄市工业和信息化局</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16" w:type="dxa"/>
            <w:gridSpan w:val="2"/>
            <w:tcBorders>
              <w:top w:val="nil"/>
              <w:left w:val="nil"/>
              <w:bottom w:val="single" w:color="000000" w:themeColor="text1" w:sz="8" w:space="0"/>
              <w:right w:val="nil"/>
            </w:tcBorders>
            <w:vAlign w:val="bottom"/>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499" w:type="dxa"/>
            <w:gridSpan w:val="4"/>
            <w:tcBorders>
              <w:top w:val="nil"/>
              <w:left w:val="nil"/>
              <w:bottom w:val="single" w:color="000000" w:themeColor="text1" w:sz="8" w:space="0"/>
              <w:right w:val="nil"/>
            </w:tcBorders>
            <w:vAlign w:val="bottom"/>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3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收入</w:t>
            </w:r>
          </w:p>
        </w:tc>
        <w:tc>
          <w:tcPr>
            <w:tcW w:w="6885"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84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    目</w:t>
            </w:r>
          </w:p>
        </w:tc>
        <w:tc>
          <w:tcPr>
            <w:tcW w:w="44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行次</w:t>
            </w:r>
          </w:p>
        </w:tc>
        <w:tc>
          <w:tcPr>
            <w:tcW w:w="103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金额</w:t>
            </w:r>
          </w:p>
        </w:tc>
        <w:tc>
          <w:tcPr>
            <w:tcW w:w="197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43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行次</w:t>
            </w:r>
          </w:p>
        </w:tc>
        <w:tc>
          <w:tcPr>
            <w:tcW w:w="108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合计</w:t>
            </w:r>
          </w:p>
        </w:tc>
        <w:tc>
          <w:tcPr>
            <w:tcW w:w="106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一般公共预算财政拨款</w:t>
            </w:r>
          </w:p>
        </w:tc>
        <w:tc>
          <w:tcPr>
            <w:tcW w:w="10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政府性基金预算财政拨款</w:t>
            </w:r>
          </w:p>
        </w:tc>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84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44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3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97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43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8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6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宋体" w:hAnsi="宋体" w:eastAsia="宋体" w:cs="宋体"/>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宋体" w:hAnsi="宋体" w:eastAsia="宋体" w:cs="宋体"/>
                <w:i w:val="0"/>
                <w:iCs w:val="0"/>
                <w:color w:val="000000"/>
                <w:sz w:val="20"/>
                <w:szCs w:val="20"/>
                <w:highlight w:val="none"/>
                <w:u w:val="none"/>
              </w:rPr>
            </w:pP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1,661.31</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1,661.31</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1,502.15</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1,502.15</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10,942.41</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10,942.41</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197.76</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197.76</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84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    目</w:t>
            </w:r>
          </w:p>
        </w:tc>
        <w:tc>
          <w:tcPr>
            <w:tcW w:w="44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行次</w:t>
            </w:r>
          </w:p>
        </w:tc>
        <w:tc>
          <w:tcPr>
            <w:tcW w:w="103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金额</w:t>
            </w:r>
          </w:p>
        </w:tc>
        <w:tc>
          <w:tcPr>
            <w:tcW w:w="197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43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行次</w:t>
            </w:r>
          </w:p>
        </w:tc>
        <w:tc>
          <w:tcPr>
            <w:tcW w:w="108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合计</w:t>
            </w:r>
          </w:p>
        </w:tc>
        <w:tc>
          <w:tcPr>
            <w:tcW w:w="106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一般公共预算财政拨款</w:t>
            </w:r>
          </w:p>
        </w:tc>
        <w:tc>
          <w:tcPr>
            <w:tcW w:w="10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政府性基金预算财政拨款</w:t>
            </w:r>
          </w:p>
        </w:tc>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84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44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3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97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43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8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6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宋体" w:hAnsi="宋体" w:eastAsia="宋体" w:cs="宋体"/>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宋体" w:hAnsi="宋体" w:eastAsia="宋体" w:cs="宋体"/>
                <w:i w:val="0"/>
                <w:iCs w:val="0"/>
                <w:color w:val="000000"/>
                <w:sz w:val="20"/>
                <w:szCs w:val="20"/>
                <w:highlight w:val="none"/>
                <w:u w:val="none"/>
              </w:rPr>
            </w:pP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宋体" w:hAnsi="宋体" w:eastAsia="宋体" w:cs="宋体"/>
                <w:b/>
                <w:bCs/>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1,40</w:t>
            </w:r>
            <w:r>
              <w:rPr>
                <w:rFonts w:hint="eastAsia" w:ascii="Times New Roman" w:hAnsi="Times New Roman" w:cs="Times New Roman"/>
                <w:sz w:val="20"/>
                <w:szCs w:val="20"/>
                <w:highlight w:val="none"/>
                <w:lang w:eastAsia="zh-CN"/>
              </w:rPr>
              <w:t>0</w:t>
            </w: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1,40</w:t>
            </w:r>
            <w:r>
              <w:rPr>
                <w:rFonts w:hint="eastAsia" w:ascii="Times New Roman" w:hAnsi="Times New Roman" w:cs="Times New Roman"/>
                <w:sz w:val="20"/>
                <w:szCs w:val="20"/>
                <w:highlight w:val="none"/>
                <w:lang w:eastAsia="zh-CN"/>
              </w:rPr>
              <w:t>0</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both"/>
              <w:outlineLvl w:val="9"/>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1,40</w:t>
            </w:r>
            <w:r>
              <w:rPr>
                <w:rFonts w:hint="eastAsia" w:ascii="Times New Roman" w:hAnsi="Times New Roman" w:cs="Times New Roman"/>
                <w:sz w:val="20"/>
                <w:szCs w:val="20"/>
                <w:highlight w:val="none"/>
                <w:lang w:eastAsia="zh-CN"/>
              </w:rPr>
              <w:t>0</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both"/>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1,40</w:t>
            </w:r>
            <w:r>
              <w:rPr>
                <w:rFonts w:hint="eastAsia" w:ascii="Times New Roman" w:hAnsi="Times New Roman" w:cs="Times New Roman"/>
                <w:sz w:val="20"/>
                <w:szCs w:val="20"/>
                <w:highlight w:val="none"/>
                <w:lang w:eastAsia="zh-CN"/>
              </w:rPr>
              <w:t>0</w:t>
            </w: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方正仿宋_GB2312" w:hAnsi="方正仿宋_GB2312" w:eastAsia="方正仿宋_GB2312" w:cs="方正仿宋_GB2312"/>
                <w:i w:val="0"/>
                <w:iCs w:val="0"/>
                <w:color w:val="000000"/>
                <w:sz w:val="20"/>
                <w:szCs w:val="20"/>
                <w:highlight w:val="none"/>
                <w:u w:val="none"/>
              </w:rPr>
            </w:pP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方正仿宋_GB2312" w:hAnsi="方正仿宋_GB2312" w:eastAsia="方正仿宋_GB2312" w:cs="方正仿宋_GB2312"/>
                <w:i w:val="0"/>
                <w:iCs w:val="0"/>
                <w:color w:val="000000"/>
                <w:sz w:val="20"/>
                <w:szCs w:val="20"/>
                <w:highlight w:val="none"/>
                <w:u w:val="none"/>
              </w:rPr>
            </w:pP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方正仿宋_GB2312" w:hAnsi="方正仿宋_GB2312" w:eastAsia="方正仿宋_GB2312" w:cs="方正仿宋_GB2312"/>
                <w:i w:val="0"/>
                <w:iCs w:val="0"/>
                <w:color w:val="000000"/>
                <w:sz w:val="20"/>
                <w:szCs w:val="20"/>
                <w:highlight w:val="none"/>
                <w:u w:val="none"/>
              </w:rPr>
            </w:pP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15,703.63</w:t>
            </w: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15,703.63</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cs="Times New Roman"/>
                <w:sz w:val="20"/>
                <w:szCs w:val="20"/>
                <w:highlight w:val="none"/>
              </w:rPr>
            </w:pPr>
          </w:p>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15,703.63</w:t>
            </w:r>
          </w:p>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15" w:type="dxa"/>
            <w:gridSpan w:val="10"/>
            <w:tcBorders>
              <w:top w:val="single" w:color="000000" w:themeColor="text1" w:sz="8" w:space="0"/>
              <w:left w:val="nil"/>
              <w:bottom w:val="nil"/>
              <w:right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9860"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25"/>
        <w:gridCol w:w="4100"/>
        <w:gridCol w:w="409"/>
        <w:gridCol w:w="774"/>
        <w:gridCol w:w="1075"/>
        <w:gridCol w:w="432"/>
        <w:gridCol w:w="1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9860" w:type="dxa"/>
            <w:gridSpan w:val="7"/>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b/>
                <w:bCs w:val="0"/>
                <w:color w:val="auto"/>
                <w:kern w:val="0"/>
                <w:sz w:val="36"/>
                <w:szCs w:val="36"/>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9860" w:type="dxa"/>
            <w:gridSpan w:val="7"/>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5834" w:type="dxa"/>
            <w:gridSpan w:val="3"/>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部门：石家庄市工业和信息化局</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849" w:type="dxa"/>
            <w:gridSpan w:val="2"/>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177" w:type="dxa"/>
            <w:gridSpan w:val="2"/>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542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4435" w:type="dxa"/>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科目代码</w:t>
            </w:r>
          </w:p>
        </w:tc>
        <w:tc>
          <w:tcPr>
            <w:tcW w:w="410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科目名称</w:t>
            </w:r>
          </w:p>
        </w:tc>
        <w:tc>
          <w:tcPr>
            <w:tcW w:w="1183"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小计</w:t>
            </w:r>
          </w:p>
        </w:tc>
        <w:tc>
          <w:tcPr>
            <w:tcW w:w="150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基本支出</w:t>
            </w:r>
          </w:p>
        </w:tc>
        <w:tc>
          <w:tcPr>
            <w:tcW w:w="1745" w:type="dxa"/>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41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83"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50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745"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1325"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41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83"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50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745"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542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542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4,935.86</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9,367.77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1,367.92</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1,367.92</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213.39</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213.39</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w:t>
            </w:r>
            <w:r>
              <w:rPr>
                <w:rFonts w:hint="eastAsia" w:ascii="Times New Roman" w:hAnsi="Times New Roman" w:eastAsia="宋体" w:cs="Times New Roman"/>
                <w:i w:val="0"/>
                <w:iCs w:val="0"/>
                <w:color w:val="000000"/>
                <w:sz w:val="20"/>
                <w:szCs w:val="20"/>
                <w:highlight w:val="none"/>
                <w:u w:val="none"/>
                <w:lang w:val="en-US" w:eastAsia="zh-CN"/>
              </w:rPr>
              <w:t>0</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w:t>
            </w:r>
            <w:r>
              <w:rPr>
                <w:rFonts w:hint="eastAsia" w:ascii="Times New Roman" w:hAnsi="Times New Roman" w:eastAsia="宋体" w:cs="Times New Roman"/>
                <w:i w:val="0"/>
                <w:iCs w:val="0"/>
                <w:color w:val="000000"/>
                <w:sz w:val="20"/>
                <w:szCs w:val="20"/>
                <w:highlight w:val="none"/>
                <w:u w:val="none"/>
                <w:lang w:val="en-US" w:eastAsia="zh-CN"/>
              </w:rPr>
              <w:t>0</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1,502.15</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111.50</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21004</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公共卫生</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2100410</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突发公共卫生事件应急处置</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111.50</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111.50</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59.72</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59.72</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51.78</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51.78</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10,942.41</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7,977.13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7,492.75</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7,492.75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2150207</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通信设备、计算机及其他电子设备制造业</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2150299</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其他制造业支出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7,489.00</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7,489.00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工业和信息产业</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3,206.27</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2150501</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2150502</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154.18</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2150517</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产业发展</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86.80</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支持中小企业发展和管理支出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2150805</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中小企业发展专项</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9860" w:type="dxa"/>
            <w:gridSpan w:val="7"/>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03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7"/>
        <w:gridCol w:w="1377"/>
        <w:gridCol w:w="1138"/>
        <w:gridCol w:w="823"/>
        <w:gridCol w:w="940"/>
        <w:gridCol w:w="228"/>
        <w:gridCol w:w="988"/>
        <w:gridCol w:w="362"/>
        <w:gridCol w:w="594"/>
        <w:gridCol w:w="1769"/>
        <w:gridCol w:w="1123"/>
        <w:gridCol w:w="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1" w:type="dxa"/>
          <w:trHeight w:val="522" w:hRule="atLeast"/>
          <w:jc w:val="center"/>
        </w:trPr>
        <w:tc>
          <w:tcPr>
            <w:tcW w:w="10059" w:type="dxa"/>
            <w:gridSpan w:val="11"/>
            <w:tcBorders>
              <w:top w:val="nil"/>
              <w:left w:val="nil"/>
              <w:bottom w:val="nil"/>
              <w:right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bottom"/>
              <w:outlineLvl w:val="9"/>
              <w:rPr>
                <w:rFonts w:ascii="方正仿宋_GB2312" w:hAnsi="方正仿宋_GB2312" w:eastAsia="方正仿宋_GB2312" w:cs="方正仿宋_GB2312"/>
                <w:i w:val="0"/>
                <w:iCs w:val="0"/>
                <w:color w:val="000000"/>
                <w:sz w:val="32"/>
                <w:szCs w:val="32"/>
                <w:u w:val="none"/>
              </w:rPr>
            </w:pPr>
            <w:r>
              <w:rPr>
                <w:rFonts w:hint="eastAsia" w:ascii="仿宋_GB2312" w:hAnsi="仿宋_GB2312" w:eastAsia="仿宋_GB2312" w:cs="仿宋_GB2312"/>
                <w:b/>
                <w:bCs w:val="0"/>
                <w:color w:val="auto"/>
                <w:kern w:val="0"/>
                <w:sz w:val="36"/>
                <w:szCs w:val="36"/>
                <w:highlight w:val="none"/>
                <w:lang w:val="en-US" w:eastAsia="zh-CN"/>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41" w:hRule="atLeast"/>
          <w:jc w:val="center"/>
        </w:trPr>
        <w:tc>
          <w:tcPr>
            <w:tcW w:w="10059" w:type="dxa"/>
            <w:gridSpan w:val="11"/>
            <w:tcBorders>
              <w:top w:val="nil"/>
              <w:left w:val="nil"/>
              <w:bottom w:val="nil"/>
              <w:right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bottom"/>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7"/>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41" w:hRule="atLeast"/>
          <w:jc w:val="center"/>
        </w:trPr>
        <w:tc>
          <w:tcPr>
            <w:tcW w:w="4995" w:type="dxa"/>
            <w:gridSpan w:val="5"/>
            <w:tcBorders>
              <w:top w:val="nil"/>
              <w:left w:val="nil"/>
              <w:bottom w:val="single" w:color="000000" w:sz="8" w:space="0"/>
              <w:right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bottom"/>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部门：石家庄市工业和信息化局</w:t>
            </w:r>
            <w:r>
              <w:rPr>
                <w:rFonts w:hint="eastAsia" w:ascii="宋体" w:hAnsi="宋体" w:eastAsia="宋体" w:cs="宋体"/>
                <w:i w:val="0"/>
                <w:iCs w:val="0"/>
                <w:color w:val="000000"/>
                <w:kern w:val="0"/>
                <w:sz w:val="18"/>
                <w:szCs w:val="18"/>
                <w:u w:val="none"/>
                <w:lang w:val="en-US" w:eastAsia="zh-CN" w:bidi="ar"/>
              </w:rPr>
              <w:t xml:space="preserve">                                                                  </w:t>
            </w:r>
          </w:p>
        </w:tc>
        <w:tc>
          <w:tcPr>
            <w:tcW w:w="1578" w:type="dxa"/>
            <w:gridSpan w:val="3"/>
            <w:tcBorders>
              <w:top w:val="nil"/>
              <w:left w:val="nil"/>
              <w:bottom w:val="single" w:color="000000" w:sz="8" w:space="0"/>
              <w:right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bottom"/>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7"/>
                <w:lang w:val="en-US" w:eastAsia="zh-CN" w:bidi="ar"/>
              </w:rPr>
              <w:t>年度</w:t>
            </w:r>
          </w:p>
        </w:tc>
        <w:tc>
          <w:tcPr>
            <w:tcW w:w="3486" w:type="dxa"/>
            <w:gridSpan w:val="3"/>
            <w:tcBorders>
              <w:top w:val="nil"/>
              <w:left w:val="nil"/>
              <w:bottom w:val="single" w:color="000000" w:sz="8" w:space="0"/>
              <w:right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bottom"/>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3232" w:type="dxa"/>
            <w:gridSpan w:val="3"/>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人员经费</w:t>
            </w:r>
          </w:p>
        </w:tc>
        <w:tc>
          <w:tcPr>
            <w:tcW w:w="6827" w:type="dxa"/>
            <w:gridSpan w:val="8"/>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科目代码</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科目名称</w:t>
            </w:r>
          </w:p>
        </w:tc>
        <w:tc>
          <w:tcPr>
            <w:tcW w:w="1138"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金额</w:t>
            </w:r>
          </w:p>
        </w:tc>
        <w:tc>
          <w:tcPr>
            <w:tcW w:w="823"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科目代码</w:t>
            </w:r>
          </w:p>
        </w:tc>
        <w:tc>
          <w:tcPr>
            <w:tcW w:w="1168" w:type="dxa"/>
            <w:gridSpan w:val="2"/>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科目名称</w:t>
            </w:r>
          </w:p>
        </w:tc>
        <w:tc>
          <w:tcPr>
            <w:tcW w:w="988"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金额</w:t>
            </w:r>
          </w:p>
        </w:tc>
        <w:tc>
          <w:tcPr>
            <w:tcW w:w="956" w:type="dxa"/>
            <w:gridSpan w:val="2"/>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科目代码</w:t>
            </w:r>
          </w:p>
        </w:tc>
        <w:tc>
          <w:tcPr>
            <w:tcW w:w="1769"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科目名称</w:t>
            </w:r>
          </w:p>
        </w:tc>
        <w:tc>
          <w:tcPr>
            <w:tcW w:w="1123"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2,413.63</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299.13</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基本工资</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669.94</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25.42</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津贴补贴</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514.21</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奖金</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469.32</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伙食补助费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绩效工资</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85.50</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743"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213.39</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57.87</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r>
              <w:rPr>
                <w:rFonts w:hint="eastAsia" w:ascii="Times New Roman" w:hAnsi="Times New Roman" w:eastAsia="宋体" w:cs="Times New Roman"/>
                <w:i w:val="0"/>
                <w:iCs w:val="0"/>
                <w:color w:val="000000"/>
                <w:kern w:val="0"/>
                <w:sz w:val="18"/>
                <w:szCs w:val="18"/>
                <w:u w:val="none"/>
                <w:lang w:val="en-US" w:eastAsia="zh-CN" w:bidi="ar"/>
              </w:rPr>
              <w:t>0</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59.72</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51.78</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37.31</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197.76</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租赁费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72.00</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0.41</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2,223.10</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3.74</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128.25</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0.19</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1,239.66</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166.59</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4.21</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22.13</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743"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13.65</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9.60</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75.87</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684.39</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52.92</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240" w:lineRule="exact"/>
              <w:ind w:left="0" w:leftChars="0" w:right="0" w:rightChars="0" w:firstLine="0" w:firstLineChars="0"/>
              <w:jc w:val="center"/>
              <w:outlineLvl w:val="9"/>
              <w:rPr>
                <w:rFonts w:hint="default" w:ascii="Times New Roman" w:hAnsi="Times New Roman" w:eastAsia="宋体" w:cs="Times New Roman"/>
                <w:i w:val="0"/>
                <w:iCs w:val="0"/>
                <w:color w:val="000000"/>
                <w:sz w:val="18"/>
                <w:szCs w:val="18"/>
                <w:u w:val="none"/>
              </w:rPr>
            </w:pP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240" w:lineRule="exact"/>
              <w:ind w:left="0" w:leftChars="0" w:right="0" w:rightChars="0" w:firstLine="0" w:firstLineChars="0"/>
              <w:jc w:val="left"/>
              <w:outlineLvl w:val="9"/>
              <w:rPr>
                <w:rFonts w:hint="eastAsia" w:ascii="方正仿宋_GB2312" w:hAnsi="方正仿宋_GB2312" w:eastAsia="方正仿宋_GB2312" w:cs="方正仿宋_GB2312"/>
                <w:i w:val="0"/>
                <w:iCs w:val="0"/>
                <w:color w:val="000000"/>
                <w:sz w:val="18"/>
                <w:szCs w:val="18"/>
                <w:u w:val="none"/>
              </w:rPr>
            </w:pP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240" w:lineRule="exact"/>
              <w:ind w:left="0" w:leftChars="0" w:right="0" w:rightChars="0" w:firstLine="0" w:firstLineChars="0"/>
              <w:jc w:val="right"/>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2094" w:type="dxa"/>
            <w:gridSpan w:val="2"/>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4,636.73</w:t>
            </w:r>
          </w:p>
        </w:tc>
        <w:tc>
          <w:tcPr>
            <w:tcW w:w="5704" w:type="dxa"/>
            <w:gridSpan w:val="7"/>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299.13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1" w:hRule="atLeast"/>
          <w:jc w:val="center"/>
        </w:trPr>
        <w:tc>
          <w:tcPr>
            <w:tcW w:w="10320" w:type="dxa"/>
            <w:gridSpan w:val="12"/>
            <w:tcBorders>
              <w:top w:val="nil"/>
              <w:left w:val="nil"/>
              <w:bottom w:val="nil"/>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04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480" w:type="dxa"/>
            <w:gridSpan w:val="9"/>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b/>
                <w:bCs w:val="0"/>
                <w:color w:val="auto"/>
                <w:kern w:val="0"/>
                <w:sz w:val="36"/>
                <w:szCs w:val="36"/>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480" w:type="dxa"/>
            <w:gridSpan w:val="9"/>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6592" w:type="dxa"/>
            <w:gridSpan w:val="6"/>
            <w:tcBorders>
              <w:top w:val="nil"/>
              <w:left w:val="nil"/>
              <w:bottom w:val="single" w:color="000000" w:themeColor="text1" w:sz="8" w:space="0"/>
              <w:right w:val="nil"/>
            </w:tcBorders>
            <w:vAlign w:val="bottom"/>
          </w:tcPr>
          <w:p>
            <w:pPr>
              <w:keepNext w:val="0"/>
              <w:keepLines w:val="0"/>
              <w:widowControl/>
              <w:suppressLineNumbers w:val="0"/>
              <w:jc w:val="both"/>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部门：石家庄市工业和信息化局      </w:t>
            </w:r>
            <w:r>
              <w:rPr>
                <w:rFonts w:hint="eastAsia" w:ascii="宋体" w:hAnsi="宋体" w:eastAsia="宋体" w:cs="宋体"/>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3888"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jc w:val="center"/>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80" w:type="dxa"/>
            <w:gridSpan w:val="9"/>
            <w:tcBorders>
              <w:top w:val="single" w:color="000000" w:themeColor="text1" w:sz="8" w:space="0"/>
              <w:left w:val="nil"/>
              <w:bottom w:val="nil"/>
              <w:right w:val="nil"/>
            </w:tcBorders>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94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2027"/>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428" w:type="dxa"/>
            <w:gridSpan w:val="8"/>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b/>
                <w:bCs w:val="0"/>
                <w:color w:val="auto"/>
                <w:kern w:val="0"/>
                <w:sz w:val="36"/>
                <w:szCs w:val="36"/>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428" w:type="dxa"/>
            <w:gridSpan w:val="8"/>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6404" w:type="dxa"/>
            <w:gridSpan w:val="5"/>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部门：石家庄市工业和信息化局          </w:t>
            </w: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0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0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科目代码</w:t>
            </w:r>
          </w:p>
        </w:tc>
        <w:tc>
          <w:tcPr>
            <w:tcW w:w="2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428" w:type="dxa"/>
            <w:gridSpan w:val="8"/>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pPr w:leftFromText="180" w:rightFromText="180" w:vertAnchor="text" w:horzAnchor="page" w:tblpXSpec="center" w:tblpY="39"/>
        <w:tblOverlap w:val="never"/>
        <w:tblW w:w="106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4"/>
        <w:gridCol w:w="759"/>
        <w:gridCol w:w="892"/>
        <w:gridCol w:w="975"/>
        <w:gridCol w:w="965"/>
        <w:gridCol w:w="70"/>
        <w:gridCol w:w="1169"/>
        <w:gridCol w:w="631"/>
        <w:gridCol w:w="162"/>
        <w:gridCol w:w="693"/>
        <w:gridCol w:w="705"/>
        <w:gridCol w:w="870"/>
        <w:gridCol w:w="960"/>
        <w:gridCol w:w="11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0615" w:type="dxa"/>
            <w:gridSpan w:val="14"/>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仿宋_GB2312" w:hAnsi="仿宋_GB2312" w:eastAsia="仿宋_GB2312" w:cs="仿宋_GB2312"/>
                <w:b/>
                <w:bCs w:val="0"/>
                <w:color w:val="auto"/>
                <w:kern w:val="0"/>
                <w:sz w:val="36"/>
                <w:szCs w:val="36"/>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10615" w:type="dxa"/>
            <w:gridSpan w:val="14"/>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4215" w:type="dxa"/>
            <w:gridSpan w:val="5"/>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：石家庄市工业和信息化局</w:t>
            </w:r>
          </w:p>
        </w:tc>
        <w:tc>
          <w:tcPr>
            <w:tcW w:w="2032" w:type="dxa"/>
            <w:gridSpan w:val="4"/>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368" w:type="dxa"/>
            <w:gridSpan w:val="5"/>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5454"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预算数</w:t>
            </w:r>
          </w:p>
        </w:tc>
        <w:tc>
          <w:tcPr>
            <w:tcW w:w="5161"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合计</w:t>
            </w:r>
          </w:p>
        </w:tc>
        <w:tc>
          <w:tcPr>
            <w:tcW w:w="75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因公出国（境）费</w:t>
            </w:r>
          </w:p>
        </w:tc>
        <w:tc>
          <w:tcPr>
            <w:tcW w:w="2902"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公务用车购置及运行维护费</w:t>
            </w:r>
          </w:p>
        </w:tc>
        <w:tc>
          <w:tcPr>
            <w:tcW w:w="116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公务接待费</w:t>
            </w:r>
          </w:p>
        </w:tc>
        <w:tc>
          <w:tcPr>
            <w:tcW w:w="631"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合计</w:t>
            </w:r>
          </w:p>
        </w:tc>
        <w:tc>
          <w:tcPr>
            <w:tcW w:w="85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因公出国（境）费</w:t>
            </w:r>
          </w:p>
        </w:tc>
        <w:tc>
          <w:tcPr>
            <w:tcW w:w="253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公务用车购置及运行维护费</w:t>
            </w:r>
          </w:p>
        </w:tc>
        <w:tc>
          <w:tcPr>
            <w:tcW w:w="11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18"/>
                <w:szCs w:val="18"/>
                <w:highlight w:val="none"/>
                <w:u w:val="none"/>
              </w:rPr>
            </w:pPr>
          </w:p>
        </w:tc>
        <w:tc>
          <w:tcPr>
            <w:tcW w:w="75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18"/>
                <w:szCs w:val="18"/>
                <w:highlight w:val="none"/>
                <w:u w:val="none"/>
              </w:rPr>
            </w:pPr>
          </w:p>
        </w:tc>
        <w:tc>
          <w:tcPr>
            <w:tcW w:w="89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小计</w:t>
            </w:r>
          </w:p>
        </w:tc>
        <w:tc>
          <w:tcPr>
            <w:tcW w:w="9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公务用车购置费</w:t>
            </w: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公务用车运行维护费</w:t>
            </w:r>
          </w:p>
        </w:tc>
        <w:tc>
          <w:tcPr>
            <w:tcW w:w="116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18"/>
                <w:szCs w:val="18"/>
                <w:highlight w:val="none"/>
                <w:u w:val="none"/>
              </w:rPr>
            </w:pPr>
          </w:p>
        </w:tc>
        <w:tc>
          <w:tcPr>
            <w:tcW w:w="63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18"/>
                <w:szCs w:val="18"/>
                <w:highlight w:val="none"/>
                <w:u w:val="none"/>
              </w:rPr>
            </w:pPr>
          </w:p>
        </w:tc>
        <w:tc>
          <w:tcPr>
            <w:tcW w:w="85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18"/>
                <w:szCs w:val="18"/>
                <w:highlight w:val="none"/>
                <w:u w:val="none"/>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小计</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公务用车购置费</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公务用车运行维护费</w:t>
            </w:r>
          </w:p>
        </w:tc>
        <w:tc>
          <w:tcPr>
            <w:tcW w:w="11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75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9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116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63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17.91</w:t>
            </w:r>
          </w:p>
        </w:tc>
        <w:tc>
          <w:tcPr>
            <w:tcW w:w="75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9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15.52</w:t>
            </w:r>
          </w:p>
        </w:tc>
        <w:tc>
          <w:tcPr>
            <w:tcW w:w="9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15.52</w:t>
            </w:r>
          </w:p>
        </w:tc>
        <w:tc>
          <w:tcPr>
            <w:tcW w:w="116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2.39</w:t>
            </w:r>
          </w:p>
        </w:tc>
        <w:tc>
          <w:tcPr>
            <w:tcW w:w="63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9.79</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9.60</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9.60</w:t>
            </w:r>
          </w:p>
        </w:tc>
        <w:tc>
          <w:tcPr>
            <w:tcW w:w="11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jc w:val="center"/>
        </w:trPr>
        <w:tc>
          <w:tcPr>
            <w:tcW w:w="10615" w:type="dxa"/>
            <w:gridSpan w:val="14"/>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textAlignment w:val="auto"/>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部门</w:t>
      </w:r>
      <w:r>
        <w:rPr>
          <w:rFonts w:ascii="Times New Roman" w:eastAsia="黑体"/>
          <w:b w:val="0"/>
          <w:sz w:val="44"/>
          <w:szCs w:val="44"/>
        </w:rPr>
        <w:t>决算情况说明</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sz w:val="32"/>
          <w:szCs w:val="32"/>
        </w:rPr>
      </w:pPr>
      <w:r>
        <w:rPr>
          <w:rFonts w:ascii="Times New Roman" w:eastAsia="黑体"/>
          <w:b w:val="0"/>
          <w:sz w:val="32"/>
          <w:szCs w:val="32"/>
        </w:rPr>
        <w:t>一、收入支出决算总体情况说明</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部门</w:t>
      </w:r>
      <w:r>
        <w:rPr>
          <w:rFonts w:hint="eastAsia" w:ascii="Times New Roman" w:eastAsia="仿宋_GB2312"/>
          <w:b w:val="0"/>
          <w:sz w:val="32"/>
          <w:szCs w:val="32"/>
        </w:rPr>
        <w:t>2025年度收、支总计（含结转和结余）均为15,703.63万元。与2024年度决算相比，收支各增加3,954.06万元，增长33.7%，主要原因是增加了制造业新型技术改造城市试点补助资金。</w:t>
      </w:r>
    </w:p>
    <w:p>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leftChars="0" w:right="0" w:rightChars="0"/>
        <w:jc w:val="both"/>
        <w:textAlignment w:val="auto"/>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二、收入决算情况说明</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部门</w:t>
      </w:r>
      <w:r>
        <w:rPr>
          <w:rFonts w:hint="eastAsia" w:ascii="Times New Roman" w:eastAsia="仿宋_GB2312"/>
          <w:b w:val="0"/>
          <w:sz w:val="32"/>
          <w:szCs w:val="32"/>
        </w:rPr>
        <w:t>2025年度本年收入合计14,303.63万元，其中：财政拨款收入14,303.63万元，占10</w:t>
      </w:r>
      <w:r>
        <w:rPr>
          <w:rFonts w:hint="eastAsia" w:ascii="Times New Roman" w:eastAsia="仿宋_GB2312"/>
          <w:b w:val="0"/>
          <w:sz w:val="32"/>
          <w:szCs w:val="32"/>
          <w:lang w:eastAsia="zh-CN"/>
        </w:rPr>
        <w:t>0%</w:t>
      </w:r>
      <w:r>
        <w:rPr>
          <w:rFonts w:hint="eastAsia" w:ascii="Times New Roman" w:eastAsia="仿宋_GB2312"/>
          <w:b w:val="0"/>
          <w:sz w:val="32"/>
          <w:szCs w:val="32"/>
        </w:rPr>
        <w:t>；上级补助收入</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；事业收入</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；经营收入</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；附属单位上缴收入</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；其他收入</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w:t>
      </w:r>
    </w:p>
    <w:p>
      <w:pPr>
        <w:keepNext w:val="0"/>
        <w:keepLines w:val="0"/>
        <w:pageBreakBefore w:val="0"/>
        <w:widowControl w:val="0"/>
        <w:kinsoku/>
        <w:wordWrap/>
        <w:overflowPunct/>
        <w:topLinePunct w:val="0"/>
        <w:bidi w:val="0"/>
        <w:adjustRightInd w:val="0"/>
        <w:snapToGrid w:val="0"/>
        <w:spacing w:line="580" w:lineRule="exact"/>
        <w:ind w:left="0" w:leftChars="0" w:right="0" w:rightChars="0"/>
        <w:jc w:val="both"/>
        <w:textAlignment w:val="auto"/>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316865</wp:posOffset>
            </wp:positionH>
            <wp:positionV relativeFrom="paragraph">
              <wp:posOffset>163830</wp:posOffset>
            </wp:positionV>
            <wp:extent cx="5057775" cy="2579370"/>
            <wp:effectExtent l="4445" t="4445" r="5080" b="698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三、支出决算情况说明</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部门</w:t>
      </w:r>
      <w:r>
        <w:rPr>
          <w:rFonts w:hint="eastAsia" w:ascii="Times New Roman" w:eastAsia="仿宋_GB2312"/>
          <w:b w:val="0"/>
          <w:sz w:val="32"/>
          <w:szCs w:val="32"/>
        </w:rPr>
        <w:t>2025年度本年支出合计14,303.63万元，其中：基本支出4,935.86万元，占34.5%；项目支出9,367.77万元，占65.5%；经营支出</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；上缴上级支出</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；对附属单位补助支出</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w:t>
      </w:r>
    </w:p>
    <w:p>
      <w:pPr>
        <w:keepNext w:val="0"/>
        <w:keepLines w:val="0"/>
        <w:pageBreakBefore w:val="0"/>
        <w:widowControl w:val="0"/>
        <w:kinsoku/>
        <w:wordWrap/>
        <w:overflowPunct/>
        <w:topLinePunct w:val="0"/>
        <w:autoSpaceDE w:val="0"/>
        <w:autoSpaceDN w:val="0"/>
        <w:bidi w:val="0"/>
        <w:adjustRightInd w:val="0"/>
        <w:ind w:left="0" w:leftChars="0" w:right="0" w:rightChars="0"/>
        <w:jc w:val="center"/>
        <w:textAlignment w:val="auto"/>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086350" cy="2741930"/>
            <wp:effectExtent l="4445" t="4445" r="14605" b="1587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四、财政拨款收入支出决算总体情况说明</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部门</w:t>
      </w:r>
      <w:r>
        <w:rPr>
          <w:rFonts w:hint="eastAsia" w:ascii="Times New Roman" w:eastAsia="仿宋_GB2312"/>
          <w:b w:val="0"/>
          <w:sz w:val="32"/>
          <w:szCs w:val="32"/>
        </w:rPr>
        <w:t>2025年度财政拨款收、支总计（含结转和结余）均为15,703.63万元。与2024年度相比，财政拨款收支各增加6,598.41万元，增长72.5%，主要原因是增加了制造业新型技术改造城市试点补助资金。</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部门</w:t>
      </w:r>
      <w:r>
        <w:rPr>
          <w:rFonts w:hint="eastAsia" w:ascii="Times New Roman" w:eastAsia="仿宋_GB2312"/>
          <w:b w:val="0"/>
          <w:sz w:val="32"/>
          <w:szCs w:val="32"/>
        </w:rPr>
        <w:t>2025年度财政拨款本年收入14,303.63万元,比上年增加6,598.41万元，增长85.6%，主要原因是增加了制造业新型技术改造城市试点补助资金；本年支出14,303.63万元，比上年增加6,598.41万元，增长85.6%，主要原因是增加了制造业新型技术改造城市试点补助资金。具体情况如下：</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1. 一般公共预算财政拨款本年收入14,303.63万元,比上年增加6,598.41万元，增长85.6%，主要原因是增加了制造业新型技术改造城市试点补助资金；本年支出14,303.63万元，比上年增加6,598.41万元，增长85.6%，主要原因是增加了制造业新型技术改造城市试点补助资金。</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2. 政府性基金预算财政拨款本年收入</w:t>
      </w:r>
      <w:r>
        <w:rPr>
          <w:rFonts w:hint="eastAsia" w:ascii="Times New Roman" w:eastAsia="仿宋_GB2312"/>
          <w:b w:val="0"/>
          <w:sz w:val="32"/>
          <w:szCs w:val="32"/>
          <w:lang w:eastAsia="zh-CN"/>
        </w:rPr>
        <w:t>0</w:t>
      </w:r>
      <w:r>
        <w:rPr>
          <w:rFonts w:hint="eastAsia" w:ascii="Times New Roman" w:eastAsia="仿宋_GB2312"/>
          <w:b w:val="0"/>
          <w:sz w:val="32"/>
          <w:szCs w:val="32"/>
        </w:rPr>
        <w:t>万元，比上年增加</w:t>
      </w:r>
      <w:r>
        <w:rPr>
          <w:rFonts w:hint="eastAsia" w:ascii="Times New Roman" w:eastAsia="仿宋_GB2312"/>
          <w:b w:val="0"/>
          <w:sz w:val="32"/>
          <w:szCs w:val="32"/>
          <w:lang w:eastAsia="zh-CN"/>
        </w:rPr>
        <w:t>0</w:t>
      </w:r>
      <w:r>
        <w:rPr>
          <w:rFonts w:hint="eastAsia" w:ascii="Times New Roman" w:eastAsia="仿宋_GB2312"/>
          <w:b w:val="0"/>
          <w:sz w:val="32"/>
          <w:szCs w:val="32"/>
        </w:rPr>
        <w:t>万元，</w:t>
      </w:r>
      <w:r>
        <w:rPr>
          <w:rFonts w:hint="eastAsia" w:ascii="Times New Roman" w:eastAsia="仿宋_GB2312"/>
          <w:b w:val="0"/>
          <w:sz w:val="32"/>
          <w:szCs w:val="32"/>
          <w:lang w:eastAsia="zh-CN"/>
        </w:rPr>
        <w:t>与上年持平</w:t>
      </w:r>
      <w:r>
        <w:rPr>
          <w:rFonts w:hint="eastAsia" w:ascii="Times New Roman" w:eastAsia="仿宋_GB2312"/>
          <w:b w:val="0"/>
          <w:sz w:val="32"/>
          <w:szCs w:val="32"/>
        </w:rPr>
        <w:t>，主要原因是</w:t>
      </w:r>
      <w:r>
        <w:rPr>
          <w:rFonts w:hint="eastAsia" w:ascii="Times New Roman" w:eastAsia="仿宋_GB2312"/>
          <w:b w:val="0"/>
          <w:sz w:val="32"/>
          <w:szCs w:val="32"/>
          <w:lang w:eastAsia="zh-CN"/>
        </w:rPr>
        <w:t>本部门无</w:t>
      </w:r>
      <w:r>
        <w:rPr>
          <w:rFonts w:hint="eastAsia" w:ascii="Times New Roman" w:eastAsia="仿宋_GB2312"/>
          <w:b w:val="0"/>
          <w:sz w:val="32"/>
          <w:szCs w:val="32"/>
        </w:rPr>
        <w:t>政府性基金预算；本年支出</w:t>
      </w:r>
      <w:r>
        <w:rPr>
          <w:rFonts w:hint="eastAsia" w:ascii="Times New Roman" w:eastAsia="仿宋_GB2312"/>
          <w:b w:val="0"/>
          <w:sz w:val="32"/>
          <w:szCs w:val="32"/>
          <w:lang w:eastAsia="zh-CN"/>
        </w:rPr>
        <w:t>0</w:t>
      </w:r>
      <w:r>
        <w:rPr>
          <w:rFonts w:hint="eastAsia" w:ascii="Times New Roman" w:eastAsia="仿宋_GB2312"/>
          <w:b w:val="0"/>
          <w:sz w:val="32"/>
          <w:szCs w:val="32"/>
        </w:rPr>
        <w:t>万元，比上年增加</w:t>
      </w:r>
      <w:r>
        <w:rPr>
          <w:rFonts w:hint="eastAsia" w:ascii="Times New Roman" w:eastAsia="仿宋_GB2312"/>
          <w:b w:val="0"/>
          <w:sz w:val="32"/>
          <w:szCs w:val="32"/>
          <w:lang w:eastAsia="zh-CN"/>
        </w:rPr>
        <w:t>0</w:t>
      </w:r>
      <w:r>
        <w:rPr>
          <w:rFonts w:hint="eastAsia" w:ascii="Times New Roman" w:eastAsia="仿宋_GB2312"/>
          <w:b w:val="0"/>
          <w:sz w:val="32"/>
          <w:szCs w:val="32"/>
        </w:rPr>
        <w:t>万元，</w:t>
      </w:r>
      <w:r>
        <w:rPr>
          <w:rFonts w:hint="eastAsia" w:ascii="Times New Roman" w:eastAsia="仿宋_GB2312"/>
          <w:b w:val="0"/>
          <w:sz w:val="32"/>
          <w:szCs w:val="32"/>
          <w:lang w:eastAsia="zh-CN"/>
        </w:rPr>
        <w:t>与上年持平</w:t>
      </w:r>
      <w:r>
        <w:rPr>
          <w:rFonts w:hint="eastAsia" w:ascii="Times New Roman" w:eastAsia="仿宋_GB2312"/>
          <w:b w:val="0"/>
          <w:sz w:val="32"/>
          <w:szCs w:val="32"/>
        </w:rPr>
        <w:t>，主要原因是</w:t>
      </w:r>
      <w:r>
        <w:rPr>
          <w:rFonts w:hint="eastAsia" w:ascii="Times New Roman" w:eastAsia="仿宋_GB2312"/>
          <w:b w:val="0"/>
          <w:sz w:val="32"/>
          <w:szCs w:val="32"/>
          <w:lang w:eastAsia="zh-CN"/>
        </w:rPr>
        <w:t>本部门无</w:t>
      </w:r>
      <w:r>
        <w:rPr>
          <w:rFonts w:hint="eastAsia" w:ascii="Times New Roman" w:eastAsia="仿宋_GB2312"/>
          <w:b w:val="0"/>
          <w:sz w:val="32"/>
          <w:szCs w:val="32"/>
        </w:rPr>
        <w:t>政府性基金预算。</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3. 国有资本经营预算财政拨款本年收入</w:t>
      </w:r>
      <w:r>
        <w:rPr>
          <w:rFonts w:hint="eastAsia" w:ascii="Times New Roman" w:eastAsia="仿宋_GB2312"/>
          <w:b w:val="0"/>
          <w:sz w:val="32"/>
          <w:szCs w:val="32"/>
          <w:lang w:eastAsia="zh-CN"/>
        </w:rPr>
        <w:t>0</w:t>
      </w:r>
      <w:r>
        <w:rPr>
          <w:rFonts w:hint="eastAsia" w:ascii="Times New Roman" w:eastAsia="仿宋_GB2312"/>
          <w:b w:val="0"/>
          <w:sz w:val="32"/>
          <w:szCs w:val="32"/>
        </w:rPr>
        <w:t>万元，比上年增加</w:t>
      </w:r>
      <w:r>
        <w:rPr>
          <w:rFonts w:hint="eastAsia" w:ascii="Times New Roman" w:eastAsia="仿宋_GB2312"/>
          <w:b w:val="0"/>
          <w:sz w:val="32"/>
          <w:szCs w:val="32"/>
          <w:lang w:eastAsia="zh-CN"/>
        </w:rPr>
        <w:t>0</w:t>
      </w:r>
      <w:r>
        <w:rPr>
          <w:rFonts w:hint="eastAsia" w:ascii="Times New Roman" w:eastAsia="仿宋_GB2312"/>
          <w:b w:val="0"/>
          <w:sz w:val="32"/>
          <w:szCs w:val="32"/>
        </w:rPr>
        <w:t>万元，</w:t>
      </w:r>
      <w:r>
        <w:rPr>
          <w:rFonts w:hint="eastAsia" w:ascii="Times New Roman" w:eastAsia="仿宋_GB2312"/>
          <w:b w:val="0"/>
          <w:sz w:val="32"/>
          <w:szCs w:val="32"/>
          <w:lang w:eastAsia="zh-CN"/>
        </w:rPr>
        <w:t>与上年持平</w:t>
      </w:r>
      <w:r>
        <w:rPr>
          <w:rFonts w:hint="eastAsia" w:ascii="Times New Roman" w:eastAsia="仿宋_GB2312"/>
          <w:b w:val="0"/>
          <w:sz w:val="32"/>
          <w:szCs w:val="32"/>
        </w:rPr>
        <w:t>，主要原因是</w:t>
      </w:r>
      <w:r>
        <w:rPr>
          <w:rFonts w:hint="eastAsia" w:ascii="Times New Roman" w:eastAsia="仿宋_GB2312"/>
          <w:b w:val="0"/>
          <w:sz w:val="32"/>
          <w:szCs w:val="32"/>
          <w:lang w:eastAsia="zh-CN"/>
        </w:rPr>
        <w:t>本部门无</w:t>
      </w:r>
      <w:r>
        <w:rPr>
          <w:rFonts w:hint="eastAsia" w:ascii="Times New Roman" w:eastAsia="仿宋_GB2312"/>
          <w:b w:val="0"/>
          <w:sz w:val="32"/>
          <w:szCs w:val="32"/>
        </w:rPr>
        <w:t>国有资本经营预算；本年支出</w:t>
      </w:r>
      <w:r>
        <w:rPr>
          <w:rFonts w:hint="eastAsia" w:ascii="Times New Roman" w:eastAsia="仿宋_GB2312"/>
          <w:b w:val="0"/>
          <w:sz w:val="32"/>
          <w:szCs w:val="32"/>
          <w:lang w:eastAsia="zh-CN"/>
        </w:rPr>
        <w:t>0</w:t>
      </w:r>
      <w:r>
        <w:rPr>
          <w:rFonts w:hint="eastAsia" w:ascii="Times New Roman" w:eastAsia="仿宋_GB2312"/>
          <w:b w:val="0"/>
          <w:sz w:val="32"/>
          <w:szCs w:val="32"/>
        </w:rPr>
        <w:t>万元，比上年增加</w:t>
      </w:r>
      <w:r>
        <w:rPr>
          <w:rFonts w:hint="eastAsia" w:ascii="Times New Roman" w:eastAsia="仿宋_GB2312"/>
          <w:b w:val="0"/>
          <w:sz w:val="32"/>
          <w:szCs w:val="32"/>
          <w:lang w:eastAsia="zh-CN"/>
        </w:rPr>
        <w:t>0</w:t>
      </w:r>
      <w:r>
        <w:rPr>
          <w:rFonts w:hint="eastAsia" w:ascii="Times New Roman" w:eastAsia="仿宋_GB2312"/>
          <w:b w:val="0"/>
          <w:sz w:val="32"/>
          <w:szCs w:val="32"/>
        </w:rPr>
        <w:t>万元，</w:t>
      </w:r>
      <w:r>
        <w:rPr>
          <w:rFonts w:hint="eastAsia" w:ascii="Times New Roman" w:eastAsia="仿宋_GB2312"/>
          <w:b w:val="0"/>
          <w:sz w:val="32"/>
          <w:szCs w:val="32"/>
          <w:lang w:eastAsia="zh-CN"/>
        </w:rPr>
        <w:t>与上年持平</w:t>
      </w:r>
      <w:r>
        <w:rPr>
          <w:rFonts w:hint="eastAsia" w:ascii="Times New Roman" w:eastAsia="仿宋_GB2312"/>
          <w:b w:val="0"/>
          <w:sz w:val="32"/>
          <w:szCs w:val="32"/>
        </w:rPr>
        <w:t>，主要原因是</w:t>
      </w:r>
      <w:r>
        <w:rPr>
          <w:rFonts w:hint="eastAsia" w:ascii="Times New Roman" w:eastAsia="仿宋_GB2312"/>
          <w:b w:val="0"/>
          <w:sz w:val="32"/>
          <w:szCs w:val="32"/>
          <w:lang w:eastAsia="zh-CN"/>
        </w:rPr>
        <w:t>本部门无</w:t>
      </w:r>
      <w:r>
        <w:rPr>
          <w:rFonts w:hint="eastAsia" w:ascii="Times New Roman" w:eastAsia="仿宋_GB2312"/>
          <w:b w:val="0"/>
          <w:sz w:val="32"/>
          <w:szCs w:val="32"/>
        </w:rPr>
        <w:t>国有资本经营预算。</w:t>
      </w:r>
    </w:p>
    <w:p>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leftChars="0" w:right="0" w:rightChars="0"/>
        <w:jc w:val="center"/>
        <w:textAlignment w:val="auto"/>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152390" cy="3056255"/>
            <wp:effectExtent l="4445" t="4445" r="5715"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楷体_GB2312"/>
          <w:sz w:val="32"/>
          <w:szCs w:val="32"/>
        </w:rPr>
      </w:pPr>
      <w:r>
        <w:rPr>
          <w:rFonts w:ascii="Times New Roman" w:eastAsia="楷体_GB2312"/>
          <w:b/>
          <w:sz w:val="32"/>
          <w:szCs w:val="32"/>
        </w:rPr>
        <w:t>（二）财政拨款收支与年初预算数对比情况</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部门</w:t>
      </w:r>
      <w:r>
        <w:rPr>
          <w:rFonts w:hint="eastAsia" w:ascii="Times New Roman" w:eastAsia="仿宋_GB2312"/>
          <w:b w:val="0"/>
          <w:sz w:val="32"/>
          <w:szCs w:val="32"/>
        </w:rPr>
        <w:t>2025年度财政拨款本年收入14,303.63万元，完成年初预算的207.4%，比年初预算增加7,407.66万元，决算数大于预算数主要原因是增加了</w:t>
      </w:r>
      <w:r>
        <w:rPr>
          <w:rFonts w:hint="eastAsia" w:ascii="Times New Roman" w:eastAsia="仿宋_GB2312"/>
          <w:b w:val="0"/>
          <w:sz w:val="32"/>
          <w:szCs w:val="32"/>
          <w:lang w:eastAsia="zh-CN"/>
        </w:rPr>
        <w:t>制造业新型技术改造城市试点补助资金</w:t>
      </w:r>
      <w:r>
        <w:rPr>
          <w:rFonts w:hint="eastAsia" w:ascii="Times New Roman" w:eastAsia="仿宋_GB2312"/>
          <w:b w:val="0"/>
          <w:sz w:val="32"/>
          <w:szCs w:val="32"/>
        </w:rPr>
        <w:t>等；本年支出14,303.63万元，完成年初预算的207.4%，比年初预算增加7,407.66万元，决算数大于预算数主要原因是增加了</w:t>
      </w:r>
      <w:r>
        <w:rPr>
          <w:rFonts w:hint="eastAsia" w:ascii="Times New Roman" w:eastAsia="仿宋_GB2312"/>
          <w:b w:val="0"/>
          <w:sz w:val="32"/>
          <w:szCs w:val="32"/>
          <w:lang w:eastAsia="zh-CN"/>
        </w:rPr>
        <w:t>制造业新型技术改造城市试点补助资金</w:t>
      </w:r>
      <w:r>
        <w:rPr>
          <w:rFonts w:hint="eastAsia" w:ascii="Times New Roman" w:eastAsia="仿宋_GB2312"/>
          <w:b w:val="0"/>
          <w:sz w:val="32"/>
          <w:szCs w:val="32"/>
        </w:rPr>
        <w:t>等。具体情况如下：</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1. 一般公共预算财政拨款本年收入完成年初预算的207.4%，比年初预算增加7,407.66万元，主要原因是增加了</w:t>
      </w:r>
      <w:r>
        <w:rPr>
          <w:rFonts w:hint="eastAsia" w:ascii="Times New Roman" w:eastAsia="仿宋_GB2312"/>
          <w:b w:val="0"/>
          <w:sz w:val="32"/>
          <w:szCs w:val="32"/>
          <w:lang w:eastAsia="zh-CN"/>
        </w:rPr>
        <w:t>制造业新型技术改造城市试点补助资金</w:t>
      </w:r>
      <w:r>
        <w:rPr>
          <w:rFonts w:hint="eastAsia" w:ascii="Times New Roman" w:eastAsia="仿宋_GB2312"/>
          <w:b w:val="0"/>
          <w:sz w:val="32"/>
          <w:szCs w:val="32"/>
        </w:rPr>
        <w:t>等；支出完成年初预算的207.4%，比年初预算增加7,407.66万元，主要原因是增加了</w:t>
      </w:r>
      <w:r>
        <w:rPr>
          <w:rFonts w:hint="eastAsia" w:ascii="Times New Roman" w:eastAsia="仿宋_GB2312"/>
          <w:b w:val="0"/>
          <w:sz w:val="32"/>
          <w:szCs w:val="32"/>
          <w:lang w:eastAsia="zh-CN"/>
        </w:rPr>
        <w:t>制造业新型技术改造城市试点补助资金</w:t>
      </w:r>
      <w:r>
        <w:rPr>
          <w:rFonts w:hint="eastAsia" w:ascii="Times New Roman" w:eastAsia="仿宋_GB2312"/>
          <w:b w:val="0"/>
          <w:sz w:val="32"/>
          <w:szCs w:val="32"/>
        </w:rPr>
        <w:t>等。</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2. 政府性基金预算财政拨款本年收入完成年初预算的</w:t>
      </w:r>
      <w:r>
        <w:rPr>
          <w:rFonts w:hint="eastAsia" w:ascii="Times New Roman" w:eastAsia="仿宋_GB2312"/>
          <w:b w:val="0"/>
          <w:sz w:val="32"/>
          <w:szCs w:val="32"/>
          <w:lang w:eastAsia="zh-CN"/>
        </w:rPr>
        <w:t>0%</w:t>
      </w:r>
      <w:r>
        <w:rPr>
          <w:rFonts w:hint="eastAsia" w:ascii="Times New Roman" w:eastAsia="仿宋_GB2312"/>
          <w:b w:val="0"/>
          <w:sz w:val="32"/>
          <w:szCs w:val="32"/>
        </w:rPr>
        <w:t>，比年初预算增加</w:t>
      </w:r>
      <w:r>
        <w:rPr>
          <w:rFonts w:hint="eastAsia" w:ascii="Times New Roman" w:eastAsia="仿宋_GB2312"/>
          <w:b w:val="0"/>
          <w:sz w:val="32"/>
          <w:szCs w:val="32"/>
          <w:lang w:eastAsia="zh-CN"/>
        </w:rPr>
        <w:t>0</w:t>
      </w:r>
      <w:r>
        <w:rPr>
          <w:rFonts w:hint="eastAsia" w:ascii="Times New Roman" w:eastAsia="仿宋_GB2312"/>
          <w:b w:val="0"/>
          <w:sz w:val="32"/>
          <w:szCs w:val="32"/>
        </w:rPr>
        <w:t>万元，主要原因是</w:t>
      </w:r>
      <w:r>
        <w:rPr>
          <w:rFonts w:hint="eastAsia" w:ascii="Times New Roman" w:eastAsia="仿宋_GB2312"/>
          <w:b w:val="0"/>
          <w:sz w:val="32"/>
          <w:szCs w:val="32"/>
          <w:lang w:eastAsia="zh-CN"/>
        </w:rPr>
        <w:t>本部门无</w:t>
      </w:r>
      <w:r>
        <w:rPr>
          <w:rFonts w:hint="eastAsia" w:ascii="Times New Roman" w:eastAsia="仿宋_GB2312"/>
          <w:b w:val="0"/>
          <w:sz w:val="32"/>
          <w:szCs w:val="32"/>
        </w:rPr>
        <w:t>政府性基金预算；支出完成年初预算的</w:t>
      </w:r>
      <w:r>
        <w:rPr>
          <w:rFonts w:hint="eastAsia" w:ascii="Times New Roman" w:eastAsia="仿宋_GB2312"/>
          <w:b w:val="0"/>
          <w:sz w:val="32"/>
          <w:szCs w:val="32"/>
          <w:lang w:eastAsia="zh-CN"/>
        </w:rPr>
        <w:t>0%</w:t>
      </w:r>
      <w:r>
        <w:rPr>
          <w:rFonts w:hint="eastAsia" w:ascii="Times New Roman" w:eastAsia="仿宋_GB2312"/>
          <w:b w:val="0"/>
          <w:sz w:val="32"/>
          <w:szCs w:val="32"/>
        </w:rPr>
        <w:t>，比年初预算增加</w:t>
      </w:r>
      <w:r>
        <w:rPr>
          <w:rFonts w:hint="eastAsia" w:ascii="Times New Roman" w:eastAsia="仿宋_GB2312"/>
          <w:b w:val="0"/>
          <w:sz w:val="32"/>
          <w:szCs w:val="32"/>
          <w:lang w:eastAsia="zh-CN"/>
        </w:rPr>
        <w:t>0</w:t>
      </w:r>
      <w:r>
        <w:rPr>
          <w:rFonts w:hint="eastAsia" w:ascii="Times New Roman" w:eastAsia="仿宋_GB2312"/>
          <w:b w:val="0"/>
          <w:sz w:val="32"/>
          <w:szCs w:val="32"/>
        </w:rPr>
        <w:t>万元，主要原因是</w:t>
      </w:r>
      <w:r>
        <w:rPr>
          <w:rFonts w:hint="eastAsia" w:ascii="Times New Roman" w:eastAsia="仿宋_GB2312"/>
          <w:b w:val="0"/>
          <w:sz w:val="32"/>
          <w:szCs w:val="32"/>
          <w:lang w:eastAsia="zh-CN"/>
        </w:rPr>
        <w:t>本部门无</w:t>
      </w:r>
      <w:r>
        <w:rPr>
          <w:rFonts w:hint="eastAsia" w:ascii="Times New Roman" w:eastAsia="仿宋_GB2312"/>
          <w:b w:val="0"/>
          <w:sz w:val="32"/>
          <w:szCs w:val="32"/>
        </w:rPr>
        <w:t>政府性基金预算。</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3. 国有资本经营预算财政拨款本年收入完成年初预算的</w:t>
      </w:r>
      <w:r>
        <w:rPr>
          <w:rFonts w:hint="eastAsia" w:ascii="Times New Roman" w:eastAsia="仿宋_GB2312"/>
          <w:b w:val="0"/>
          <w:sz w:val="32"/>
          <w:szCs w:val="32"/>
          <w:lang w:eastAsia="zh-CN"/>
        </w:rPr>
        <w:t>0%</w:t>
      </w:r>
      <w:r>
        <w:rPr>
          <w:rFonts w:hint="eastAsia" w:ascii="Times New Roman" w:eastAsia="仿宋_GB2312"/>
          <w:b w:val="0"/>
          <w:sz w:val="32"/>
          <w:szCs w:val="32"/>
        </w:rPr>
        <w:t>，比年初预算增加</w:t>
      </w:r>
      <w:r>
        <w:rPr>
          <w:rFonts w:hint="eastAsia" w:ascii="Times New Roman" w:eastAsia="仿宋_GB2312"/>
          <w:b w:val="0"/>
          <w:sz w:val="32"/>
          <w:szCs w:val="32"/>
          <w:lang w:eastAsia="zh-CN"/>
        </w:rPr>
        <w:t>0</w:t>
      </w:r>
      <w:r>
        <w:rPr>
          <w:rFonts w:hint="eastAsia" w:ascii="Times New Roman" w:eastAsia="仿宋_GB2312"/>
          <w:b w:val="0"/>
          <w:sz w:val="32"/>
          <w:szCs w:val="32"/>
        </w:rPr>
        <w:t>万元，主要原因是</w:t>
      </w:r>
      <w:r>
        <w:rPr>
          <w:rFonts w:hint="eastAsia" w:ascii="Times New Roman" w:eastAsia="仿宋_GB2312"/>
          <w:b w:val="0"/>
          <w:sz w:val="32"/>
          <w:szCs w:val="32"/>
          <w:lang w:eastAsia="zh-CN"/>
        </w:rPr>
        <w:t>本部门无</w:t>
      </w:r>
      <w:r>
        <w:rPr>
          <w:rFonts w:hint="eastAsia" w:ascii="Times New Roman" w:eastAsia="仿宋_GB2312"/>
          <w:b w:val="0"/>
          <w:sz w:val="32"/>
          <w:szCs w:val="32"/>
        </w:rPr>
        <w:t>国有资本经营预算；支出完成年初预算的</w:t>
      </w:r>
      <w:r>
        <w:rPr>
          <w:rFonts w:hint="eastAsia" w:ascii="Times New Roman" w:eastAsia="仿宋_GB2312"/>
          <w:b w:val="0"/>
          <w:sz w:val="32"/>
          <w:szCs w:val="32"/>
          <w:lang w:eastAsia="zh-CN"/>
        </w:rPr>
        <w:t>0%</w:t>
      </w:r>
      <w:r>
        <w:rPr>
          <w:rFonts w:hint="eastAsia" w:ascii="Times New Roman" w:eastAsia="仿宋_GB2312"/>
          <w:b w:val="0"/>
          <w:sz w:val="32"/>
          <w:szCs w:val="32"/>
        </w:rPr>
        <w:t>，比年初预算增加</w:t>
      </w:r>
      <w:r>
        <w:rPr>
          <w:rFonts w:hint="eastAsia" w:ascii="Times New Roman" w:eastAsia="仿宋_GB2312"/>
          <w:b w:val="0"/>
          <w:sz w:val="32"/>
          <w:szCs w:val="32"/>
          <w:lang w:eastAsia="zh-CN"/>
        </w:rPr>
        <w:t>0</w:t>
      </w:r>
      <w:r>
        <w:rPr>
          <w:rFonts w:hint="eastAsia" w:ascii="Times New Roman" w:eastAsia="仿宋_GB2312"/>
          <w:b w:val="0"/>
          <w:sz w:val="32"/>
          <w:szCs w:val="32"/>
        </w:rPr>
        <w:t>万元，主要原因是</w:t>
      </w:r>
      <w:r>
        <w:rPr>
          <w:rFonts w:hint="eastAsia" w:ascii="Times New Roman" w:eastAsia="仿宋_GB2312"/>
          <w:b w:val="0"/>
          <w:sz w:val="32"/>
          <w:szCs w:val="32"/>
          <w:lang w:eastAsia="zh-CN"/>
        </w:rPr>
        <w:t>本部门无</w:t>
      </w:r>
      <w:r>
        <w:rPr>
          <w:rFonts w:hint="eastAsia" w:ascii="Times New Roman" w:eastAsia="仿宋_GB2312"/>
          <w:b w:val="0"/>
          <w:sz w:val="32"/>
          <w:szCs w:val="32"/>
        </w:rPr>
        <w:t>国有资本经营预算。</w:t>
      </w:r>
    </w:p>
    <w:p>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leftChars="0" w:right="0" w:rightChars="0"/>
        <w:jc w:val="center"/>
        <w:textAlignment w:val="auto"/>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4535805" cy="2513965"/>
            <wp:effectExtent l="4445" t="4445" r="12700" b="1524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楷体_GB2312"/>
          <w:sz w:val="32"/>
          <w:szCs w:val="32"/>
        </w:rPr>
      </w:pPr>
      <w:r>
        <w:rPr>
          <w:rFonts w:ascii="Times New Roman" w:eastAsia="楷体_GB2312"/>
          <w:b/>
          <w:sz w:val="32"/>
          <w:szCs w:val="32"/>
        </w:rPr>
        <w:t>（三）财政拨款支出决算结构情况</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2025年度财政拨款支出14,303.63万元，主要用于以下方面：</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hint="eastAsia" w:ascii="Times New Roman" w:eastAsia="仿宋_GB2312"/>
          <w:b w:val="0"/>
          <w:sz w:val="32"/>
          <w:szCs w:val="32"/>
          <w:lang w:eastAsia="zh-CN"/>
        </w:rPr>
      </w:pPr>
      <w:r>
        <w:rPr>
          <w:rFonts w:ascii="Times New Roman" w:eastAsia="仿宋_GB2312"/>
          <w:b/>
          <w:sz w:val="32"/>
          <w:szCs w:val="32"/>
        </w:rPr>
        <w:t>一般公共预算财政拨款支出：</w:t>
      </w:r>
      <w:r>
        <w:rPr>
          <w:rFonts w:ascii="Times New Roman" w:eastAsia="仿宋_GB2312"/>
          <w:b w:val="0"/>
          <w:sz w:val="32"/>
          <w:szCs w:val="32"/>
        </w:rPr>
        <w:t>社会保障和就业（类）支出1,661.31万元，占11.6%，主要用于</w:t>
      </w:r>
      <w:r>
        <w:rPr>
          <w:rFonts w:hint="eastAsia" w:ascii="Times New Roman" w:eastAsia="仿宋_GB2312"/>
          <w:b w:val="0"/>
          <w:sz w:val="32"/>
          <w:szCs w:val="32"/>
          <w:lang w:eastAsia="zh-CN"/>
        </w:rPr>
        <w:t>人员</w:t>
      </w:r>
      <w:r>
        <w:rPr>
          <w:rFonts w:ascii="Times New Roman" w:eastAsia="仿宋_GB2312"/>
          <w:b w:val="0"/>
          <w:sz w:val="32"/>
          <w:szCs w:val="32"/>
        </w:rPr>
        <w:t>养老保险、医疗保险等支出；卫生健康（类）支出1,502.15万元，占10.5%，主要用于</w:t>
      </w:r>
      <w:r>
        <w:rPr>
          <w:rFonts w:hint="eastAsia" w:ascii="Times New Roman" w:eastAsia="仿宋_GB2312"/>
          <w:b w:val="0"/>
          <w:sz w:val="32"/>
          <w:szCs w:val="32"/>
          <w:lang w:eastAsia="zh-CN"/>
        </w:rPr>
        <w:t>保供</w:t>
      </w:r>
      <w:r>
        <w:rPr>
          <w:rFonts w:ascii="Times New Roman" w:eastAsia="仿宋_GB2312"/>
          <w:b w:val="0"/>
          <w:sz w:val="32"/>
          <w:szCs w:val="32"/>
        </w:rPr>
        <w:t>储备物资</w:t>
      </w:r>
      <w:r>
        <w:rPr>
          <w:rFonts w:hint="eastAsia" w:ascii="Times New Roman" w:eastAsia="仿宋_GB2312"/>
          <w:b w:val="0"/>
          <w:sz w:val="32"/>
          <w:szCs w:val="32"/>
          <w:lang w:eastAsia="zh-CN"/>
        </w:rPr>
        <w:t>资金</w:t>
      </w:r>
      <w:r>
        <w:rPr>
          <w:rFonts w:ascii="Times New Roman" w:eastAsia="仿宋_GB2312"/>
          <w:b w:val="0"/>
          <w:sz w:val="32"/>
          <w:szCs w:val="32"/>
        </w:rPr>
        <w:t>；资源勘探信息等（类）支出10,942.41万元，占76.5%，主要用于完成</w:t>
      </w:r>
      <w:r>
        <w:rPr>
          <w:rFonts w:hint="eastAsia" w:ascii="Times New Roman" w:eastAsia="仿宋_GB2312"/>
          <w:b w:val="0"/>
          <w:sz w:val="32"/>
          <w:szCs w:val="32"/>
          <w:lang w:eastAsia="zh-CN"/>
        </w:rPr>
        <w:t>石家庄市工业和信息化局</w:t>
      </w:r>
      <w:r>
        <w:rPr>
          <w:rFonts w:ascii="Times New Roman" w:eastAsia="仿宋_GB2312"/>
          <w:b w:val="0"/>
          <w:sz w:val="32"/>
          <w:szCs w:val="32"/>
        </w:rPr>
        <w:t>工作</w:t>
      </w:r>
      <w:r>
        <w:rPr>
          <w:rFonts w:hint="eastAsia" w:ascii="Times New Roman" w:eastAsia="仿宋_GB2312"/>
          <w:b w:val="0"/>
          <w:sz w:val="32"/>
          <w:szCs w:val="32"/>
          <w:lang w:eastAsia="zh-CN"/>
        </w:rPr>
        <w:t>相关的</w:t>
      </w:r>
      <w:r>
        <w:rPr>
          <w:rFonts w:ascii="Times New Roman" w:eastAsia="仿宋_GB2312"/>
          <w:b w:val="0"/>
          <w:sz w:val="32"/>
          <w:szCs w:val="32"/>
        </w:rPr>
        <w:t>项目等支出；住房保障（类）支出197.76万元，占1.4%，主要用于缴纳住房公积金等支出</w:t>
      </w:r>
      <w:r>
        <w:rPr>
          <w:rFonts w:hint="eastAsia" w:ascii="Times New Roman" w:eastAsia="仿宋_GB2312"/>
          <w:b w:val="0"/>
          <w:sz w:val="32"/>
          <w:szCs w:val="32"/>
          <w:lang w:eastAsia="zh-CN"/>
        </w:rPr>
        <w:t>。</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hint="eastAsia" w:ascii="Times New Roman" w:eastAsia="仿宋_GB2312"/>
          <w:b/>
          <w:sz w:val="32"/>
          <w:szCs w:val="32"/>
          <w:lang w:eastAsia="zh-CN"/>
        </w:rPr>
      </w:pPr>
      <w:r>
        <w:rPr>
          <w:rFonts w:hint="eastAsia" w:ascii="Times New Roman" w:eastAsia="仿宋_GB2312"/>
          <w:b/>
          <w:sz w:val="32"/>
          <w:szCs w:val="32"/>
          <w:lang w:eastAsia="zh-CN"/>
        </w:rPr>
        <w:t>本部门无</w:t>
      </w:r>
      <w:r>
        <w:rPr>
          <w:rFonts w:ascii="Times New Roman" w:eastAsia="仿宋_GB2312"/>
          <w:b/>
          <w:sz w:val="32"/>
          <w:szCs w:val="32"/>
        </w:rPr>
        <w:t>政府性基金预算财政拨款支出</w:t>
      </w:r>
      <w:r>
        <w:rPr>
          <w:rFonts w:hint="eastAsia" w:ascii="Times New Roman" w:eastAsia="仿宋_GB2312"/>
          <w:b/>
          <w:sz w:val="32"/>
          <w:szCs w:val="32"/>
          <w:lang w:eastAsia="zh-CN"/>
        </w:rPr>
        <w:t>。</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hint="eastAsia" w:ascii="Times New Roman" w:eastAsia="仿宋_GB2312"/>
          <w:b/>
          <w:sz w:val="32"/>
          <w:szCs w:val="32"/>
          <w:lang w:eastAsia="zh-CN"/>
        </w:rPr>
      </w:pPr>
      <w:r>
        <w:rPr>
          <w:rFonts w:hint="eastAsia" w:ascii="Times New Roman" w:eastAsia="仿宋_GB2312"/>
          <w:b/>
          <w:sz w:val="32"/>
          <w:szCs w:val="32"/>
          <w:lang w:eastAsia="zh-CN"/>
        </w:rPr>
        <w:t>本部门无</w:t>
      </w:r>
      <w:r>
        <w:rPr>
          <w:rFonts w:ascii="Times New Roman" w:eastAsia="仿宋_GB2312"/>
          <w:b/>
          <w:sz w:val="32"/>
          <w:szCs w:val="32"/>
        </w:rPr>
        <w:t>国有资本经营预算财政拨款支出</w:t>
      </w:r>
      <w:r>
        <w:rPr>
          <w:rFonts w:hint="eastAsia" w:ascii="Times New Roman" w:eastAsia="仿宋_GB2312"/>
          <w:b/>
          <w:sz w:val="32"/>
          <w:szCs w:val="32"/>
          <w:lang w:eastAsia="zh-CN"/>
        </w:rPr>
        <w:t>。</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楷体_GB2312"/>
          <w:sz w:val="32"/>
          <w:szCs w:val="32"/>
        </w:rPr>
      </w:pPr>
      <w:r>
        <w:rPr>
          <w:rFonts w:ascii="Times New Roman" w:eastAsia="楷体_GB2312"/>
          <w:b/>
          <w:sz w:val="32"/>
          <w:szCs w:val="32"/>
        </w:rPr>
        <w:t>（四）一般公共预算财政拨款基本支出决算情况说明</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2025年度财政拨款基本支出4,935.86万元，其中：</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人员经费4,636.73万元，主要包括基本工资、津贴补贴、奖金、绩效工资、机关事业部门基本养老保险缴费、职业年金缴费、职工基本医疗保险缴费、公务员医疗补助缴费、住房公积金、离休费、退休费、抚恤金、其他对个人和家庭的补助支出</w:t>
      </w:r>
      <w:r>
        <w:rPr>
          <w:rFonts w:hint="eastAsia" w:ascii="Times New Roman" w:eastAsia="仿宋_GB2312"/>
          <w:b w:val="0"/>
          <w:sz w:val="32"/>
          <w:szCs w:val="32"/>
          <w:lang w:eastAsia="zh-CN"/>
        </w:rPr>
        <w:t>等</w:t>
      </w:r>
      <w:r>
        <w:rPr>
          <w:rFonts w:hint="eastAsia" w:ascii="Times New Roman" w:eastAsia="仿宋_GB2312"/>
          <w:b w:val="0"/>
          <w:sz w:val="32"/>
          <w:szCs w:val="32"/>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仿宋_GB2312"/>
          <w:sz w:val="32"/>
          <w:szCs w:val="32"/>
        </w:rPr>
      </w:pPr>
      <w:r>
        <w:rPr>
          <w:rFonts w:hint="eastAsia" w:ascii="Times New Roman" w:eastAsia="仿宋_GB2312"/>
          <w:b w:val="0"/>
          <w:sz w:val="32"/>
          <w:szCs w:val="32"/>
        </w:rPr>
        <w:t>公用经费299.13万元，主要包括办公费、印刷费、邮电费、差旅费、因公出国（境）费用、维修（护）费、会议费、培训费、公务接待费、委托业务费、工会经费、公务用车运行维护费</w:t>
      </w:r>
      <w:r>
        <w:rPr>
          <w:rFonts w:hint="eastAsia" w:ascii="Times New Roman" w:eastAsia="仿宋_GB2312"/>
          <w:b w:val="0"/>
          <w:sz w:val="32"/>
          <w:szCs w:val="32"/>
          <w:lang w:eastAsia="zh-CN"/>
        </w:rPr>
        <w:t>等</w:t>
      </w:r>
      <w:r>
        <w:rPr>
          <w:rFonts w:hint="eastAsia" w:ascii="Times New Roman" w:eastAsia="仿宋_GB2312"/>
          <w:b w:val="0"/>
          <w:sz w:val="32"/>
          <w:szCs w:val="32"/>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五、财政拨款</w:t>
      </w:r>
      <w:r>
        <w:rPr>
          <w:rFonts w:hint="eastAsia" w:ascii="Times New Roman" w:eastAsia="黑体"/>
          <w:b w:val="0"/>
          <w:sz w:val="32"/>
          <w:szCs w:val="32"/>
          <w:lang w:eastAsia="zh-CN"/>
        </w:rPr>
        <w:t>“</w:t>
      </w:r>
      <w:r>
        <w:rPr>
          <w:rFonts w:ascii="Times New Roman" w:eastAsia="黑体"/>
          <w:b w:val="0"/>
          <w:sz w:val="32"/>
          <w:szCs w:val="32"/>
        </w:rPr>
        <w:t>三公</w:t>
      </w:r>
      <w:r>
        <w:rPr>
          <w:rFonts w:hint="eastAsia" w:ascii="Times New Roman" w:eastAsia="黑体"/>
          <w:b w:val="0"/>
          <w:sz w:val="32"/>
          <w:szCs w:val="32"/>
          <w:lang w:eastAsia="zh-CN"/>
        </w:rPr>
        <w:t>”</w:t>
      </w:r>
      <w:r>
        <w:rPr>
          <w:rFonts w:ascii="Times New Roman" w:eastAsia="黑体"/>
          <w:b w:val="0"/>
          <w:sz w:val="32"/>
          <w:szCs w:val="32"/>
        </w:rPr>
        <w:t>经费支出决算情况说明</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楷体_GB2312"/>
          <w:sz w:val="32"/>
          <w:szCs w:val="32"/>
        </w:rPr>
      </w:pPr>
      <w:r>
        <w:rPr>
          <w:rFonts w:ascii="Times New Roman" w:eastAsia="楷体_GB2312"/>
          <w:b/>
          <w:sz w:val="32"/>
          <w:szCs w:val="32"/>
        </w:rPr>
        <w:t>（一）</w:t>
      </w:r>
      <w:r>
        <w:rPr>
          <w:rFonts w:hint="eastAsia" w:ascii="Times New Roman" w:eastAsia="楷体_GB2312"/>
          <w:b/>
          <w:sz w:val="32"/>
          <w:szCs w:val="32"/>
          <w:lang w:eastAsia="zh-CN"/>
        </w:rPr>
        <w:t>“</w:t>
      </w:r>
      <w:r>
        <w:rPr>
          <w:rFonts w:ascii="Times New Roman" w:eastAsia="楷体_GB2312"/>
          <w:b/>
          <w:sz w:val="32"/>
          <w:szCs w:val="32"/>
        </w:rPr>
        <w:t>三公</w:t>
      </w:r>
      <w:r>
        <w:rPr>
          <w:rFonts w:hint="eastAsia" w:ascii="Times New Roman" w:eastAsia="楷体_GB2312"/>
          <w:b/>
          <w:sz w:val="32"/>
          <w:szCs w:val="32"/>
          <w:lang w:eastAsia="zh-CN"/>
        </w:rPr>
        <w:t>”</w:t>
      </w:r>
      <w:r>
        <w:rPr>
          <w:rFonts w:ascii="Times New Roman" w:eastAsia="楷体_GB2312"/>
          <w:b/>
          <w:sz w:val="32"/>
          <w:szCs w:val="32"/>
        </w:rPr>
        <w:t>经费财政拨款支出决算总体情况说明</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部门</w:t>
      </w:r>
      <w:r>
        <w:rPr>
          <w:rFonts w:hint="eastAsia" w:ascii="Times New Roman" w:eastAsia="仿宋_GB2312"/>
          <w:b w:val="0"/>
          <w:sz w:val="32"/>
          <w:szCs w:val="32"/>
        </w:rPr>
        <w:t>2025年度“三公”经费财政拨款支出预算为17.91万元，支出决算为9.79万元，完成预算的54.7%，较预算减少8.12万元，降低45.3%，主要原因是厉行节约，公务用车维护费和公务接待费支出减少；较2024年度决算减少5.12万元，降低34.3%，主要原因是2025年度未发生因公出国（境）支出。</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楷体_GB2312"/>
          <w:sz w:val="32"/>
          <w:szCs w:val="32"/>
        </w:rPr>
      </w:pPr>
      <w:r>
        <w:rPr>
          <w:rFonts w:ascii="Times New Roman" w:eastAsia="楷体_GB2312"/>
          <w:b/>
          <w:sz w:val="32"/>
          <w:szCs w:val="32"/>
        </w:rPr>
        <w:t>（二）</w:t>
      </w:r>
      <w:r>
        <w:rPr>
          <w:rFonts w:hint="eastAsia" w:ascii="Times New Roman" w:eastAsia="楷体_GB2312"/>
          <w:b/>
          <w:sz w:val="32"/>
          <w:szCs w:val="32"/>
          <w:lang w:eastAsia="zh-CN"/>
        </w:rPr>
        <w:t>“</w:t>
      </w:r>
      <w:r>
        <w:rPr>
          <w:rFonts w:ascii="Times New Roman" w:eastAsia="楷体_GB2312"/>
          <w:b/>
          <w:sz w:val="32"/>
          <w:szCs w:val="32"/>
        </w:rPr>
        <w:t>三公</w:t>
      </w:r>
      <w:r>
        <w:rPr>
          <w:rFonts w:hint="eastAsia" w:ascii="Times New Roman" w:eastAsia="楷体_GB2312"/>
          <w:b/>
          <w:sz w:val="32"/>
          <w:szCs w:val="32"/>
          <w:lang w:eastAsia="zh-CN"/>
        </w:rPr>
        <w:t>”</w:t>
      </w:r>
      <w:r>
        <w:rPr>
          <w:rFonts w:ascii="Times New Roman" w:eastAsia="楷体_GB2312"/>
          <w:b/>
          <w:sz w:val="32"/>
          <w:szCs w:val="32"/>
        </w:rPr>
        <w:t>经费财政拨款支出决算具体情况说明</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2025年度因公出国（境）费支出预算为</w:t>
      </w:r>
      <w:r>
        <w:rPr>
          <w:rFonts w:hint="eastAsia" w:ascii="Times New Roman" w:eastAsia="仿宋_GB2312"/>
          <w:b w:val="0"/>
          <w:sz w:val="32"/>
          <w:szCs w:val="32"/>
          <w:lang w:eastAsia="zh-CN"/>
        </w:rPr>
        <w:t>0</w:t>
      </w:r>
      <w:r>
        <w:rPr>
          <w:rFonts w:ascii="Times New Roman" w:eastAsia="仿宋_GB2312"/>
          <w:b w:val="0"/>
          <w:sz w:val="32"/>
          <w:szCs w:val="32"/>
        </w:rPr>
        <w:t>万元,支出决算</w:t>
      </w:r>
      <w:r>
        <w:rPr>
          <w:rFonts w:hint="eastAsia" w:ascii="Times New Roman" w:eastAsia="仿宋_GB2312"/>
          <w:b w:val="0"/>
          <w:sz w:val="32"/>
          <w:szCs w:val="32"/>
          <w:lang w:eastAsia="zh-CN"/>
        </w:rPr>
        <w:t>0</w:t>
      </w:r>
      <w:r>
        <w:rPr>
          <w:rFonts w:ascii="Times New Roman" w:eastAsia="仿宋_GB2312"/>
          <w:b w:val="0"/>
          <w:sz w:val="32"/>
          <w:szCs w:val="32"/>
        </w:rPr>
        <w:t>万元</w:t>
      </w:r>
      <w:r>
        <w:rPr>
          <w:rFonts w:hint="eastAsia" w:ascii="Times New Roman" w:eastAsia="仿宋_GB2312"/>
          <w:b w:val="0"/>
          <w:sz w:val="32"/>
          <w:szCs w:val="32"/>
          <w:lang w:eastAsia="zh-CN"/>
        </w:rPr>
        <w:t>。</w:t>
      </w:r>
      <w:r>
        <w:rPr>
          <w:rFonts w:ascii="Times New Roman" w:eastAsia="仿宋_GB2312"/>
          <w:b w:val="0"/>
          <w:sz w:val="32"/>
          <w:szCs w:val="32"/>
        </w:rPr>
        <w:t>因公出国（境）费支出较预算增加</w:t>
      </w:r>
      <w:r>
        <w:rPr>
          <w:rFonts w:hint="eastAsia" w:ascii="Times New Roman" w:eastAsia="仿宋_GB2312"/>
          <w:b w:val="0"/>
          <w:sz w:val="32"/>
          <w:szCs w:val="32"/>
          <w:lang w:eastAsia="zh-CN"/>
        </w:rPr>
        <w:t>0</w:t>
      </w:r>
      <w:r>
        <w:rPr>
          <w:rFonts w:ascii="Times New Roman" w:eastAsia="仿宋_GB2312"/>
          <w:b w:val="0"/>
          <w:sz w:val="32"/>
          <w:szCs w:val="32"/>
        </w:rPr>
        <w:t>万元，与预算持平；较上年减少5.98万元，降低10</w:t>
      </w:r>
      <w:r>
        <w:rPr>
          <w:rFonts w:hint="eastAsia" w:ascii="Times New Roman" w:eastAsia="仿宋_GB2312"/>
          <w:b w:val="0"/>
          <w:sz w:val="32"/>
          <w:szCs w:val="32"/>
          <w:lang w:eastAsia="zh-CN"/>
        </w:rPr>
        <w:t>0%</w:t>
      </w:r>
      <w:r>
        <w:rPr>
          <w:rFonts w:ascii="Times New Roman" w:eastAsia="仿宋_GB2312"/>
          <w:b w:val="0"/>
          <w:sz w:val="32"/>
          <w:szCs w:val="32"/>
        </w:rPr>
        <w:t>,主要原因是2025年度未发生因公出国（境）支出</w:t>
      </w:r>
      <w:r>
        <w:rPr>
          <w:rFonts w:hint="eastAsia" w:ascii="Times New Roman" w:eastAsia="仿宋_GB2312"/>
          <w:b w:val="0"/>
          <w:sz w:val="32"/>
          <w:szCs w:val="32"/>
          <w:lang w:eastAsia="zh-CN"/>
        </w:rPr>
        <w:t>，</w:t>
      </w:r>
      <w:r>
        <w:rPr>
          <w:rFonts w:ascii="Times New Roman" w:eastAsia="仿宋_GB2312"/>
          <w:b w:val="0"/>
          <w:sz w:val="32"/>
          <w:szCs w:val="32"/>
        </w:rPr>
        <w:t>无本部门组织的出国（境）团组。</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2025年度公务用车购置及运行维护费预算为15.52万元，支出决算9.6万元，完成预算的61.9%,较预算减少5.92万元，降低38.1%,主要原因是</w:t>
      </w:r>
      <w:r>
        <w:rPr>
          <w:rFonts w:hint="eastAsia" w:ascii="Times New Roman" w:eastAsia="仿宋_GB2312"/>
          <w:b w:val="0"/>
          <w:sz w:val="32"/>
          <w:szCs w:val="32"/>
        </w:rPr>
        <w:t>厉行节约，强化公务用车统筹调度</w:t>
      </w:r>
      <w:r>
        <w:rPr>
          <w:rFonts w:ascii="Times New Roman" w:eastAsia="仿宋_GB2312"/>
          <w:b w:val="0"/>
          <w:sz w:val="32"/>
          <w:szCs w:val="32"/>
        </w:rPr>
        <w:t>；</w:t>
      </w:r>
      <w:r>
        <w:rPr>
          <w:rFonts w:hint="eastAsia" w:ascii="Times New Roman" w:eastAsia="仿宋_GB2312"/>
          <w:b w:val="0"/>
          <w:sz w:val="32"/>
          <w:szCs w:val="32"/>
          <w:lang w:eastAsia="zh-CN"/>
        </w:rPr>
        <w:t>公务用车运行维护费</w:t>
      </w:r>
      <w:r>
        <w:rPr>
          <w:rFonts w:ascii="Times New Roman" w:eastAsia="仿宋_GB2312"/>
          <w:b w:val="0"/>
          <w:sz w:val="32"/>
          <w:szCs w:val="32"/>
        </w:rPr>
        <w:t>较上年增加1.08万元，增长12.5%,主要原因是</w:t>
      </w:r>
      <w:r>
        <w:rPr>
          <w:rFonts w:hint="eastAsia" w:ascii="Times New Roman" w:eastAsia="仿宋_GB2312"/>
          <w:b w:val="0"/>
          <w:sz w:val="32"/>
          <w:szCs w:val="32"/>
          <w:lang w:val="en-US" w:eastAsia="zh-CN"/>
        </w:rPr>
        <w:t>2025年度</w:t>
      </w:r>
      <w:r>
        <w:rPr>
          <w:rFonts w:ascii="Times New Roman" w:eastAsia="仿宋_GB2312"/>
          <w:b w:val="0"/>
          <w:sz w:val="32"/>
          <w:szCs w:val="32"/>
        </w:rPr>
        <w:t>按照公务用车车况增加了</w:t>
      </w:r>
      <w:r>
        <w:rPr>
          <w:rFonts w:hint="eastAsia" w:ascii="Times New Roman" w:eastAsia="仿宋_GB2312"/>
          <w:b w:val="0"/>
          <w:sz w:val="32"/>
          <w:szCs w:val="32"/>
          <w:lang w:eastAsia="zh-CN"/>
        </w:rPr>
        <w:t>保养</w:t>
      </w:r>
      <w:r>
        <w:rPr>
          <w:rFonts w:ascii="Times New Roman" w:eastAsia="仿宋_GB2312"/>
          <w:b w:val="0"/>
          <w:sz w:val="32"/>
          <w:szCs w:val="32"/>
        </w:rPr>
        <w:t>维修费用。其中：</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仿宋_GB2312"/>
          <w:sz w:val="32"/>
          <w:szCs w:val="32"/>
        </w:rPr>
      </w:pPr>
      <w:r>
        <w:rPr>
          <w:rFonts w:ascii="Times New Roman" w:eastAsia="仿宋_GB2312"/>
          <w:b/>
          <w:sz w:val="32"/>
          <w:szCs w:val="32"/>
        </w:rPr>
        <w:t>公务用车购置费支出</w:t>
      </w:r>
      <w:r>
        <w:rPr>
          <w:rFonts w:hint="eastAsia" w:ascii="Times New Roman" w:eastAsia="仿宋_GB2312"/>
          <w:b/>
          <w:sz w:val="32"/>
          <w:szCs w:val="32"/>
          <w:lang w:eastAsia="zh-CN"/>
        </w:rPr>
        <w:t>0</w:t>
      </w:r>
      <w:r>
        <w:rPr>
          <w:rFonts w:ascii="Times New Roman" w:eastAsia="仿宋_GB2312"/>
          <w:b/>
          <w:sz w:val="32"/>
          <w:szCs w:val="32"/>
        </w:rPr>
        <w:t>万元：</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2025年度公务用车购置量0辆，发生</w:t>
      </w:r>
      <w:r>
        <w:rPr>
          <w:rFonts w:hint="eastAsia" w:ascii="Times New Roman" w:eastAsia="仿宋_GB2312"/>
          <w:b w:val="0"/>
          <w:sz w:val="32"/>
          <w:szCs w:val="32"/>
          <w:lang w:eastAsia="zh-CN"/>
        </w:rPr>
        <w:t>“</w:t>
      </w:r>
      <w:r>
        <w:rPr>
          <w:rFonts w:ascii="Times New Roman" w:eastAsia="仿宋_GB2312"/>
          <w:b w:val="0"/>
          <w:sz w:val="32"/>
          <w:szCs w:val="32"/>
        </w:rPr>
        <w:t>公务用车购置</w:t>
      </w:r>
      <w:r>
        <w:rPr>
          <w:rFonts w:hint="eastAsia" w:ascii="Times New Roman" w:eastAsia="仿宋_GB2312"/>
          <w:b w:val="0"/>
          <w:sz w:val="32"/>
          <w:szCs w:val="32"/>
          <w:lang w:eastAsia="zh-CN"/>
        </w:rPr>
        <w:t>”</w:t>
      </w:r>
      <w:r>
        <w:rPr>
          <w:rFonts w:ascii="Times New Roman" w:eastAsia="仿宋_GB2312"/>
          <w:b w:val="0"/>
          <w:sz w:val="32"/>
          <w:szCs w:val="32"/>
        </w:rPr>
        <w:t>经费支出</w:t>
      </w:r>
      <w:r>
        <w:rPr>
          <w:rFonts w:hint="eastAsia" w:ascii="Times New Roman" w:eastAsia="仿宋_GB2312"/>
          <w:b w:val="0"/>
          <w:sz w:val="32"/>
          <w:szCs w:val="32"/>
          <w:lang w:eastAsia="zh-CN"/>
        </w:rPr>
        <w:t>0</w:t>
      </w:r>
      <w:r>
        <w:rPr>
          <w:rFonts w:ascii="Times New Roman" w:eastAsia="仿宋_GB2312"/>
          <w:b w:val="0"/>
          <w:sz w:val="32"/>
          <w:szCs w:val="32"/>
        </w:rPr>
        <w:t>万元。公务用车购置费支出较预算增加</w:t>
      </w:r>
      <w:r>
        <w:rPr>
          <w:rFonts w:hint="eastAsia" w:ascii="Times New Roman" w:eastAsia="仿宋_GB2312"/>
          <w:b w:val="0"/>
          <w:sz w:val="32"/>
          <w:szCs w:val="32"/>
          <w:lang w:eastAsia="zh-CN"/>
        </w:rPr>
        <w:t>0</w:t>
      </w:r>
      <w:r>
        <w:rPr>
          <w:rFonts w:ascii="Times New Roman" w:eastAsia="仿宋_GB2312"/>
          <w:b w:val="0"/>
          <w:sz w:val="32"/>
          <w:szCs w:val="32"/>
        </w:rPr>
        <w:t>万元，主要原因是未发生</w:t>
      </w:r>
      <w:r>
        <w:rPr>
          <w:rFonts w:hint="eastAsia" w:ascii="Times New Roman" w:eastAsia="仿宋_GB2312"/>
          <w:b w:val="0"/>
          <w:sz w:val="32"/>
          <w:szCs w:val="32"/>
          <w:lang w:eastAsia="zh-CN"/>
        </w:rPr>
        <w:t>“</w:t>
      </w:r>
      <w:r>
        <w:rPr>
          <w:rFonts w:ascii="Times New Roman" w:eastAsia="仿宋_GB2312"/>
          <w:b w:val="0"/>
          <w:sz w:val="32"/>
          <w:szCs w:val="32"/>
        </w:rPr>
        <w:t>公务用车购置</w:t>
      </w:r>
      <w:r>
        <w:rPr>
          <w:rFonts w:hint="eastAsia" w:ascii="Times New Roman" w:eastAsia="仿宋_GB2312"/>
          <w:b w:val="0"/>
          <w:sz w:val="32"/>
          <w:szCs w:val="32"/>
          <w:lang w:eastAsia="zh-CN"/>
        </w:rPr>
        <w:t>”</w:t>
      </w:r>
      <w:r>
        <w:rPr>
          <w:rFonts w:ascii="Times New Roman" w:eastAsia="仿宋_GB2312"/>
          <w:b w:val="0"/>
          <w:sz w:val="32"/>
          <w:szCs w:val="32"/>
        </w:rPr>
        <w:t>经费支出；较上年增加</w:t>
      </w:r>
      <w:r>
        <w:rPr>
          <w:rFonts w:hint="eastAsia" w:ascii="Times New Roman" w:eastAsia="仿宋_GB2312"/>
          <w:b w:val="0"/>
          <w:sz w:val="32"/>
          <w:szCs w:val="32"/>
          <w:lang w:eastAsia="zh-CN"/>
        </w:rPr>
        <w:t>0</w:t>
      </w:r>
      <w:r>
        <w:rPr>
          <w:rFonts w:ascii="Times New Roman" w:eastAsia="仿宋_GB2312"/>
          <w:b w:val="0"/>
          <w:sz w:val="32"/>
          <w:szCs w:val="32"/>
        </w:rPr>
        <w:t>万元，主要原因是未发生</w:t>
      </w:r>
      <w:r>
        <w:rPr>
          <w:rFonts w:hint="eastAsia" w:ascii="Times New Roman" w:eastAsia="仿宋_GB2312"/>
          <w:b w:val="0"/>
          <w:sz w:val="32"/>
          <w:szCs w:val="32"/>
          <w:lang w:eastAsia="zh-CN"/>
        </w:rPr>
        <w:t>“</w:t>
      </w:r>
      <w:r>
        <w:rPr>
          <w:rFonts w:ascii="Times New Roman" w:eastAsia="仿宋_GB2312"/>
          <w:b w:val="0"/>
          <w:sz w:val="32"/>
          <w:szCs w:val="32"/>
        </w:rPr>
        <w:t>公务用车购置</w:t>
      </w:r>
      <w:r>
        <w:rPr>
          <w:rFonts w:hint="eastAsia" w:ascii="Times New Roman" w:eastAsia="仿宋_GB2312"/>
          <w:b w:val="0"/>
          <w:sz w:val="32"/>
          <w:szCs w:val="32"/>
          <w:lang w:eastAsia="zh-CN"/>
        </w:rPr>
        <w:t>”</w:t>
      </w:r>
      <w:r>
        <w:rPr>
          <w:rFonts w:ascii="Times New Roman" w:eastAsia="仿宋_GB2312"/>
          <w:b w:val="0"/>
          <w:sz w:val="32"/>
          <w:szCs w:val="32"/>
        </w:rPr>
        <w:t>经费支出。</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仿宋_GB2312"/>
          <w:sz w:val="32"/>
          <w:szCs w:val="32"/>
        </w:rPr>
      </w:pPr>
      <w:r>
        <w:rPr>
          <w:rFonts w:ascii="Times New Roman" w:eastAsia="仿宋_GB2312"/>
          <w:b/>
          <w:sz w:val="32"/>
          <w:szCs w:val="32"/>
        </w:rPr>
        <w:t>公务用车运行维护费支出9.6万元：</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w:t>
      </w:r>
      <w:r>
        <w:rPr>
          <w:rFonts w:hint="eastAsia" w:ascii="Times New Roman" w:eastAsia="仿宋_GB2312"/>
          <w:b w:val="0"/>
          <w:sz w:val="32"/>
          <w:szCs w:val="32"/>
          <w:lang w:eastAsia="zh-CN"/>
        </w:rPr>
        <w:t>部门</w:t>
      </w:r>
      <w:r>
        <w:rPr>
          <w:rFonts w:ascii="Times New Roman" w:eastAsia="仿宋_GB2312"/>
          <w:b w:val="0"/>
          <w:sz w:val="32"/>
          <w:szCs w:val="32"/>
        </w:rPr>
        <w:t>公务用车保有量9辆，发生运行维护费支出9.6万元。公车运行维护费支出较预算减少5.92万元，降低38.1%</w:t>
      </w:r>
      <w:r>
        <w:rPr>
          <w:rFonts w:hint="eastAsia" w:ascii="Times New Roman" w:eastAsia="仿宋_GB2312"/>
          <w:b w:val="0"/>
          <w:sz w:val="32"/>
          <w:szCs w:val="32"/>
          <w:lang w:eastAsia="zh-CN"/>
        </w:rPr>
        <w:t>，</w:t>
      </w:r>
      <w:r>
        <w:rPr>
          <w:rFonts w:ascii="Times New Roman" w:eastAsia="仿宋_GB2312"/>
          <w:b w:val="0"/>
          <w:sz w:val="32"/>
          <w:szCs w:val="32"/>
        </w:rPr>
        <w:t>主要原因是厉行节约，</w:t>
      </w:r>
      <w:r>
        <w:rPr>
          <w:rFonts w:hint="eastAsia" w:ascii="Times New Roman" w:eastAsia="仿宋_GB2312"/>
          <w:b w:val="0"/>
          <w:sz w:val="32"/>
          <w:szCs w:val="32"/>
        </w:rPr>
        <w:t>强化公务用车统筹调度</w:t>
      </w:r>
      <w:r>
        <w:rPr>
          <w:rFonts w:ascii="Times New Roman" w:eastAsia="仿宋_GB2312"/>
          <w:b w:val="0"/>
          <w:sz w:val="32"/>
          <w:szCs w:val="32"/>
        </w:rPr>
        <w:t>；较上年增加1.08万元，增长12.5%，主要原因是</w:t>
      </w:r>
      <w:r>
        <w:rPr>
          <w:rFonts w:hint="eastAsia" w:ascii="Times New Roman" w:eastAsia="仿宋_GB2312"/>
          <w:b w:val="0"/>
          <w:sz w:val="32"/>
          <w:szCs w:val="32"/>
          <w:lang w:val="en-US" w:eastAsia="zh-CN"/>
        </w:rPr>
        <w:t>2025年度</w:t>
      </w:r>
      <w:r>
        <w:rPr>
          <w:rFonts w:ascii="Times New Roman" w:eastAsia="仿宋_GB2312"/>
          <w:b w:val="0"/>
          <w:sz w:val="32"/>
          <w:szCs w:val="32"/>
        </w:rPr>
        <w:t>按照公务用车车况增加了</w:t>
      </w:r>
      <w:r>
        <w:rPr>
          <w:rFonts w:hint="eastAsia" w:ascii="Times New Roman" w:eastAsia="仿宋_GB2312"/>
          <w:b w:val="0"/>
          <w:sz w:val="32"/>
          <w:szCs w:val="32"/>
          <w:lang w:eastAsia="zh-CN"/>
        </w:rPr>
        <w:t>保养</w:t>
      </w:r>
      <w:r>
        <w:rPr>
          <w:rFonts w:ascii="Times New Roman" w:eastAsia="仿宋_GB2312"/>
          <w:b w:val="0"/>
          <w:sz w:val="32"/>
          <w:szCs w:val="32"/>
        </w:rPr>
        <w:t>维修费用。</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2025年度公务接待费支出预算为2.39万元，支出决算0.19万元，完成预算的7.9%。公务接待费支出较预算减少2.2万元，降低92.1%,主要原因是认真执行公务接待有关规定，严把支出关</w:t>
      </w:r>
      <w:r>
        <w:rPr>
          <w:rFonts w:hint="eastAsia" w:ascii="Times New Roman" w:eastAsia="仿宋_GB2312"/>
          <w:b w:val="0"/>
          <w:sz w:val="32"/>
          <w:szCs w:val="32"/>
          <w:lang w:eastAsia="zh-CN"/>
        </w:rPr>
        <w:t>。</w:t>
      </w:r>
      <w:r>
        <w:rPr>
          <w:rFonts w:ascii="Times New Roman" w:eastAsia="仿宋_GB2312"/>
          <w:b w:val="0"/>
          <w:sz w:val="32"/>
          <w:szCs w:val="32"/>
        </w:rPr>
        <w:t>公务接待费支出较上年度减少0.21万元，</w:t>
      </w:r>
      <w:r>
        <w:rPr>
          <w:rFonts w:hint="eastAsia" w:ascii="Times New Roman" w:eastAsia="仿宋_GB2312"/>
          <w:b w:val="0"/>
          <w:sz w:val="32"/>
          <w:szCs w:val="32"/>
          <w:lang w:eastAsia="zh-CN"/>
        </w:rPr>
        <w:t>同比</w:t>
      </w:r>
      <w:bookmarkStart w:id="0" w:name="_GoBack"/>
      <w:bookmarkEnd w:id="0"/>
      <w:r>
        <w:rPr>
          <w:rFonts w:ascii="Times New Roman" w:eastAsia="仿宋_GB2312"/>
          <w:b w:val="0"/>
          <w:sz w:val="32"/>
          <w:szCs w:val="32"/>
        </w:rPr>
        <w:t>降低52.5%</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rPr>
        <w:t>严控接待标准</w:t>
      </w:r>
      <w:r>
        <w:rPr>
          <w:rFonts w:ascii="Times New Roman" w:eastAsia="仿宋_GB2312"/>
          <w:b w:val="0"/>
          <w:sz w:val="32"/>
          <w:szCs w:val="32"/>
        </w:rPr>
        <w:t>。本年度共发生公务接待2批次、13人次。</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六、机关运行经费支出说明</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2025年度机关运行经费支出299.13万元，较2024年度减少3.79万元，降低1.2%。主要原因是</w:t>
      </w:r>
      <w:r>
        <w:rPr>
          <w:rFonts w:hint="eastAsia" w:ascii="Times New Roman" w:eastAsia="仿宋_GB2312"/>
          <w:b w:val="0"/>
          <w:sz w:val="32"/>
          <w:szCs w:val="32"/>
        </w:rPr>
        <w:t>落实过紧日子要求，从严管控一般性运转支出，压减非刚性开支</w:t>
      </w:r>
      <w:r>
        <w:rPr>
          <w:rFonts w:ascii="Times New Roman" w:eastAsia="仿宋_GB2312"/>
          <w:b w:val="0"/>
          <w:sz w:val="32"/>
          <w:szCs w:val="32"/>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七、政府采购支出说明</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2025年度政府采购支出总额954.60万元，从采购类型来看，政府采购货物支出</w:t>
      </w:r>
      <w:r>
        <w:rPr>
          <w:rFonts w:hint="eastAsia" w:ascii="Times New Roman" w:eastAsia="仿宋_GB2312"/>
          <w:b w:val="0"/>
          <w:sz w:val="32"/>
          <w:szCs w:val="32"/>
          <w:lang w:eastAsia="zh-CN"/>
        </w:rPr>
        <w:t>0</w:t>
      </w:r>
      <w:r>
        <w:rPr>
          <w:rFonts w:ascii="Times New Roman" w:eastAsia="仿宋_GB2312"/>
          <w:b w:val="0"/>
          <w:sz w:val="32"/>
          <w:szCs w:val="32"/>
        </w:rPr>
        <w:t>万元、政府采购工程支出</w:t>
      </w:r>
      <w:r>
        <w:rPr>
          <w:rFonts w:hint="eastAsia" w:ascii="Times New Roman" w:eastAsia="仿宋_GB2312"/>
          <w:b w:val="0"/>
          <w:sz w:val="32"/>
          <w:szCs w:val="32"/>
          <w:lang w:eastAsia="zh-CN"/>
        </w:rPr>
        <w:t>0</w:t>
      </w:r>
      <w:r>
        <w:rPr>
          <w:rFonts w:ascii="Times New Roman" w:eastAsia="仿宋_GB2312"/>
          <w:b w:val="0"/>
          <w:sz w:val="32"/>
          <w:szCs w:val="32"/>
        </w:rPr>
        <w:t>万元、政府采购服务支出954.60万元。授予中小企业合同金额507.60万元，占政府采购支出总额的53.2%，其中授予小微企业合同金额507.60万元，占政府采购支出总额的53.2%。</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八、国有资产占用情况说明</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0" w:firstLineChars="200"/>
        <w:jc w:val="both"/>
        <w:textAlignment w:val="auto"/>
        <w:rPr>
          <w:rFonts w:ascii="Times New Roman" w:eastAsia="仿宋_GB2312"/>
          <w:sz w:val="32"/>
          <w:szCs w:val="32"/>
        </w:rPr>
      </w:pPr>
      <w:r>
        <w:rPr>
          <w:rFonts w:ascii="Times New Roman" w:eastAsia="仿宋_GB2312"/>
          <w:b w:val="0"/>
          <w:sz w:val="32"/>
          <w:szCs w:val="32"/>
        </w:rPr>
        <w:t>截至2025年12月31日，本</w:t>
      </w:r>
      <w:r>
        <w:rPr>
          <w:rFonts w:hint="eastAsia" w:ascii="Times New Roman" w:eastAsia="仿宋_GB2312"/>
          <w:b w:val="0"/>
          <w:sz w:val="32"/>
          <w:szCs w:val="32"/>
          <w:lang w:eastAsia="zh-CN"/>
        </w:rPr>
        <w:t>部门</w:t>
      </w:r>
      <w:r>
        <w:rPr>
          <w:rFonts w:ascii="Times New Roman" w:eastAsia="仿宋_GB2312"/>
          <w:b w:val="0"/>
          <w:sz w:val="32"/>
          <w:szCs w:val="32"/>
        </w:rPr>
        <w:t>共有车辆9辆，比上年增加0辆，主要是2025年度没有购置公务用车。其中，副部（省）级及以上领导用车0辆，主要负责人用车0辆，机要通信用车1辆，应急保障用车1辆，执法执勤用车0辆，特种专业技术用车0辆，离退休干部用车7辆，其他用车0辆。单位价值100万元（含）以上设备（不含车辆）</w:t>
      </w:r>
      <w:r>
        <w:rPr>
          <w:rFonts w:hint="eastAsia" w:ascii="Times New Roman" w:eastAsia="仿宋_GB2312"/>
          <w:b w:val="0"/>
          <w:sz w:val="32"/>
          <w:szCs w:val="32"/>
          <w:lang w:val="en-US" w:eastAsia="zh-CN"/>
        </w:rPr>
        <w:t>0</w:t>
      </w:r>
      <w:r>
        <w:rPr>
          <w:rFonts w:ascii="Times New Roman" w:eastAsia="仿宋_GB2312"/>
          <w:b w:val="0"/>
          <w:sz w:val="32"/>
          <w:szCs w:val="32"/>
        </w:rPr>
        <w:t>台（套）。</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九、关于2025年度绩效评价情况的说明</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仿宋_GB2312"/>
          <w:sz w:val="32"/>
          <w:szCs w:val="32"/>
        </w:rPr>
      </w:pPr>
      <w:r>
        <w:rPr>
          <w:rFonts w:ascii="Times New Roman" w:eastAsia="仿宋_GB2312"/>
          <w:b/>
          <w:sz w:val="32"/>
          <w:szCs w:val="32"/>
        </w:rPr>
        <w:t>（一）绩效评价工作开展情况</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根据预算绩效管理要求，本</w:t>
      </w:r>
      <w:r>
        <w:rPr>
          <w:rFonts w:hint="eastAsia" w:ascii="Times New Roman" w:eastAsia="仿宋_GB2312"/>
          <w:b w:val="0"/>
          <w:sz w:val="32"/>
          <w:szCs w:val="32"/>
          <w:lang w:eastAsia="zh-CN"/>
        </w:rPr>
        <w:t>部门</w:t>
      </w:r>
      <w:r>
        <w:rPr>
          <w:rFonts w:hint="eastAsia" w:ascii="Times New Roman" w:eastAsia="仿宋_GB2312"/>
          <w:b w:val="0"/>
          <w:sz w:val="32"/>
          <w:szCs w:val="32"/>
        </w:rPr>
        <w:t>组织对2025年度预算项目支出全面开展绩效自评，共涉及资金</w:t>
      </w:r>
      <w:r>
        <w:rPr>
          <w:rFonts w:hint="eastAsia" w:ascii="Times New Roman" w:eastAsia="仿宋_GB2312"/>
          <w:b w:val="0"/>
          <w:sz w:val="32"/>
          <w:szCs w:val="32"/>
          <w:lang w:val="en-US" w:eastAsia="zh-CN"/>
        </w:rPr>
        <w:t>15559.37</w:t>
      </w:r>
      <w:r>
        <w:rPr>
          <w:rFonts w:hint="eastAsia" w:ascii="Times New Roman" w:eastAsia="仿宋_GB2312"/>
          <w:b w:val="0"/>
          <w:sz w:val="32"/>
          <w:szCs w:val="32"/>
        </w:rPr>
        <w:t>万元（包括对下转移项目）。其中，一般公共预算项目</w:t>
      </w:r>
      <w:r>
        <w:rPr>
          <w:rFonts w:hint="eastAsia" w:ascii="Times New Roman" w:eastAsia="仿宋_GB2312"/>
          <w:b w:val="0"/>
          <w:sz w:val="32"/>
          <w:szCs w:val="32"/>
          <w:lang w:val="en-US" w:eastAsia="zh-CN"/>
        </w:rPr>
        <w:t>31</w:t>
      </w:r>
      <w:r>
        <w:rPr>
          <w:rFonts w:hint="eastAsia" w:ascii="Times New Roman" w:eastAsia="仿宋_GB2312"/>
          <w:b w:val="0"/>
          <w:sz w:val="32"/>
          <w:szCs w:val="32"/>
        </w:rPr>
        <w:t>个，涉及资金</w:t>
      </w:r>
      <w:r>
        <w:rPr>
          <w:rFonts w:hint="eastAsia" w:ascii="Times New Roman" w:eastAsia="仿宋_GB2312"/>
          <w:b w:val="0"/>
          <w:sz w:val="32"/>
          <w:szCs w:val="32"/>
          <w:lang w:val="en-US" w:eastAsia="zh-CN"/>
        </w:rPr>
        <w:t>15559.37</w:t>
      </w:r>
      <w:r>
        <w:rPr>
          <w:rFonts w:hint="eastAsia"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hint="eastAsia" w:ascii="Times New Roman" w:eastAsia="仿宋_GB2312"/>
          <w:b w:val="0"/>
          <w:sz w:val="32"/>
          <w:szCs w:val="32"/>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组织对</w:t>
      </w:r>
      <w:r>
        <w:rPr>
          <w:rFonts w:hint="eastAsia" w:ascii="Times New Roman" w:eastAsia="仿宋_GB2312"/>
          <w:b w:val="0"/>
          <w:sz w:val="32"/>
          <w:szCs w:val="32"/>
          <w:lang w:val="en-US" w:eastAsia="zh-CN"/>
        </w:rPr>
        <w:t>1</w:t>
      </w:r>
      <w:r>
        <w:rPr>
          <w:rFonts w:hint="eastAsia" w:ascii="Times New Roman" w:eastAsia="仿宋_GB2312"/>
          <w:b w:val="0"/>
          <w:sz w:val="32"/>
          <w:szCs w:val="32"/>
        </w:rPr>
        <w:t>个项目开展了</w:t>
      </w:r>
      <w:r>
        <w:rPr>
          <w:rFonts w:hint="eastAsia" w:ascii="Times New Roman" w:eastAsia="仿宋_GB2312"/>
          <w:b w:val="0"/>
          <w:sz w:val="32"/>
          <w:szCs w:val="32"/>
          <w:lang w:eastAsia="zh-CN"/>
        </w:rPr>
        <w:t>部门</w:t>
      </w:r>
      <w:r>
        <w:rPr>
          <w:rFonts w:hint="eastAsia" w:ascii="Times New Roman" w:eastAsia="仿宋_GB2312"/>
          <w:b w:val="0"/>
          <w:sz w:val="32"/>
          <w:szCs w:val="32"/>
        </w:rPr>
        <w:t>重点评价，涉及一般公共预算支出1,063.57万元，政府性基金预算支出</w:t>
      </w:r>
      <w:r>
        <w:rPr>
          <w:rFonts w:hint="eastAsia" w:ascii="Times New Roman" w:eastAsia="仿宋_GB2312"/>
          <w:b w:val="0"/>
          <w:sz w:val="32"/>
          <w:szCs w:val="32"/>
          <w:lang w:val="en-US" w:eastAsia="zh-CN"/>
        </w:rPr>
        <w:t>0</w:t>
      </w:r>
      <w:r>
        <w:rPr>
          <w:rFonts w:hint="eastAsia"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hint="eastAsia" w:ascii="Times New Roman" w:eastAsia="仿宋_GB2312"/>
          <w:b w:val="0"/>
          <w:sz w:val="32"/>
          <w:szCs w:val="32"/>
        </w:rPr>
        <w:t>万元，从评价情况来看，自评得分100</w:t>
      </w:r>
      <w:r>
        <w:rPr>
          <w:rFonts w:hint="eastAsia" w:ascii="Times New Roman" w:eastAsia="仿宋_GB2312"/>
          <w:b w:val="0"/>
          <w:sz w:val="32"/>
          <w:szCs w:val="32"/>
          <w:lang w:eastAsia="zh-CN"/>
        </w:rPr>
        <w:t>分</w:t>
      </w:r>
      <w:r>
        <w:rPr>
          <w:rFonts w:hint="eastAsia" w:ascii="Times New Roman" w:eastAsia="仿宋_GB2312"/>
          <w:b w:val="0"/>
          <w:sz w:val="32"/>
          <w:szCs w:val="32"/>
        </w:rPr>
        <w:t>，完成目标任务。</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（二）部门决算中项目绩效自评结果</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部门</w:t>
      </w:r>
      <w:r>
        <w:rPr>
          <w:rFonts w:hint="eastAsia" w:ascii="Times New Roman" w:eastAsia="仿宋_GB2312"/>
          <w:b w:val="0"/>
          <w:sz w:val="32"/>
          <w:szCs w:val="32"/>
        </w:rPr>
        <w:t>在今年部门决算公开中反映法律顾问经费</w:t>
      </w:r>
      <w:r>
        <w:rPr>
          <w:rFonts w:hint="eastAsia" w:ascii="Times New Roman" w:eastAsia="仿宋_GB2312"/>
          <w:b w:val="0"/>
          <w:sz w:val="32"/>
          <w:szCs w:val="32"/>
          <w:lang w:eastAsia="zh-CN"/>
        </w:rPr>
        <w:t>、</w:t>
      </w:r>
      <w:r>
        <w:rPr>
          <w:rFonts w:hint="eastAsia" w:ascii="Times New Roman" w:eastAsia="仿宋_GB2312"/>
          <w:b w:val="0"/>
          <w:sz w:val="32"/>
          <w:szCs w:val="32"/>
        </w:rPr>
        <w:t>制造业新型技术改造城市试点补助资金</w:t>
      </w:r>
      <w:r>
        <w:rPr>
          <w:rFonts w:hint="eastAsia" w:ascii="Times New Roman" w:eastAsia="仿宋_GB2312"/>
          <w:b w:val="0"/>
          <w:sz w:val="32"/>
          <w:szCs w:val="32"/>
          <w:lang w:eastAsia="zh-CN"/>
        </w:rPr>
        <w:t>、</w:t>
      </w:r>
      <w:r>
        <w:rPr>
          <w:rFonts w:hint="eastAsia" w:ascii="Times New Roman" w:eastAsia="仿宋_GB2312"/>
          <w:b w:val="0"/>
          <w:sz w:val="32"/>
          <w:szCs w:val="32"/>
        </w:rPr>
        <w:t>工业企业技术改造补助</w:t>
      </w:r>
      <w:r>
        <w:rPr>
          <w:rFonts w:hint="eastAsia" w:ascii="Times New Roman" w:eastAsia="仿宋_GB2312"/>
          <w:b w:val="0"/>
          <w:sz w:val="32"/>
          <w:szCs w:val="32"/>
          <w:lang w:eastAsia="zh-CN"/>
        </w:rPr>
        <w:t>、</w:t>
      </w:r>
      <w:r>
        <w:rPr>
          <w:rFonts w:hint="eastAsia" w:ascii="Times New Roman" w:eastAsia="仿宋_GB2312"/>
          <w:b w:val="0"/>
          <w:sz w:val="32"/>
          <w:szCs w:val="32"/>
        </w:rPr>
        <w:t>2024年制造企业质量管理能力评价复核费用补贴</w:t>
      </w:r>
      <w:r>
        <w:rPr>
          <w:rFonts w:hint="eastAsia" w:ascii="Times New Roman" w:eastAsia="仿宋_GB2312"/>
          <w:b w:val="0"/>
          <w:sz w:val="32"/>
          <w:szCs w:val="32"/>
          <w:lang w:eastAsia="zh-CN"/>
        </w:rPr>
        <w:t>、</w:t>
      </w:r>
      <w:r>
        <w:rPr>
          <w:rFonts w:hint="eastAsia" w:ascii="Times New Roman" w:eastAsia="仿宋_GB2312"/>
          <w:b w:val="0"/>
          <w:sz w:val="32"/>
          <w:szCs w:val="32"/>
        </w:rPr>
        <w:t>中小企业数字化转型试点市级配套资金</w:t>
      </w:r>
      <w:r>
        <w:rPr>
          <w:rFonts w:hint="eastAsia" w:ascii="Times New Roman" w:eastAsia="仿宋_GB2312"/>
          <w:b w:val="0"/>
          <w:sz w:val="32"/>
          <w:szCs w:val="32"/>
          <w:lang w:eastAsia="zh-CN"/>
        </w:rPr>
        <w:t>、</w:t>
      </w:r>
      <w:r>
        <w:rPr>
          <w:rFonts w:hint="eastAsia" w:ascii="Times New Roman" w:eastAsia="仿宋_GB2312"/>
          <w:b w:val="0"/>
          <w:sz w:val="32"/>
          <w:szCs w:val="32"/>
        </w:rPr>
        <w:t>基层统计监测人员业务能力提升</w:t>
      </w:r>
      <w:r>
        <w:rPr>
          <w:rFonts w:hint="eastAsia" w:ascii="Times New Roman" w:eastAsia="仿宋_GB2312"/>
          <w:b w:val="0"/>
          <w:sz w:val="32"/>
          <w:szCs w:val="32"/>
          <w:lang w:eastAsia="zh-CN"/>
        </w:rPr>
        <w:t>、</w:t>
      </w:r>
      <w:r>
        <w:rPr>
          <w:rFonts w:hint="eastAsia" w:ascii="Times New Roman" w:eastAsia="仿宋_GB2312"/>
          <w:b w:val="0"/>
          <w:sz w:val="32"/>
          <w:szCs w:val="32"/>
        </w:rPr>
        <w:t>中小企业运行监测</w:t>
      </w:r>
      <w:r>
        <w:rPr>
          <w:rFonts w:hint="eastAsia" w:ascii="Times New Roman" w:eastAsia="仿宋_GB2312"/>
          <w:b w:val="0"/>
          <w:sz w:val="32"/>
          <w:szCs w:val="32"/>
          <w:lang w:eastAsia="zh-CN"/>
        </w:rPr>
        <w:t>、</w:t>
      </w:r>
      <w:r>
        <w:rPr>
          <w:rFonts w:hint="eastAsia" w:ascii="Times New Roman" w:eastAsia="仿宋_GB2312"/>
          <w:b w:val="0"/>
          <w:sz w:val="32"/>
          <w:szCs w:val="32"/>
        </w:rPr>
        <w:t>职业经理人培训</w:t>
      </w:r>
      <w:r>
        <w:rPr>
          <w:rFonts w:hint="eastAsia" w:ascii="Times New Roman" w:eastAsia="仿宋_GB2312"/>
          <w:b w:val="0"/>
          <w:sz w:val="32"/>
          <w:szCs w:val="32"/>
          <w:lang w:eastAsia="zh-CN"/>
        </w:rPr>
        <w:t>、</w:t>
      </w:r>
      <w:r>
        <w:rPr>
          <w:rFonts w:hint="eastAsia" w:ascii="Times New Roman" w:eastAsia="仿宋_GB2312"/>
          <w:b w:val="0"/>
          <w:sz w:val="32"/>
          <w:szCs w:val="32"/>
        </w:rPr>
        <w:t>2025年省级中小企业发展专项资金</w:t>
      </w:r>
      <w:r>
        <w:rPr>
          <w:rFonts w:hint="eastAsia" w:ascii="Times New Roman" w:eastAsia="仿宋_GB2312"/>
          <w:b w:val="0"/>
          <w:sz w:val="32"/>
          <w:szCs w:val="32"/>
          <w:lang w:eastAsia="zh-CN"/>
        </w:rPr>
        <w:t>——</w:t>
      </w:r>
      <w:r>
        <w:rPr>
          <w:rFonts w:hint="eastAsia" w:ascii="Times New Roman" w:eastAsia="仿宋_GB2312"/>
          <w:b w:val="0"/>
          <w:sz w:val="32"/>
          <w:szCs w:val="32"/>
        </w:rPr>
        <w:t>公益服务活动</w:t>
      </w:r>
      <w:r>
        <w:rPr>
          <w:rFonts w:hint="eastAsia" w:ascii="Times New Roman" w:eastAsia="仿宋_GB2312"/>
          <w:b w:val="0"/>
          <w:sz w:val="32"/>
          <w:szCs w:val="32"/>
          <w:lang w:eastAsia="zh-CN"/>
        </w:rPr>
        <w:t>、</w:t>
      </w:r>
      <w:r>
        <w:rPr>
          <w:rFonts w:hint="eastAsia" w:ascii="Times New Roman" w:eastAsia="仿宋_GB2312"/>
          <w:b w:val="0"/>
          <w:sz w:val="32"/>
          <w:szCs w:val="32"/>
        </w:rPr>
        <w:t>2025年省级中小企业发展专项资金</w:t>
      </w:r>
      <w:r>
        <w:rPr>
          <w:rFonts w:hint="eastAsia" w:ascii="Times New Roman" w:eastAsia="仿宋_GB2312"/>
          <w:b w:val="0"/>
          <w:sz w:val="32"/>
          <w:szCs w:val="32"/>
          <w:lang w:eastAsia="zh-CN"/>
        </w:rPr>
        <w:t>——</w:t>
      </w:r>
      <w:r>
        <w:rPr>
          <w:rFonts w:hint="eastAsia" w:ascii="Times New Roman" w:eastAsia="仿宋_GB2312"/>
          <w:b w:val="0"/>
          <w:sz w:val="32"/>
          <w:szCs w:val="32"/>
        </w:rPr>
        <w:t>一起益企 集群前行等10个项目绩效自评结果。</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1.</w:t>
      </w:r>
      <w:r>
        <w:rPr>
          <w:rFonts w:hint="eastAsia" w:ascii="Times New Roman" w:eastAsia="仿宋_GB2312"/>
          <w:b w:val="0"/>
          <w:sz w:val="32"/>
          <w:szCs w:val="32"/>
        </w:rPr>
        <w:t>法律顾问经费项目绩效自评情况：根据年初设定的绩效目标，法律顾问经费项目绩效自评得分为</w:t>
      </w:r>
      <w:r>
        <w:rPr>
          <w:rFonts w:hint="eastAsia" w:ascii="Times New Roman" w:eastAsia="仿宋_GB2312"/>
          <w:b w:val="0"/>
          <w:sz w:val="32"/>
          <w:szCs w:val="32"/>
          <w:lang w:val="en-US" w:eastAsia="zh-CN"/>
        </w:rPr>
        <w:t>100</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10</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10</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2.</w:t>
      </w:r>
      <w:r>
        <w:rPr>
          <w:rFonts w:hint="eastAsia" w:ascii="Times New Roman" w:eastAsia="仿宋_GB2312"/>
          <w:b w:val="0"/>
          <w:sz w:val="32"/>
          <w:szCs w:val="32"/>
        </w:rPr>
        <w:t>业务咨询费</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根据年初设定的绩效目标，业务咨询费项目绩效自评得分为</w:t>
      </w:r>
      <w:r>
        <w:rPr>
          <w:rFonts w:hint="eastAsia" w:ascii="Times New Roman" w:eastAsia="仿宋_GB2312"/>
          <w:b w:val="0"/>
          <w:sz w:val="32"/>
          <w:szCs w:val="32"/>
          <w:lang w:val="en-US" w:eastAsia="zh-CN"/>
        </w:rPr>
        <w:t>99.52</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62.1</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59.1464</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95.25%</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3.</w:t>
      </w:r>
      <w:r>
        <w:rPr>
          <w:rFonts w:hint="eastAsia" w:ascii="Times New Roman" w:eastAsia="仿宋_GB2312"/>
          <w:b w:val="0"/>
          <w:sz w:val="32"/>
          <w:szCs w:val="32"/>
        </w:rPr>
        <w:t>支撑国家新兴工业化示范区创建工作经费</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根据年初设定的绩效目标，支撑国家新兴工业化示范区创建工作经费项目绩效自评得分为</w:t>
      </w:r>
      <w:r>
        <w:rPr>
          <w:rFonts w:hint="eastAsia" w:ascii="Times New Roman" w:eastAsia="仿宋_GB2312"/>
          <w:b w:val="0"/>
          <w:sz w:val="32"/>
          <w:szCs w:val="32"/>
          <w:lang w:val="en-US" w:eastAsia="zh-CN"/>
        </w:rPr>
        <w:t>97</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39</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38.8</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99.49</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4.</w:t>
      </w:r>
      <w:r>
        <w:rPr>
          <w:rFonts w:hint="eastAsia" w:ascii="Times New Roman" w:eastAsia="仿宋_GB2312"/>
          <w:b w:val="0"/>
          <w:sz w:val="32"/>
          <w:szCs w:val="32"/>
        </w:rPr>
        <w:t>2024年制造企业质量管理能力评价复核费用补贴</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根据年初设定的绩效目标，2024年制造企业质量管理能力评价复核费用补贴项目绩效自评得分为</w:t>
      </w:r>
      <w:r>
        <w:rPr>
          <w:rFonts w:hint="eastAsia" w:ascii="Times New Roman" w:eastAsia="仿宋_GB2312"/>
          <w:b w:val="0"/>
          <w:sz w:val="32"/>
          <w:szCs w:val="32"/>
          <w:lang w:val="en-US" w:eastAsia="zh-CN"/>
        </w:rPr>
        <w:t>98</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25.2</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25.2</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5.</w:t>
      </w:r>
      <w:r>
        <w:rPr>
          <w:rFonts w:hint="eastAsia" w:ascii="Times New Roman" w:eastAsia="仿宋_GB2312"/>
          <w:b w:val="0"/>
          <w:sz w:val="32"/>
          <w:szCs w:val="32"/>
        </w:rPr>
        <w:t>中小企业数字化转型试点市级配套资金</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根据年初设定的绩效目标，中小企业数字化转型试点市级配套资金项目绩效自评得分为</w:t>
      </w:r>
      <w:r>
        <w:rPr>
          <w:rFonts w:hint="eastAsia" w:ascii="Times New Roman" w:eastAsia="仿宋_GB2312"/>
          <w:b w:val="0"/>
          <w:sz w:val="32"/>
          <w:szCs w:val="32"/>
          <w:lang w:val="en-US" w:eastAsia="zh-CN"/>
        </w:rPr>
        <w:t>100</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1346.2</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1346.2</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6.</w:t>
      </w:r>
      <w:r>
        <w:rPr>
          <w:rFonts w:hint="eastAsia" w:ascii="Times New Roman" w:eastAsia="仿宋_GB2312"/>
          <w:b w:val="0"/>
          <w:sz w:val="32"/>
          <w:szCs w:val="32"/>
        </w:rPr>
        <w:t>基层统计监测人员业务能力提升</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根据年初设定的绩效目标，基层统计监测人员业务能力提升项目绩效自评得分为</w:t>
      </w:r>
      <w:r>
        <w:rPr>
          <w:rFonts w:hint="eastAsia" w:ascii="Times New Roman" w:eastAsia="仿宋_GB2312"/>
          <w:b w:val="0"/>
          <w:sz w:val="32"/>
          <w:szCs w:val="32"/>
          <w:lang w:val="en-US" w:eastAsia="zh-CN"/>
        </w:rPr>
        <w:t>100</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8</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8</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7.</w:t>
      </w:r>
      <w:r>
        <w:rPr>
          <w:rFonts w:hint="eastAsia" w:ascii="Times New Roman" w:eastAsia="仿宋_GB2312"/>
          <w:b w:val="0"/>
          <w:sz w:val="32"/>
          <w:szCs w:val="32"/>
        </w:rPr>
        <w:t>中小企业运行监测</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根据年初设定的绩效目标，中小企业运行监测项目绩效自评得分为</w:t>
      </w:r>
      <w:r>
        <w:rPr>
          <w:rFonts w:hint="eastAsia" w:ascii="Times New Roman" w:eastAsia="仿宋_GB2312"/>
          <w:b w:val="0"/>
          <w:sz w:val="32"/>
          <w:szCs w:val="32"/>
          <w:lang w:val="en-US" w:eastAsia="zh-CN"/>
        </w:rPr>
        <w:t>100</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12</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12</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8.</w:t>
      </w:r>
      <w:r>
        <w:rPr>
          <w:rFonts w:hint="eastAsia" w:ascii="Times New Roman" w:eastAsia="仿宋_GB2312"/>
          <w:b w:val="0"/>
          <w:sz w:val="32"/>
          <w:szCs w:val="32"/>
        </w:rPr>
        <w:t>职业经理人培训</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根据年初设定的绩效目标，职业经理人培训项目绩效自评得分为</w:t>
      </w:r>
      <w:r>
        <w:rPr>
          <w:rFonts w:hint="eastAsia" w:ascii="Times New Roman" w:eastAsia="仿宋_GB2312"/>
          <w:b w:val="0"/>
          <w:sz w:val="32"/>
          <w:szCs w:val="32"/>
          <w:lang w:val="en-US" w:eastAsia="zh-CN"/>
        </w:rPr>
        <w:t>100</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13</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13</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9.</w:t>
      </w:r>
      <w:r>
        <w:rPr>
          <w:rFonts w:hint="eastAsia" w:ascii="Times New Roman" w:eastAsia="仿宋_GB2312"/>
          <w:b w:val="0"/>
          <w:sz w:val="32"/>
          <w:szCs w:val="32"/>
        </w:rPr>
        <w:t>公益服务活动</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根据年初设定的绩效目标，2025年省级中小企业发展专项资金</w:t>
      </w:r>
      <w:r>
        <w:rPr>
          <w:rFonts w:hint="eastAsia" w:ascii="Times New Roman" w:eastAsia="仿宋_GB2312"/>
          <w:b w:val="0"/>
          <w:sz w:val="32"/>
          <w:szCs w:val="32"/>
          <w:lang w:eastAsia="zh-CN"/>
        </w:rPr>
        <w:t>——</w:t>
      </w:r>
      <w:r>
        <w:rPr>
          <w:rFonts w:hint="eastAsia" w:ascii="Times New Roman" w:eastAsia="仿宋_GB2312"/>
          <w:b w:val="0"/>
          <w:sz w:val="32"/>
          <w:szCs w:val="32"/>
        </w:rPr>
        <w:t>公益服务活动项目绩效自评得分为</w:t>
      </w:r>
      <w:r>
        <w:rPr>
          <w:rFonts w:hint="eastAsia" w:ascii="Times New Roman" w:eastAsia="仿宋_GB2312"/>
          <w:b w:val="0"/>
          <w:sz w:val="32"/>
          <w:szCs w:val="32"/>
          <w:lang w:val="en-US" w:eastAsia="zh-CN"/>
        </w:rPr>
        <w:t>100</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24</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24</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10.</w:t>
      </w:r>
      <w:r>
        <w:rPr>
          <w:rFonts w:hint="eastAsia" w:ascii="Times New Roman" w:eastAsia="仿宋_GB2312"/>
          <w:b w:val="0"/>
          <w:sz w:val="32"/>
          <w:szCs w:val="32"/>
        </w:rPr>
        <w:t>2025年省级中小企业发展专项资金</w:t>
      </w:r>
      <w:r>
        <w:rPr>
          <w:rFonts w:hint="eastAsia" w:ascii="Times New Roman" w:eastAsia="仿宋_GB2312"/>
          <w:b w:val="0"/>
          <w:sz w:val="32"/>
          <w:szCs w:val="32"/>
          <w:lang w:eastAsia="zh-CN"/>
        </w:rPr>
        <w:t>——</w:t>
      </w:r>
      <w:r>
        <w:rPr>
          <w:rFonts w:hint="eastAsia" w:ascii="Times New Roman" w:eastAsia="仿宋_GB2312"/>
          <w:b w:val="0"/>
          <w:sz w:val="32"/>
          <w:szCs w:val="32"/>
        </w:rPr>
        <w:t>一起益企 集群前行</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w:t>
      </w:r>
      <w:r>
        <w:rPr>
          <w:rFonts w:hint="eastAsia" w:ascii="Times New Roman" w:eastAsia="仿宋_GB2312"/>
          <w:b w:val="0"/>
          <w:sz w:val="32"/>
          <w:szCs w:val="32"/>
          <w:lang w:val="en-US" w:eastAsia="zh-CN"/>
        </w:rPr>
        <w:t>2</w:t>
      </w:r>
      <w:r>
        <w:rPr>
          <w:rFonts w:hint="eastAsia" w:ascii="Times New Roman" w:eastAsia="仿宋_GB2312"/>
          <w:b w:val="0"/>
          <w:sz w:val="32"/>
          <w:szCs w:val="32"/>
        </w:rPr>
        <w:t>025年省级中小企业发展专项资金</w:t>
      </w:r>
      <w:r>
        <w:rPr>
          <w:rFonts w:hint="eastAsia" w:ascii="Times New Roman" w:eastAsia="仿宋_GB2312"/>
          <w:b w:val="0"/>
          <w:sz w:val="32"/>
          <w:szCs w:val="32"/>
          <w:lang w:eastAsia="zh-CN"/>
        </w:rPr>
        <w:t>——</w:t>
      </w:r>
      <w:r>
        <w:rPr>
          <w:rFonts w:hint="eastAsia" w:ascii="Times New Roman" w:eastAsia="仿宋_GB2312"/>
          <w:b w:val="0"/>
          <w:sz w:val="32"/>
          <w:szCs w:val="32"/>
        </w:rPr>
        <w:t>一起益企 集群前行项目绩效自评得分为</w:t>
      </w:r>
      <w:r>
        <w:rPr>
          <w:rFonts w:hint="eastAsia" w:ascii="Times New Roman" w:eastAsia="仿宋_GB2312"/>
          <w:b w:val="0"/>
          <w:sz w:val="32"/>
          <w:szCs w:val="32"/>
          <w:lang w:val="en-US" w:eastAsia="zh-CN"/>
        </w:rPr>
        <w:t>100</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90</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90</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hint="eastAsia" w:ascii="Times New Roman" w:hAnsi="Times New Roman" w:eastAsia="仿宋_GB2312" w:cs="Times New Roman"/>
          <w:sz w:val="32"/>
          <w:szCs w:val="32"/>
          <w:highlight w:val="none"/>
          <w:lang w:eastAsia="zh-CN"/>
        </w:rPr>
      </w:pPr>
    </w:p>
    <w:p>
      <w:pPr>
        <w:pStyle w:val="2"/>
        <w:jc w:val="both"/>
        <w:rPr>
          <w:rFonts w:hint="eastAsia" w:ascii="Times New Roman" w:hAnsi="Times New Roman" w:eastAsia="仿宋_GB2312" w:cs="Times New Roman"/>
          <w:sz w:val="32"/>
          <w:szCs w:val="32"/>
          <w:highlight w:val="none"/>
          <w:lang w:eastAsia="zh-CN"/>
        </w:rPr>
      </w:pPr>
    </w:p>
    <w:p>
      <w:pPr>
        <w:pStyle w:val="2"/>
        <w:jc w:val="both"/>
        <w:rPr>
          <w:rFonts w:hint="eastAsia" w:ascii="Times New Roman" w:hAnsi="Times New Roman" w:eastAsia="仿宋_GB2312" w:cs="Times New Roman"/>
          <w:sz w:val="32"/>
          <w:szCs w:val="32"/>
          <w:highlight w:val="none"/>
          <w:lang w:eastAsia="zh-CN"/>
        </w:rPr>
      </w:pPr>
    </w:p>
    <w:p>
      <w:pPr>
        <w:pStyle w:val="2"/>
        <w:jc w:val="both"/>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tbl>
      <w:tblPr>
        <w:tblStyle w:val="13"/>
        <w:tblW w:w="10080" w:type="dxa"/>
        <w:tblInd w:w="-1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30"/>
        <w:gridCol w:w="500"/>
        <w:gridCol w:w="690"/>
        <w:gridCol w:w="1370"/>
        <w:gridCol w:w="1450"/>
        <w:gridCol w:w="890"/>
        <w:gridCol w:w="1587"/>
        <w:gridCol w:w="1113"/>
        <w:gridCol w:w="12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trPr>
        <w:tc>
          <w:tcPr>
            <w:tcW w:w="10080" w:type="dxa"/>
            <w:gridSpan w:val="9"/>
            <w:tcBorders>
              <w:top w:val="nil"/>
              <w:left w:val="nil"/>
              <w:bottom w:val="nil"/>
              <w:right w:val="nil"/>
            </w:tcBorders>
            <w:shd w:val="clear" w:color="auto" w:fill="auto"/>
            <w:vAlign w:val="center"/>
          </w:tcPr>
          <w:p>
            <w:pPr>
              <w:keepNext w:val="0"/>
              <w:keepLines w:val="0"/>
              <w:widowControl/>
              <w:suppressLineNumbers w:val="0"/>
              <w:jc w:val="center"/>
              <w:textAlignment w:val="bottom"/>
              <w:rPr>
                <w:rFonts w:hint="eastAsia" w:ascii="宋体" w:hAnsi="宋体" w:eastAsia="宋体" w:cs="宋体"/>
                <w:i w:val="0"/>
                <w:iCs w:val="0"/>
                <w:color w:val="000000"/>
                <w:kern w:val="0"/>
                <w:sz w:val="20"/>
                <w:szCs w:val="20"/>
                <w:u w:val="none"/>
                <w:lang w:val="en-US" w:eastAsia="zh-CN" w:bidi="ar"/>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0" w:type="dxa"/>
            <w:gridSpan w:val="9"/>
            <w:tcBorders>
              <w:top w:val="nil"/>
              <w:left w:val="nil"/>
              <w:bottom w:val="nil"/>
              <w:right w:val="nil"/>
            </w:tcBorders>
            <w:shd w:val="clear" w:color="auto" w:fill="auto"/>
            <w:vAlign w:val="center"/>
          </w:tcPr>
          <w:p>
            <w:pPr>
              <w:keepNext w:val="0"/>
              <w:keepLines w:val="0"/>
              <w:widowControl/>
              <w:suppressLineNumbers w:val="0"/>
              <w:jc w:val="center"/>
              <w:textAlignment w:val="bottom"/>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730"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2060" w:type="dxa"/>
            <w:gridSpan w:val="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石家庄市工信局</w:t>
            </w:r>
          </w:p>
        </w:tc>
        <w:tc>
          <w:tcPr>
            <w:tcW w:w="1450"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0"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87"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13"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0"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12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 基本情况</w:t>
            </w: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法律顾问经费</w:t>
            </w:r>
          </w:p>
        </w:tc>
        <w:tc>
          <w:tcPr>
            <w:tcW w:w="24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w:t>
            </w:r>
            <w:r>
              <w:rPr>
                <w:rFonts w:hint="eastAsia" w:asciiTheme="minorEastAsia" w:hAnsiTheme="minorEastAsia" w:cstheme="minorEastAsia"/>
                <w:i w:val="0"/>
                <w:iCs w:val="0"/>
                <w:color w:val="000000"/>
                <w:kern w:val="0"/>
                <w:sz w:val="20"/>
                <w:szCs w:val="20"/>
                <w:u w:val="none"/>
                <w:lang w:val="en-US" w:eastAsia="zh-CN" w:bidi="ar"/>
              </w:rPr>
              <w:t>部门</w:t>
            </w: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2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trPr>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40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35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1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对重大行政决策、行政处罚、政策制定、危机管理和事件处置等事项提出法律意见，承担有关法律法规学习培训授课任务。</w:t>
            </w:r>
          </w:p>
        </w:tc>
        <w:tc>
          <w:tcPr>
            <w:tcW w:w="35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全部完成</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1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5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1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5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1230"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 年度绩效指标完成情况</w:t>
            </w: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产出指标（40）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培训次数：法律培训次数</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≥2次</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2次</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审核率：合同、规范性文件审核率</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资金拨付时限：该项资金完成拨付时间</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2025年6月30日前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2025年3月</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平均成本：聘请法律顾问的成本</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≤10万元</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10万元</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预算支出进度</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100.00%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效益指标（40）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维护依法行政的良好形象，依法行政、文明执法</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杜绝工作纰漏，依法行政</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已完成</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满意度指标（10分）</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机关工作人员的满意度</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96.00%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76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五、 存在问题、原因及下一步整改措施</w:t>
            </w:r>
          </w:p>
        </w:tc>
        <w:tc>
          <w:tcPr>
            <w:tcW w:w="885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无</w:t>
            </w:r>
          </w:p>
        </w:tc>
      </w:tr>
    </w:tbl>
    <w:p>
      <w:pPr>
        <w:pStyle w:val="2"/>
        <w:ind w:left="0" w:leftChars="0" w:firstLine="0" w:firstLineChars="0"/>
        <w:rPr>
          <w:rFonts w:hint="eastAsia" w:ascii="Times New Roman" w:hAnsi="Times New Roman" w:eastAsia="仿宋_GB2312" w:cs="Times New Roman"/>
          <w:sz w:val="32"/>
          <w:szCs w:val="32"/>
          <w:highlight w:val="none"/>
          <w:lang w:eastAsia="zh-CN"/>
        </w:rPr>
      </w:pPr>
    </w:p>
    <w:tbl>
      <w:tblPr>
        <w:tblW w:w="930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348"/>
        <w:gridCol w:w="1100"/>
        <w:gridCol w:w="1030"/>
        <w:gridCol w:w="1100"/>
        <w:gridCol w:w="616"/>
        <w:gridCol w:w="1404"/>
        <w:gridCol w:w="201"/>
        <w:gridCol w:w="1177"/>
        <w:gridCol w:w="13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8" w:hRule="atLeast"/>
        </w:trPr>
        <w:tc>
          <w:tcPr>
            <w:tcW w:w="9308" w:type="dxa"/>
            <w:gridSpan w:val="9"/>
            <w:tcBorders>
              <w:top w:val="nil"/>
              <w:left w:val="nil"/>
              <w:bottom w:val="nil"/>
              <w:right w:val="nil"/>
            </w:tcBorders>
            <w:shd w:val="clear"/>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bdr w:val="none" w:color="auto" w:sz="0" w:space="0"/>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9308" w:type="dxa"/>
            <w:gridSpan w:val="9"/>
            <w:tcBorders>
              <w:top w:val="nil"/>
              <w:left w:val="nil"/>
              <w:bottom w:val="nil"/>
              <w:right w:val="nil"/>
            </w:tcBorders>
            <w:shd w:val="clear"/>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4578" w:type="dxa"/>
            <w:gridSpan w:val="4"/>
            <w:tcBorders>
              <w:top w:val="nil"/>
              <w:left w:val="nil"/>
              <w:bottom w:val="nil"/>
              <w:right w:val="nil"/>
            </w:tcBorders>
            <w:shd w:val="clear"/>
            <w:noWrap/>
            <w:vAlign w:val="center"/>
          </w:tcPr>
          <w:p>
            <w:pPr>
              <w:jc w:val="left"/>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填报单位：石家庄市工业和信息化局</w:t>
            </w:r>
          </w:p>
        </w:tc>
        <w:tc>
          <w:tcPr>
            <w:tcW w:w="616" w:type="dxa"/>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4" w:type="dxa"/>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78" w:type="dxa"/>
            <w:gridSpan w:val="2"/>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2" w:type="dxa"/>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4" w:hRule="atLeast"/>
        </w:trPr>
        <w:tc>
          <w:tcPr>
            <w:tcW w:w="1348"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一、</w:t>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 xml:space="preserve"> 基本情况</w:t>
            </w: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项目名称</w:t>
            </w:r>
          </w:p>
        </w:tc>
        <w:tc>
          <w:tcPr>
            <w:tcW w:w="213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业务咨询费</w:t>
            </w:r>
          </w:p>
        </w:tc>
        <w:tc>
          <w:tcPr>
            <w:tcW w:w="2221"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实施(主管）单位</w:t>
            </w:r>
          </w:p>
        </w:tc>
        <w:tc>
          <w:tcPr>
            <w:tcW w:w="2509"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石家庄市工业和信息化局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348"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二、预算执行情况</w:t>
            </w:r>
          </w:p>
        </w:tc>
        <w:tc>
          <w:tcPr>
            <w:tcW w:w="213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预算安排情况（调整后）</w:t>
            </w:r>
          </w:p>
        </w:tc>
        <w:tc>
          <w:tcPr>
            <w:tcW w:w="1716"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资金到位情况</w:t>
            </w:r>
          </w:p>
        </w:tc>
        <w:tc>
          <w:tcPr>
            <w:tcW w:w="2782"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资金执行情况</w:t>
            </w:r>
          </w:p>
        </w:tc>
        <w:tc>
          <w:tcPr>
            <w:tcW w:w="13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预算数：</w:t>
            </w:r>
          </w:p>
        </w:tc>
        <w:tc>
          <w:tcPr>
            <w:tcW w:w="10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62.1</w:t>
            </w: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到位数：</w:t>
            </w:r>
          </w:p>
        </w:tc>
        <w:tc>
          <w:tcPr>
            <w:tcW w:w="6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62.1</w:t>
            </w:r>
          </w:p>
        </w:tc>
        <w:tc>
          <w:tcPr>
            <w:tcW w:w="14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执行数：</w:t>
            </w:r>
          </w:p>
        </w:tc>
        <w:tc>
          <w:tcPr>
            <w:tcW w:w="137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59.1464</w:t>
            </w:r>
          </w:p>
        </w:tc>
        <w:tc>
          <w:tcPr>
            <w:tcW w:w="1332"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95.25%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34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其中：                 财政资金</w:t>
            </w:r>
          </w:p>
        </w:tc>
        <w:tc>
          <w:tcPr>
            <w:tcW w:w="10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62.1</w:t>
            </w: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其中：                      财政资金</w:t>
            </w:r>
          </w:p>
        </w:tc>
        <w:tc>
          <w:tcPr>
            <w:tcW w:w="6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62.1</w:t>
            </w:r>
          </w:p>
        </w:tc>
        <w:tc>
          <w:tcPr>
            <w:tcW w:w="14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其中：                     财政资金</w:t>
            </w:r>
          </w:p>
        </w:tc>
        <w:tc>
          <w:tcPr>
            <w:tcW w:w="137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59.1464</w:t>
            </w:r>
          </w:p>
        </w:tc>
        <w:tc>
          <w:tcPr>
            <w:tcW w:w="133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其他</w:t>
            </w:r>
          </w:p>
        </w:tc>
        <w:tc>
          <w:tcPr>
            <w:tcW w:w="10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其他</w:t>
            </w:r>
          </w:p>
        </w:tc>
        <w:tc>
          <w:tcPr>
            <w:tcW w:w="6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0</w:t>
            </w:r>
          </w:p>
        </w:tc>
        <w:tc>
          <w:tcPr>
            <w:tcW w:w="14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其他</w:t>
            </w:r>
          </w:p>
        </w:tc>
        <w:tc>
          <w:tcPr>
            <w:tcW w:w="137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0</w:t>
            </w:r>
          </w:p>
        </w:tc>
        <w:tc>
          <w:tcPr>
            <w:tcW w:w="133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348"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三、目标完成情况</w:t>
            </w:r>
          </w:p>
        </w:tc>
        <w:tc>
          <w:tcPr>
            <w:tcW w:w="3230"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年度预期目标</w:t>
            </w:r>
          </w:p>
        </w:tc>
        <w:tc>
          <w:tcPr>
            <w:tcW w:w="3398" w:type="dxa"/>
            <w:gridSpan w:val="4"/>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具体完成情况</w:t>
            </w:r>
          </w:p>
        </w:tc>
        <w:tc>
          <w:tcPr>
            <w:tcW w:w="13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230"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使得参评企业审核质量更加提高，对企业的验收结果更加公平公正。</w:t>
            </w:r>
          </w:p>
        </w:tc>
        <w:tc>
          <w:tcPr>
            <w:tcW w:w="3398" w:type="dxa"/>
            <w:gridSpan w:val="4"/>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达到预期目标</w:t>
            </w:r>
          </w:p>
        </w:tc>
        <w:tc>
          <w:tcPr>
            <w:tcW w:w="1332"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398" w:type="dxa"/>
            <w:gridSpan w:val="4"/>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398" w:type="dxa"/>
            <w:gridSpan w:val="4"/>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348" w:type="dxa"/>
            <w:vMerge w:val="restart"/>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四、</w:t>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 xml:space="preserve"> 年度绩效指标完成情况</w:t>
            </w: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一级指标</w:t>
            </w:r>
          </w:p>
        </w:tc>
        <w:tc>
          <w:tcPr>
            <w:tcW w:w="10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二级指标</w:t>
            </w:r>
          </w:p>
        </w:tc>
        <w:tc>
          <w:tcPr>
            <w:tcW w:w="1716"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三级指标</w:t>
            </w:r>
          </w:p>
        </w:tc>
        <w:tc>
          <w:tcPr>
            <w:tcW w:w="14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预期指标值</w:t>
            </w:r>
          </w:p>
        </w:tc>
        <w:tc>
          <w:tcPr>
            <w:tcW w:w="137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实际完成值</w:t>
            </w:r>
          </w:p>
        </w:tc>
        <w:tc>
          <w:tcPr>
            <w:tcW w:w="13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vMerge w:val="restart"/>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产出指标（40）</w:t>
            </w:r>
          </w:p>
        </w:tc>
        <w:tc>
          <w:tcPr>
            <w:tcW w:w="1030"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数量指标</w:t>
            </w:r>
          </w:p>
        </w:tc>
        <w:tc>
          <w:tcPr>
            <w:tcW w:w="1716"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聘用人次</w:t>
            </w:r>
          </w:p>
        </w:tc>
        <w:tc>
          <w:tcPr>
            <w:tcW w:w="14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≥50人次</w:t>
            </w:r>
          </w:p>
        </w:tc>
        <w:tc>
          <w:tcPr>
            <w:tcW w:w="137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大于50人</w:t>
            </w:r>
          </w:p>
        </w:tc>
        <w:tc>
          <w:tcPr>
            <w:tcW w:w="13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vMerge w:val="continue"/>
            <w:tcBorders>
              <w:top w:val="single" w:color="000000" w:sz="4" w:space="0"/>
              <w:left w:val="single" w:color="000000" w:sz="4" w:space="0"/>
              <w:bottom w:val="nil"/>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质量指标</w:t>
            </w:r>
          </w:p>
        </w:tc>
        <w:tc>
          <w:tcPr>
            <w:tcW w:w="1716"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评审满意度</w:t>
            </w:r>
          </w:p>
        </w:tc>
        <w:tc>
          <w:tcPr>
            <w:tcW w:w="14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≥95%</w:t>
            </w:r>
          </w:p>
        </w:tc>
        <w:tc>
          <w:tcPr>
            <w:tcW w:w="137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w:t>
            </w:r>
          </w:p>
        </w:tc>
        <w:tc>
          <w:tcPr>
            <w:tcW w:w="13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2" w:hRule="atLeast"/>
        </w:trPr>
        <w:tc>
          <w:tcPr>
            <w:tcW w:w="1348"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vMerge w:val="continue"/>
            <w:tcBorders>
              <w:top w:val="single" w:color="000000" w:sz="4" w:space="0"/>
              <w:left w:val="single" w:color="000000" w:sz="4" w:space="0"/>
              <w:bottom w:val="nil"/>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时效指标</w:t>
            </w:r>
          </w:p>
        </w:tc>
        <w:tc>
          <w:tcPr>
            <w:tcW w:w="1716"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资金拨付时限</w:t>
            </w:r>
          </w:p>
        </w:tc>
        <w:tc>
          <w:tcPr>
            <w:tcW w:w="14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2025年12月30日前</w:t>
            </w:r>
          </w:p>
        </w:tc>
        <w:tc>
          <w:tcPr>
            <w:tcW w:w="137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12</w:t>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月底前</w:t>
            </w:r>
          </w:p>
        </w:tc>
        <w:tc>
          <w:tcPr>
            <w:tcW w:w="13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vMerge w:val="continue"/>
            <w:tcBorders>
              <w:top w:val="single" w:color="000000" w:sz="4" w:space="0"/>
              <w:left w:val="single" w:color="000000" w:sz="4" w:space="0"/>
              <w:bottom w:val="nil"/>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成本指标</w:t>
            </w:r>
          </w:p>
        </w:tc>
        <w:tc>
          <w:tcPr>
            <w:tcW w:w="1716"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平均成本</w:t>
            </w:r>
          </w:p>
        </w:tc>
        <w:tc>
          <w:tcPr>
            <w:tcW w:w="14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≤79.1万元</w:t>
            </w:r>
          </w:p>
        </w:tc>
        <w:tc>
          <w:tcPr>
            <w:tcW w:w="137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59.1464</w:t>
            </w:r>
          </w:p>
        </w:tc>
        <w:tc>
          <w:tcPr>
            <w:tcW w:w="13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348"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（10分）</w:t>
            </w:r>
          </w:p>
        </w:tc>
        <w:tc>
          <w:tcPr>
            <w:tcW w:w="1030" w:type="dxa"/>
            <w:tcBorders>
              <w:top w:val="nil"/>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预算执行率</w:t>
            </w:r>
          </w:p>
        </w:tc>
        <w:tc>
          <w:tcPr>
            <w:tcW w:w="1716" w:type="dxa"/>
            <w:gridSpan w:val="2"/>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4" w:type="dxa"/>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100%</w:t>
            </w:r>
          </w:p>
        </w:tc>
        <w:tc>
          <w:tcPr>
            <w:tcW w:w="137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95.25%</w:t>
            </w:r>
          </w:p>
        </w:tc>
        <w:tc>
          <w:tcPr>
            <w:tcW w:w="13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9.52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2" w:hRule="atLeast"/>
        </w:trPr>
        <w:tc>
          <w:tcPr>
            <w:tcW w:w="1348"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tcBorders>
              <w:top w:val="nil"/>
              <w:left w:val="single" w:color="000000" w:sz="4" w:space="0"/>
              <w:bottom w:val="nil"/>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30"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社会效益指标</w:t>
            </w:r>
          </w:p>
        </w:tc>
        <w:tc>
          <w:tcPr>
            <w:tcW w:w="1716"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通过聘请专家，提高企业参评质量</w:t>
            </w:r>
          </w:p>
        </w:tc>
        <w:tc>
          <w:tcPr>
            <w:tcW w:w="14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提高企业参评质量</w:t>
            </w:r>
          </w:p>
        </w:tc>
        <w:tc>
          <w:tcPr>
            <w:tcW w:w="137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达到预期目标</w:t>
            </w:r>
          </w:p>
        </w:tc>
        <w:tc>
          <w:tcPr>
            <w:tcW w:w="13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348"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满意度指标</w:t>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（10分）</w:t>
            </w:r>
          </w:p>
        </w:tc>
        <w:tc>
          <w:tcPr>
            <w:tcW w:w="1030"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满意度指标</w:t>
            </w:r>
          </w:p>
        </w:tc>
        <w:tc>
          <w:tcPr>
            <w:tcW w:w="1716"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聘请第三方的科室满意程度</w:t>
            </w:r>
          </w:p>
        </w:tc>
        <w:tc>
          <w:tcPr>
            <w:tcW w:w="1404" w:type="dxa"/>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≥90%</w:t>
            </w:r>
          </w:p>
        </w:tc>
        <w:tc>
          <w:tcPr>
            <w:tcW w:w="1378" w:type="dxa"/>
            <w:gridSpan w:val="2"/>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100%</w:t>
            </w:r>
          </w:p>
        </w:tc>
        <w:tc>
          <w:tcPr>
            <w:tcW w:w="13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6628" w:type="dxa"/>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总分</w:t>
            </w:r>
          </w:p>
        </w:tc>
        <w:tc>
          <w:tcPr>
            <w:tcW w:w="13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99.52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8" w:hRule="atLeast"/>
        </w:trPr>
        <w:tc>
          <w:tcPr>
            <w:tcW w:w="1348" w:type="dxa"/>
            <w:tcBorders>
              <w:top w:val="nil"/>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五、</w:t>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 xml:space="preserve"> 存在问题、原因及下一步整改措施</w:t>
            </w:r>
          </w:p>
        </w:tc>
        <w:tc>
          <w:tcPr>
            <w:tcW w:w="7960" w:type="dxa"/>
            <w:gridSpan w:val="8"/>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1348" w:type="dxa"/>
            <w:tcBorders>
              <w:top w:val="nil"/>
              <w:left w:val="nil"/>
              <w:bottom w:val="nil"/>
              <w:right w:val="nil"/>
            </w:tcBorders>
            <w:shd w:val="clear"/>
            <w:noWrap/>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填报人：何欢</w:t>
            </w:r>
          </w:p>
        </w:tc>
        <w:tc>
          <w:tcPr>
            <w:tcW w:w="1100" w:type="dxa"/>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30" w:type="dxa"/>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616" w:type="dxa"/>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4" w:type="dxa"/>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710" w:type="dxa"/>
            <w:gridSpan w:val="3"/>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联系电话：86688753</w:t>
            </w:r>
          </w:p>
        </w:tc>
      </w:tr>
    </w:tbl>
    <w:p>
      <w:pPr>
        <w:pStyle w:val="2"/>
        <w:ind w:left="0" w:leftChars="0" w:firstLine="0" w:firstLineChars="0"/>
        <w:rPr>
          <w:rFonts w:hint="eastAsia" w:ascii="Times New Roman" w:hAnsi="Times New Roman" w:eastAsia="仿宋_GB2312" w:cs="Times New Roman"/>
          <w:sz w:val="32"/>
          <w:szCs w:val="32"/>
          <w:highlight w:val="none"/>
          <w:lang w:eastAsia="zh-CN"/>
        </w:rPr>
      </w:pPr>
    </w:p>
    <w:tbl>
      <w:tblPr>
        <w:tblW w:w="9890" w:type="dxa"/>
        <w:tblInd w:w="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080"/>
        <w:gridCol w:w="580"/>
        <w:gridCol w:w="620"/>
        <w:gridCol w:w="1070"/>
        <w:gridCol w:w="1560"/>
        <w:gridCol w:w="760"/>
        <w:gridCol w:w="490"/>
        <w:gridCol w:w="840"/>
        <w:gridCol w:w="830"/>
        <w:gridCol w:w="780"/>
        <w:gridCol w:w="12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atLeast"/>
        </w:trPr>
        <w:tc>
          <w:tcPr>
            <w:tcW w:w="9890" w:type="dxa"/>
            <w:gridSpan w:val="11"/>
            <w:tcBorders>
              <w:top w:val="nil"/>
              <w:left w:val="nil"/>
              <w:bottom w:val="nil"/>
              <w:right w:val="nil"/>
            </w:tcBorders>
            <w:shd w:val="clear"/>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bdr w:val="none" w:color="auto" w:sz="0" w:space="0"/>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890" w:type="dxa"/>
            <w:gridSpan w:val="11"/>
            <w:tcBorders>
              <w:top w:val="nil"/>
              <w:left w:val="nil"/>
              <w:bottom w:val="nil"/>
              <w:right w:val="nil"/>
            </w:tcBorders>
            <w:shd w:val="clear"/>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910" w:type="dxa"/>
            <w:gridSpan w:val="5"/>
            <w:tcBorders>
              <w:top w:val="nil"/>
              <w:left w:val="nil"/>
              <w:bottom w:val="nil"/>
              <w:right w:val="nil"/>
            </w:tcBorders>
            <w:shd w:val="clear"/>
            <w:noWrap/>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填报单位：石家庄市工信局</w:t>
            </w:r>
          </w:p>
        </w:tc>
        <w:tc>
          <w:tcPr>
            <w:tcW w:w="760" w:type="dxa"/>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0" w:type="dxa"/>
            <w:gridSpan w:val="2"/>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610" w:type="dxa"/>
            <w:gridSpan w:val="2"/>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80" w:type="dxa"/>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1080"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一、</w:t>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 xml:space="preserve"> 基本情况</w:t>
            </w:r>
          </w:p>
        </w:tc>
        <w:tc>
          <w:tcPr>
            <w:tcW w:w="120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项目名称</w:t>
            </w:r>
          </w:p>
        </w:tc>
        <w:tc>
          <w:tcPr>
            <w:tcW w:w="3880" w:type="dxa"/>
            <w:gridSpan w:val="4"/>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支撑国家新兴工业化示范区创建工作经费（专项资金）</w:t>
            </w:r>
          </w:p>
        </w:tc>
        <w:tc>
          <w:tcPr>
            <w:tcW w:w="16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实施(主管）单位</w:t>
            </w:r>
          </w:p>
        </w:tc>
        <w:tc>
          <w:tcPr>
            <w:tcW w:w="206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二、预算执行情况</w:t>
            </w:r>
          </w:p>
        </w:tc>
        <w:tc>
          <w:tcPr>
            <w:tcW w:w="2270"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预算安排情况（调整后）</w:t>
            </w:r>
          </w:p>
        </w:tc>
        <w:tc>
          <w:tcPr>
            <w:tcW w:w="232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资金到位情况</w:t>
            </w:r>
          </w:p>
        </w:tc>
        <w:tc>
          <w:tcPr>
            <w:tcW w:w="2940" w:type="dxa"/>
            <w:gridSpan w:val="4"/>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资金执行情况</w:t>
            </w:r>
          </w:p>
        </w:tc>
        <w:tc>
          <w:tcPr>
            <w:tcW w:w="1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预算数：</w:t>
            </w:r>
          </w:p>
        </w:tc>
        <w:tc>
          <w:tcPr>
            <w:tcW w:w="10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39</w:t>
            </w:r>
          </w:p>
        </w:tc>
        <w:tc>
          <w:tcPr>
            <w:tcW w:w="15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到位数：</w:t>
            </w:r>
          </w:p>
        </w:tc>
        <w:tc>
          <w:tcPr>
            <w:tcW w:w="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39</w:t>
            </w:r>
          </w:p>
        </w:tc>
        <w:tc>
          <w:tcPr>
            <w:tcW w:w="133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执行数：</w:t>
            </w:r>
          </w:p>
        </w:tc>
        <w:tc>
          <w:tcPr>
            <w:tcW w:w="161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38.8</w:t>
            </w:r>
          </w:p>
        </w:tc>
        <w:tc>
          <w:tcPr>
            <w:tcW w:w="128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99.49%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其中：                 财政资金</w:t>
            </w:r>
          </w:p>
        </w:tc>
        <w:tc>
          <w:tcPr>
            <w:tcW w:w="10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39</w:t>
            </w:r>
          </w:p>
        </w:tc>
        <w:tc>
          <w:tcPr>
            <w:tcW w:w="15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其中：                      财政资金</w:t>
            </w:r>
          </w:p>
        </w:tc>
        <w:tc>
          <w:tcPr>
            <w:tcW w:w="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39</w:t>
            </w:r>
          </w:p>
        </w:tc>
        <w:tc>
          <w:tcPr>
            <w:tcW w:w="133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其中：                     财政资金</w:t>
            </w:r>
          </w:p>
        </w:tc>
        <w:tc>
          <w:tcPr>
            <w:tcW w:w="161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38.8</w:t>
            </w:r>
          </w:p>
        </w:tc>
        <w:tc>
          <w:tcPr>
            <w:tcW w:w="12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其他</w:t>
            </w:r>
          </w:p>
        </w:tc>
        <w:tc>
          <w:tcPr>
            <w:tcW w:w="10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0</w:t>
            </w:r>
          </w:p>
        </w:tc>
        <w:tc>
          <w:tcPr>
            <w:tcW w:w="15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其他</w:t>
            </w:r>
          </w:p>
        </w:tc>
        <w:tc>
          <w:tcPr>
            <w:tcW w:w="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0</w:t>
            </w:r>
          </w:p>
        </w:tc>
        <w:tc>
          <w:tcPr>
            <w:tcW w:w="133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其他</w:t>
            </w:r>
          </w:p>
        </w:tc>
        <w:tc>
          <w:tcPr>
            <w:tcW w:w="161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0</w:t>
            </w:r>
          </w:p>
        </w:tc>
        <w:tc>
          <w:tcPr>
            <w:tcW w:w="12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三、目标完成情况</w:t>
            </w:r>
          </w:p>
        </w:tc>
        <w:tc>
          <w:tcPr>
            <w:tcW w:w="3830" w:type="dxa"/>
            <w:gridSpan w:val="4"/>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年度预期目标</w:t>
            </w:r>
          </w:p>
        </w:tc>
        <w:tc>
          <w:tcPr>
            <w:tcW w:w="3700" w:type="dxa"/>
            <w:gridSpan w:val="5"/>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具体完成情况</w:t>
            </w:r>
          </w:p>
        </w:tc>
        <w:tc>
          <w:tcPr>
            <w:tcW w:w="1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830" w:type="dxa"/>
            <w:gridSpan w:val="4"/>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完成购买专业第三方机构报告编制服务，进行系统研究、撰写报告</w:t>
            </w:r>
          </w:p>
        </w:tc>
        <w:tc>
          <w:tcPr>
            <w:tcW w:w="3700" w:type="dxa"/>
            <w:gridSpan w:val="5"/>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第三方专业机构已完成系统研究，撰写并交付研究报告。</w:t>
            </w:r>
          </w:p>
        </w:tc>
        <w:tc>
          <w:tcPr>
            <w:tcW w:w="128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830" w:type="dxa"/>
            <w:gridSpan w:val="4"/>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700" w:type="dxa"/>
            <w:gridSpan w:val="5"/>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830" w:type="dxa"/>
            <w:gridSpan w:val="4"/>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700" w:type="dxa"/>
            <w:gridSpan w:val="5"/>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0" w:type="dxa"/>
            <w:vMerge w:val="restart"/>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四、</w:t>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 xml:space="preserve"> 年度绩效指标完成情况</w:t>
            </w:r>
          </w:p>
        </w:tc>
        <w:tc>
          <w:tcPr>
            <w:tcW w:w="120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一级指标</w:t>
            </w:r>
          </w:p>
        </w:tc>
        <w:tc>
          <w:tcPr>
            <w:tcW w:w="10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二级指标</w:t>
            </w:r>
          </w:p>
        </w:tc>
        <w:tc>
          <w:tcPr>
            <w:tcW w:w="232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三级指标</w:t>
            </w:r>
          </w:p>
        </w:tc>
        <w:tc>
          <w:tcPr>
            <w:tcW w:w="133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预期指标值</w:t>
            </w:r>
          </w:p>
        </w:tc>
        <w:tc>
          <w:tcPr>
            <w:tcW w:w="161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实际完成值</w:t>
            </w:r>
          </w:p>
        </w:tc>
        <w:tc>
          <w:tcPr>
            <w:tcW w:w="1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0"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2"/>
            <w:vMerge w:val="restart"/>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产出指标</w:t>
            </w:r>
          </w:p>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（40）</w:t>
            </w:r>
          </w:p>
        </w:tc>
        <w:tc>
          <w:tcPr>
            <w:tcW w:w="1070"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数量指标</w:t>
            </w:r>
          </w:p>
        </w:tc>
        <w:tc>
          <w:tcPr>
            <w:tcW w:w="2320" w:type="dxa"/>
            <w:gridSpan w:val="2"/>
            <w:tcBorders>
              <w:top w:val="single" w:color="000000" w:sz="4" w:space="0"/>
              <w:left w:val="single" w:color="000000" w:sz="4" w:space="0"/>
              <w:bottom w:val="single" w:color="000000" w:sz="4" w:space="0"/>
              <w:right w:val="single" w:color="000000" w:sz="4" w:space="0"/>
            </w:tcBorders>
            <w:shd w:val="clear"/>
            <w:noWrap/>
            <w:vAlign w:val="top"/>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编制文本数量</w:t>
            </w:r>
          </w:p>
        </w:tc>
        <w:tc>
          <w:tcPr>
            <w:tcW w:w="133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2</w:t>
            </w:r>
          </w:p>
        </w:tc>
        <w:tc>
          <w:tcPr>
            <w:tcW w:w="161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2</w:t>
            </w:r>
          </w:p>
        </w:tc>
        <w:tc>
          <w:tcPr>
            <w:tcW w:w="1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0"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2"/>
            <w:vMerge w:val="continue"/>
            <w:tcBorders>
              <w:top w:val="single" w:color="000000" w:sz="4" w:space="0"/>
              <w:left w:val="single" w:color="000000" w:sz="4" w:space="0"/>
              <w:bottom w:val="nil"/>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质量指标</w:t>
            </w:r>
          </w:p>
        </w:tc>
        <w:tc>
          <w:tcPr>
            <w:tcW w:w="2320" w:type="dxa"/>
            <w:gridSpan w:val="2"/>
            <w:tcBorders>
              <w:top w:val="single" w:color="000000" w:sz="4" w:space="0"/>
              <w:left w:val="single" w:color="000000" w:sz="4" w:space="0"/>
              <w:bottom w:val="single" w:color="000000" w:sz="4" w:space="0"/>
              <w:right w:val="single" w:color="000000" w:sz="4" w:space="0"/>
            </w:tcBorders>
            <w:shd w:val="clear"/>
            <w:noWrap/>
            <w:vAlign w:val="top"/>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专家评审通过率</w:t>
            </w:r>
          </w:p>
        </w:tc>
        <w:tc>
          <w:tcPr>
            <w:tcW w:w="133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100%</w:t>
            </w:r>
          </w:p>
        </w:tc>
        <w:tc>
          <w:tcPr>
            <w:tcW w:w="161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100%</w:t>
            </w:r>
          </w:p>
        </w:tc>
        <w:tc>
          <w:tcPr>
            <w:tcW w:w="1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1080"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2"/>
            <w:vMerge w:val="continue"/>
            <w:tcBorders>
              <w:top w:val="single" w:color="000000" w:sz="4" w:space="0"/>
              <w:left w:val="single" w:color="000000" w:sz="4" w:space="0"/>
              <w:bottom w:val="nil"/>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时效指标</w:t>
            </w:r>
          </w:p>
        </w:tc>
        <w:tc>
          <w:tcPr>
            <w:tcW w:w="2320" w:type="dxa"/>
            <w:gridSpan w:val="2"/>
            <w:tcBorders>
              <w:top w:val="single" w:color="000000" w:sz="4" w:space="0"/>
              <w:left w:val="single" w:color="000000" w:sz="4" w:space="0"/>
              <w:bottom w:val="single" w:color="000000" w:sz="4" w:space="0"/>
              <w:right w:val="single" w:color="000000" w:sz="4" w:space="0"/>
            </w:tcBorders>
            <w:shd w:val="clear"/>
            <w:noWrap/>
            <w:vAlign w:val="top"/>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报告编制完成时限</w:t>
            </w:r>
          </w:p>
        </w:tc>
        <w:tc>
          <w:tcPr>
            <w:tcW w:w="133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2025.12.30</w:t>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前</w:t>
            </w:r>
          </w:p>
        </w:tc>
        <w:tc>
          <w:tcPr>
            <w:tcW w:w="161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2025.12.30</w:t>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前</w:t>
            </w:r>
          </w:p>
        </w:tc>
        <w:tc>
          <w:tcPr>
            <w:tcW w:w="1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0"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2"/>
            <w:vMerge w:val="continue"/>
            <w:tcBorders>
              <w:top w:val="single" w:color="000000" w:sz="4" w:space="0"/>
              <w:left w:val="single" w:color="000000" w:sz="4" w:space="0"/>
              <w:bottom w:val="nil"/>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成本指标</w:t>
            </w:r>
          </w:p>
        </w:tc>
        <w:tc>
          <w:tcPr>
            <w:tcW w:w="2320" w:type="dxa"/>
            <w:gridSpan w:val="2"/>
            <w:tcBorders>
              <w:top w:val="single" w:color="000000" w:sz="4" w:space="0"/>
              <w:left w:val="single" w:color="000000" w:sz="4" w:space="0"/>
              <w:bottom w:val="single" w:color="000000" w:sz="4" w:space="0"/>
              <w:right w:val="single" w:color="000000" w:sz="4" w:space="0"/>
            </w:tcBorders>
            <w:shd w:val="clear"/>
            <w:noWrap/>
            <w:vAlign w:val="top"/>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单个编制项目平均支出</w:t>
            </w:r>
          </w:p>
        </w:tc>
        <w:tc>
          <w:tcPr>
            <w:tcW w:w="133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≤20</w:t>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万元</w:t>
            </w:r>
          </w:p>
        </w:tc>
        <w:tc>
          <w:tcPr>
            <w:tcW w:w="161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19.4</w:t>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万元</w:t>
            </w:r>
          </w:p>
        </w:tc>
        <w:tc>
          <w:tcPr>
            <w:tcW w:w="1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1080"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（10分）</w:t>
            </w:r>
          </w:p>
        </w:tc>
        <w:tc>
          <w:tcPr>
            <w:tcW w:w="1070" w:type="dxa"/>
            <w:tcBorders>
              <w:top w:val="nil"/>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预算执行率</w:t>
            </w:r>
          </w:p>
        </w:tc>
        <w:tc>
          <w:tcPr>
            <w:tcW w:w="2320" w:type="dxa"/>
            <w:gridSpan w:val="2"/>
            <w:tcBorders>
              <w:top w:val="nil"/>
              <w:left w:val="single" w:color="000000" w:sz="4" w:space="0"/>
              <w:bottom w:val="single" w:color="000000" w:sz="4" w:space="0"/>
              <w:right w:val="single" w:color="000000" w:sz="4" w:space="0"/>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≤100%</w:t>
            </w:r>
          </w:p>
        </w:tc>
        <w:tc>
          <w:tcPr>
            <w:tcW w:w="161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99.49%</w:t>
            </w:r>
          </w:p>
        </w:tc>
        <w:tc>
          <w:tcPr>
            <w:tcW w:w="1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80"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2"/>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效益指标</w:t>
            </w:r>
          </w:p>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（40）</w:t>
            </w:r>
          </w:p>
        </w:tc>
        <w:tc>
          <w:tcPr>
            <w:tcW w:w="1070"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社会效益指标</w:t>
            </w:r>
          </w:p>
        </w:tc>
        <w:tc>
          <w:tcPr>
            <w:tcW w:w="232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借鉴典型城市推进新型工业化典型经验，助力我市加快新型工业化进程</w:t>
            </w:r>
          </w:p>
        </w:tc>
        <w:tc>
          <w:tcPr>
            <w:tcW w:w="133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为全市新型工业化发展提供方向</w:t>
            </w:r>
          </w:p>
        </w:tc>
        <w:tc>
          <w:tcPr>
            <w:tcW w:w="161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参考先进经验，结合我市实际，为全市新型工业化发展明确了方向。</w:t>
            </w:r>
          </w:p>
        </w:tc>
        <w:tc>
          <w:tcPr>
            <w:tcW w:w="1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80"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满意度指标（10分）</w:t>
            </w:r>
          </w:p>
        </w:tc>
        <w:tc>
          <w:tcPr>
            <w:tcW w:w="1070"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满意度指标</w:t>
            </w:r>
          </w:p>
        </w:tc>
        <w:tc>
          <w:tcPr>
            <w:tcW w:w="232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石家庄市工业和信息化局满意度</w:t>
            </w:r>
          </w:p>
        </w:tc>
        <w:tc>
          <w:tcPr>
            <w:tcW w:w="133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≥90%</w:t>
            </w:r>
          </w:p>
        </w:tc>
        <w:tc>
          <w:tcPr>
            <w:tcW w:w="161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98%</w:t>
            </w:r>
          </w:p>
        </w:tc>
        <w:tc>
          <w:tcPr>
            <w:tcW w:w="1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0"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7530" w:type="dxa"/>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总分</w:t>
            </w:r>
          </w:p>
        </w:tc>
        <w:tc>
          <w:tcPr>
            <w:tcW w:w="1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atLeast"/>
        </w:trPr>
        <w:tc>
          <w:tcPr>
            <w:tcW w:w="1660" w:type="dxa"/>
            <w:gridSpan w:val="2"/>
            <w:tcBorders>
              <w:top w:val="nil"/>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五、</w:t>
            </w: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 xml:space="preserve"> 存在问题、原因及下一步整改措施</w:t>
            </w:r>
          </w:p>
        </w:tc>
        <w:tc>
          <w:tcPr>
            <w:tcW w:w="8230" w:type="dxa"/>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50" w:type="dxa"/>
            <w:gridSpan w:val="4"/>
            <w:tcBorders>
              <w:top w:val="nil"/>
              <w:left w:val="nil"/>
              <w:bottom w:val="nil"/>
              <w:right w:val="nil"/>
            </w:tcBorders>
            <w:shd w:val="clear"/>
            <w:noWrap/>
            <w:vAlign w:val="center"/>
          </w:tcPr>
          <w:p>
            <w:pPr>
              <w:jc w:val="left"/>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填报人：李善硕</w:t>
            </w:r>
          </w:p>
        </w:tc>
        <w:tc>
          <w:tcPr>
            <w:tcW w:w="1560" w:type="dxa"/>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760" w:type="dxa"/>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0" w:type="dxa"/>
            <w:gridSpan w:val="2"/>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890" w:type="dxa"/>
            <w:gridSpan w:val="3"/>
            <w:tcBorders>
              <w:top w:val="nil"/>
              <w:left w:val="nil"/>
              <w:bottom w:val="nil"/>
              <w:right w:val="nil"/>
            </w:tcBorders>
            <w:shd w:val="clear"/>
            <w:noWrap/>
            <w:vAlign w:val="center"/>
          </w:tcPr>
          <w:p>
            <w:pPr>
              <w:jc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bdr w:val="none" w:color="auto" w:sz="0" w:space="0"/>
                <w:lang w:val="en-US" w:eastAsia="zh-CN" w:bidi="ar"/>
              </w:rPr>
              <w:t>联系电话：86689392</w:t>
            </w:r>
          </w:p>
        </w:tc>
      </w:tr>
    </w:tbl>
    <w:tbl>
      <w:tblPr>
        <w:tblStyle w:val="13"/>
        <w:tblW w:w="10593" w:type="dxa"/>
        <w:tblInd w:w="-21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2"/>
        <w:gridCol w:w="192"/>
        <w:gridCol w:w="968"/>
        <w:gridCol w:w="100"/>
        <w:gridCol w:w="322"/>
        <w:gridCol w:w="3"/>
        <w:gridCol w:w="3"/>
        <w:gridCol w:w="5"/>
        <w:gridCol w:w="167"/>
        <w:gridCol w:w="550"/>
        <w:gridCol w:w="80"/>
        <w:gridCol w:w="170"/>
        <w:gridCol w:w="130"/>
        <w:gridCol w:w="10"/>
        <w:gridCol w:w="30"/>
        <w:gridCol w:w="2"/>
        <w:gridCol w:w="108"/>
        <w:gridCol w:w="30"/>
        <w:gridCol w:w="30"/>
        <w:gridCol w:w="100"/>
        <w:gridCol w:w="90"/>
        <w:gridCol w:w="10"/>
        <w:gridCol w:w="20"/>
        <w:gridCol w:w="50"/>
        <w:gridCol w:w="200"/>
        <w:gridCol w:w="130"/>
        <w:gridCol w:w="10"/>
        <w:gridCol w:w="60"/>
        <w:gridCol w:w="20"/>
        <w:gridCol w:w="30"/>
        <w:gridCol w:w="210"/>
        <w:gridCol w:w="20"/>
        <w:gridCol w:w="40"/>
        <w:gridCol w:w="50"/>
        <w:gridCol w:w="145"/>
        <w:gridCol w:w="5"/>
        <w:gridCol w:w="5"/>
        <w:gridCol w:w="7"/>
        <w:gridCol w:w="35"/>
        <w:gridCol w:w="143"/>
        <w:gridCol w:w="180"/>
        <w:gridCol w:w="70"/>
        <w:gridCol w:w="67"/>
        <w:gridCol w:w="15"/>
        <w:gridCol w:w="9"/>
        <w:gridCol w:w="19"/>
        <w:gridCol w:w="31"/>
        <w:gridCol w:w="169"/>
        <w:gridCol w:w="12"/>
        <w:gridCol w:w="68"/>
        <w:gridCol w:w="70"/>
        <w:gridCol w:w="60"/>
        <w:gridCol w:w="60"/>
        <w:gridCol w:w="90"/>
        <w:gridCol w:w="70"/>
        <w:gridCol w:w="180"/>
        <w:gridCol w:w="72"/>
        <w:gridCol w:w="28"/>
        <w:gridCol w:w="17"/>
        <w:gridCol w:w="53"/>
        <w:gridCol w:w="38"/>
        <w:gridCol w:w="10"/>
        <w:gridCol w:w="2"/>
        <w:gridCol w:w="80"/>
        <w:gridCol w:w="60"/>
        <w:gridCol w:w="90"/>
        <w:gridCol w:w="10"/>
        <w:gridCol w:w="20"/>
        <w:gridCol w:w="31"/>
        <w:gridCol w:w="49"/>
        <w:gridCol w:w="14"/>
        <w:gridCol w:w="56"/>
        <w:gridCol w:w="40"/>
        <w:gridCol w:w="90"/>
        <w:gridCol w:w="67"/>
        <w:gridCol w:w="20"/>
        <w:gridCol w:w="91"/>
        <w:gridCol w:w="5"/>
        <w:gridCol w:w="143"/>
        <w:gridCol w:w="41"/>
        <w:gridCol w:w="533"/>
        <w:gridCol w:w="49"/>
        <w:gridCol w:w="46"/>
        <w:gridCol w:w="28"/>
        <w:gridCol w:w="19"/>
        <w:gridCol w:w="41"/>
        <w:gridCol w:w="22"/>
        <w:gridCol w:w="9"/>
        <w:gridCol w:w="166"/>
        <w:gridCol w:w="110"/>
        <w:gridCol w:w="110"/>
        <w:gridCol w:w="20"/>
        <w:gridCol w:w="417"/>
        <w:gridCol w:w="1"/>
        <w:gridCol w:w="1"/>
        <w:gridCol w:w="19"/>
        <w:gridCol w:w="182"/>
        <w:gridCol w:w="50"/>
        <w:gridCol w:w="230"/>
        <w:gridCol w:w="444"/>
        <w:gridCol w:w="310"/>
        <w:gridCol w:w="236"/>
        <w:gridCol w:w="10"/>
        <w:gridCol w:w="10"/>
        <w:gridCol w:w="50"/>
        <w:gridCol w:w="7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588" w:hRule="atLeast"/>
        </w:trPr>
        <w:tc>
          <w:tcPr>
            <w:tcW w:w="10471" w:type="dxa"/>
            <w:gridSpan w:val="105"/>
            <w:tcBorders>
              <w:top w:val="nil"/>
              <w:left w:val="nil"/>
              <w:bottom w:val="nil"/>
              <w:right w:val="nil"/>
            </w:tcBorders>
            <w:shd w:val="clear" w:color="auto" w:fill="auto"/>
            <w:vAlign w:val="center"/>
          </w:tcPr>
          <w:p>
            <w:pPr>
              <w:keepNext w:val="0"/>
              <w:keepLines w:val="0"/>
              <w:widowControl/>
              <w:suppressLineNumbers w:val="0"/>
              <w:jc w:val="center"/>
              <w:textAlignment w:val="bottom"/>
              <w:rPr>
                <w:rFonts w:hint="eastAsia" w:ascii="方正小标宋_GBK" w:hAnsi="方正小标宋_GBK" w:eastAsia="方正小标宋_GBK" w:cs="方正小标宋_GBK"/>
                <w:i w:val="0"/>
                <w:iCs w:val="0"/>
                <w:color w:val="000000"/>
                <w:kern w:val="0"/>
                <w:sz w:val="32"/>
                <w:szCs w:val="32"/>
                <w:u w:val="none"/>
                <w:lang w:val="en-US" w:eastAsia="zh-CN" w:bidi="ar"/>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0471" w:type="dxa"/>
            <w:gridSpan w:val="105"/>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760"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4201" w:type="dxa"/>
            <w:gridSpan w:val="60"/>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石家庄市工业和信息化局</w:t>
            </w:r>
          </w:p>
        </w:tc>
        <w:tc>
          <w:tcPr>
            <w:tcW w:w="616" w:type="dxa"/>
            <w:gridSpan w:val="11"/>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6" w:type="dxa"/>
            <w:gridSpan w:val="6"/>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81" w:type="dxa"/>
            <w:gridSpan w:val="14"/>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97" w:type="dxa"/>
            <w:gridSpan w:val="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800" w:hRule="atLeast"/>
        </w:trPr>
        <w:tc>
          <w:tcPr>
            <w:tcW w:w="1160" w:type="dxa"/>
            <w:gridSpan w:val="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一、基本情况</w:t>
            </w:r>
          </w:p>
        </w:tc>
        <w:tc>
          <w:tcPr>
            <w:tcW w:w="157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3845" w:type="dxa"/>
            <w:gridSpan w:val="6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2024年制造企业质量管理能力评价复核费用补贴（专项资金）</w:t>
            </w:r>
          </w:p>
        </w:tc>
        <w:tc>
          <w:tcPr>
            <w:tcW w:w="249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w:t>
            </w:r>
            <w:r>
              <w:rPr>
                <w:rFonts w:hint="eastAsia" w:asciiTheme="minorEastAsia" w:hAnsiTheme="minorEastAsia" w:cstheme="minorEastAsia"/>
                <w:i w:val="0"/>
                <w:iCs w:val="0"/>
                <w:color w:val="000000"/>
                <w:kern w:val="0"/>
                <w:sz w:val="20"/>
                <w:szCs w:val="20"/>
                <w:u w:val="none"/>
                <w:lang w:val="en-US" w:eastAsia="zh-CN" w:bidi="ar"/>
              </w:rPr>
              <w:t>部门</w:t>
            </w:r>
          </w:p>
        </w:tc>
        <w:tc>
          <w:tcPr>
            <w:tcW w:w="13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2350"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2160"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3404"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3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1200"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25.2</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83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25.2</w:t>
            </w:r>
          </w:p>
        </w:tc>
        <w:tc>
          <w:tcPr>
            <w:tcW w:w="1623"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178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25.2</w:t>
            </w:r>
          </w:p>
        </w:tc>
        <w:tc>
          <w:tcPr>
            <w:tcW w:w="1397"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520" w:hRule="atLeast"/>
        </w:trPr>
        <w:tc>
          <w:tcPr>
            <w:tcW w:w="1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200"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25.2</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83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25.2</w:t>
            </w:r>
          </w:p>
        </w:tc>
        <w:tc>
          <w:tcPr>
            <w:tcW w:w="1623"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78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25.2</w:t>
            </w:r>
          </w:p>
        </w:tc>
        <w:tc>
          <w:tcPr>
            <w:tcW w:w="1397"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200"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83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623"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78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397"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3370"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4544" w:type="dxa"/>
            <w:gridSpan w:val="5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3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660" w:hRule="atLeast"/>
        </w:trPr>
        <w:tc>
          <w:tcPr>
            <w:tcW w:w="1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370" w:type="dxa"/>
            <w:gridSpan w:val="39"/>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根据省工信厅关于开展2024年制造业企业质量管理能力评价工作的通知要求，对7家企业的服务费用进行补贴。</w:t>
            </w:r>
          </w:p>
        </w:tc>
        <w:tc>
          <w:tcPr>
            <w:tcW w:w="4544" w:type="dxa"/>
            <w:gridSpan w:val="5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完成了对石家庄以岭药业股份有限公司、先控捷联电气股份有限公司、兰升生物科技集团股份有限公司、河冶科技股份有限公司、石家庄盛华企业集团有限公司、石家庄四药有限公司、石药集团维生药业（石家庄）有限公司等7家参与2024年制造业企业质量管理能力评价企业服务费用补贴</w:t>
            </w:r>
          </w:p>
        </w:tc>
        <w:tc>
          <w:tcPr>
            <w:tcW w:w="1397"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660" w:hRule="atLeast"/>
        </w:trPr>
        <w:tc>
          <w:tcPr>
            <w:tcW w:w="1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370" w:type="dxa"/>
            <w:gridSpan w:val="3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544" w:type="dxa"/>
            <w:gridSpan w:val="5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97"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660" w:hRule="atLeast"/>
        </w:trPr>
        <w:tc>
          <w:tcPr>
            <w:tcW w:w="1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370" w:type="dxa"/>
            <w:gridSpan w:val="3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544" w:type="dxa"/>
            <w:gridSpan w:val="5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97"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2"/>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w:t>
            </w:r>
            <w:r>
              <w:rPr>
                <w:rStyle w:val="29"/>
                <w:rFonts w:hint="eastAsia" w:asciiTheme="minorEastAsia" w:hAnsiTheme="minorEastAsia" w:eastAsiaTheme="minorEastAsia" w:cstheme="minorEastAsia"/>
                <w:sz w:val="20"/>
                <w:szCs w:val="20"/>
                <w:lang w:val="en-US" w:eastAsia="zh-CN" w:bidi="ar"/>
              </w:rPr>
              <w:t xml:space="preserve"> </w:t>
            </w:r>
            <w:r>
              <w:rPr>
                <w:rFonts w:hint="eastAsia" w:asciiTheme="minorEastAsia" w:hAnsiTheme="minorEastAsia" w:eastAsiaTheme="minorEastAsia" w:cstheme="minorEastAsia"/>
                <w:i w:val="0"/>
                <w:iCs w:val="0"/>
                <w:color w:val="000000"/>
                <w:kern w:val="0"/>
                <w:sz w:val="20"/>
                <w:szCs w:val="20"/>
                <w:u w:val="none"/>
                <w:lang w:val="en-US" w:eastAsia="zh-CN" w:bidi="ar"/>
              </w:rPr>
              <w:t>年度绩效指标完成情况</w:t>
            </w:r>
          </w:p>
        </w:tc>
        <w:tc>
          <w:tcPr>
            <w:tcW w:w="115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26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188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166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1964"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3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7"/>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产出指标（40）</w:t>
            </w:r>
          </w:p>
        </w:tc>
        <w:tc>
          <w:tcPr>
            <w:tcW w:w="1260" w:type="dxa"/>
            <w:gridSpan w:val="18"/>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188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评价复核数量</w:t>
            </w:r>
          </w:p>
        </w:tc>
        <w:tc>
          <w:tcPr>
            <w:tcW w:w="166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=7家</w:t>
            </w:r>
          </w:p>
        </w:tc>
        <w:tc>
          <w:tcPr>
            <w:tcW w:w="1964"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7家</w:t>
            </w:r>
          </w:p>
        </w:tc>
        <w:tc>
          <w:tcPr>
            <w:tcW w:w="13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7"/>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6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188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企业复核认定率</w:t>
            </w:r>
          </w:p>
        </w:tc>
        <w:tc>
          <w:tcPr>
            <w:tcW w:w="166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964"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3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528" w:hRule="atLeast"/>
        </w:trPr>
        <w:tc>
          <w:tcPr>
            <w:tcW w:w="116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7"/>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6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188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资金拨付时限</w:t>
            </w:r>
          </w:p>
        </w:tc>
        <w:tc>
          <w:tcPr>
            <w:tcW w:w="166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2025年6月30日前</w:t>
            </w:r>
          </w:p>
        </w:tc>
        <w:tc>
          <w:tcPr>
            <w:tcW w:w="1964"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7月27日拨付</w:t>
            </w:r>
          </w:p>
        </w:tc>
        <w:tc>
          <w:tcPr>
            <w:tcW w:w="13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7"/>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6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188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企业补贴成本</w:t>
            </w:r>
          </w:p>
        </w:tc>
        <w:tc>
          <w:tcPr>
            <w:tcW w:w="166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=3.6万元</w:t>
            </w:r>
          </w:p>
        </w:tc>
        <w:tc>
          <w:tcPr>
            <w:tcW w:w="1964"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3.6万元</w:t>
            </w:r>
          </w:p>
        </w:tc>
        <w:tc>
          <w:tcPr>
            <w:tcW w:w="13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927" w:hRule="atLeast"/>
        </w:trPr>
        <w:tc>
          <w:tcPr>
            <w:tcW w:w="116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260" w:type="dxa"/>
            <w:gridSpan w:val="18"/>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188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66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964"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3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1464" w:hRule="atLeast"/>
        </w:trPr>
        <w:tc>
          <w:tcPr>
            <w:tcW w:w="116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7"/>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效益指标（40）</w:t>
            </w:r>
          </w:p>
        </w:tc>
        <w:tc>
          <w:tcPr>
            <w:tcW w:w="1260" w:type="dxa"/>
            <w:gridSpan w:val="1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188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推动企业树立科学质量观。</w:t>
            </w:r>
          </w:p>
        </w:tc>
        <w:tc>
          <w:tcPr>
            <w:tcW w:w="166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加快质量管理数字化，实现质量效益提升</w:t>
            </w:r>
          </w:p>
        </w:tc>
        <w:tc>
          <w:tcPr>
            <w:tcW w:w="1964"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7家企业均达到检验级以上，建立了质量管理数字化体系，实现了质量效益提升。</w:t>
            </w:r>
          </w:p>
        </w:tc>
        <w:tc>
          <w:tcPr>
            <w:tcW w:w="13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917" w:hRule="atLeast"/>
        </w:trPr>
        <w:tc>
          <w:tcPr>
            <w:tcW w:w="116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满意度指标（10）</w:t>
            </w:r>
          </w:p>
        </w:tc>
        <w:tc>
          <w:tcPr>
            <w:tcW w:w="1260" w:type="dxa"/>
            <w:gridSpan w:val="1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188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补贴企业满意度</w:t>
            </w:r>
          </w:p>
        </w:tc>
        <w:tc>
          <w:tcPr>
            <w:tcW w:w="166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964"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3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7914" w:type="dxa"/>
            <w:gridSpan w:val="9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3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588" w:hRule="atLeast"/>
        </w:trPr>
        <w:tc>
          <w:tcPr>
            <w:tcW w:w="3890" w:type="dxa"/>
            <w:gridSpan w:val="3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五、 </w:t>
            </w:r>
            <w:r>
              <w:rPr>
                <w:rStyle w:val="30"/>
                <w:rFonts w:hint="eastAsia" w:asciiTheme="minorEastAsia" w:hAnsiTheme="minorEastAsia" w:eastAsiaTheme="minorEastAsia" w:cstheme="minorEastAsia"/>
                <w:sz w:val="20"/>
                <w:szCs w:val="20"/>
                <w:lang w:val="en-US" w:eastAsia="zh-CN" w:bidi="ar"/>
              </w:rPr>
              <w:t>存在问题、原因及下一步整改措施</w:t>
            </w:r>
          </w:p>
        </w:tc>
        <w:tc>
          <w:tcPr>
            <w:tcW w:w="6581" w:type="dxa"/>
            <w:gridSpan w:val="7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588" w:hRule="atLeast"/>
        </w:trPr>
        <w:tc>
          <w:tcPr>
            <w:tcW w:w="9506" w:type="dxa"/>
            <w:gridSpan w:val="10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288" w:hRule="atLeast"/>
        </w:trPr>
        <w:tc>
          <w:tcPr>
            <w:tcW w:w="9506" w:type="dxa"/>
            <w:gridSpan w:val="101"/>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288" w:hRule="atLeast"/>
        </w:trPr>
        <w:tc>
          <w:tcPr>
            <w:tcW w:w="3292" w:type="dxa"/>
            <w:gridSpan w:val="24"/>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填报部门：石家庄市工信局</w:t>
            </w:r>
          </w:p>
        </w:tc>
        <w:tc>
          <w:tcPr>
            <w:tcW w:w="330" w:type="dxa"/>
            <w:gridSpan w:val="2"/>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52" w:type="dxa"/>
            <w:gridSpan w:val="23"/>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68" w:type="dxa"/>
            <w:gridSpan w:val="11"/>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16" w:type="dxa"/>
            <w:gridSpan w:val="19"/>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6" w:type="dxa"/>
            <w:gridSpan w:val="6"/>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16" w:type="dxa"/>
            <w:gridSpan w:val="11"/>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16" w:type="dxa"/>
            <w:gridSpan w:val="5"/>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504" w:hRule="atLeast"/>
        </w:trPr>
        <w:tc>
          <w:tcPr>
            <w:tcW w:w="1382" w:type="dxa"/>
            <w:gridSpan w:val="4"/>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 基本情况</w:t>
            </w:r>
          </w:p>
        </w:tc>
        <w:tc>
          <w:tcPr>
            <w:tcW w:w="13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3060" w:type="dxa"/>
            <w:gridSpan w:val="4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中小企业数字化转型试点市级配套资金（专项资金）</w:t>
            </w:r>
          </w:p>
        </w:tc>
        <w:tc>
          <w:tcPr>
            <w:tcW w:w="1632"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w:t>
            </w:r>
            <w:r>
              <w:rPr>
                <w:rFonts w:hint="eastAsia" w:asciiTheme="minorEastAsia" w:hAnsiTheme="minorEastAsia" w:cstheme="minorEastAsia"/>
                <w:i w:val="0"/>
                <w:iCs w:val="0"/>
                <w:color w:val="000000"/>
                <w:kern w:val="0"/>
                <w:sz w:val="20"/>
                <w:szCs w:val="20"/>
                <w:u w:val="none"/>
                <w:lang w:val="en-US" w:eastAsia="zh-CN" w:bidi="ar"/>
              </w:rPr>
              <w:t>部门</w:t>
            </w:r>
          </w:p>
        </w:tc>
        <w:tc>
          <w:tcPr>
            <w:tcW w:w="2132"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288" w:hRule="atLeast"/>
        </w:trPr>
        <w:tc>
          <w:tcPr>
            <w:tcW w:w="1382"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263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1958"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288" w:hRule="atLeast"/>
        </w:trPr>
        <w:tc>
          <w:tcPr>
            <w:tcW w:w="138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1346.20 </w:t>
            </w:r>
          </w:p>
        </w:tc>
        <w:tc>
          <w:tcPr>
            <w:tcW w:w="13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101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1346.20 </w:t>
            </w:r>
          </w:p>
        </w:tc>
        <w:tc>
          <w:tcPr>
            <w:tcW w:w="104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9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1346.20 </w:t>
            </w:r>
          </w:p>
        </w:tc>
        <w:tc>
          <w:tcPr>
            <w:tcW w:w="1216"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480" w:hRule="atLeast"/>
        </w:trPr>
        <w:tc>
          <w:tcPr>
            <w:tcW w:w="138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1346.20 </w:t>
            </w:r>
          </w:p>
        </w:tc>
        <w:tc>
          <w:tcPr>
            <w:tcW w:w="13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01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1346.20 </w:t>
            </w:r>
          </w:p>
        </w:tc>
        <w:tc>
          <w:tcPr>
            <w:tcW w:w="104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9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1346.20 </w:t>
            </w:r>
          </w:p>
        </w:tc>
        <w:tc>
          <w:tcPr>
            <w:tcW w:w="121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288" w:hRule="atLeast"/>
        </w:trPr>
        <w:tc>
          <w:tcPr>
            <w:tcW w:w="138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3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01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04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9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21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288" w:hRule="atLeast"/>
        </w:trPr>
        <w:tc>
          <w:tcPr>
            <w:tcW w:w="1382"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3940" w:type="dxa"/>
            <w:gridSpan w:val="5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2968" w:type="dxa"/>
            <w:gridSpan w:val="4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460" w:hRule="atLeast"/>
        </w:trPr>
        <w:tc>
          <w:tcPr>
            <w:tcW w:w="138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360" w:type="dxa"/>
            <w:gridSpan w:val="5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投入财政资金1485.2万元，用于奖励转型成效显著的优质试点企业，探索形成中小企业数字化转型的方法路径、市场机制和典型模式，引导和推动广大中小企业加快数字化转型。</w:t>
            </w:r>
          </w:p>
        </w:tc>
        <w:tc>
          <w:tcPr>
            <w:tcW w:w="2548" w:type="dxa"/>
            <w:gridSpan w:val="3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2025年共奖励60家复制推广企业及29家“数智标杆”企业，引导推动了广大中小企业加快数字化转型进程。</w:t>
            </w:r>
          </w:p>
        </w:tc>
        <w:tc>
          <w:tcPr>
            <w:tcW w:w="1216"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460" w:hRule="atLeast"/>
        </w:trPr>
        <w:tc>
          <w:tcPr>
            <w:tcW w:w="138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360" w:type="dxa"/>
            <w:gridSpan w:val="5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548" w:type="dxa"/>
            <w:gridSpan w:val="3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1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460" w:hRule="atLeast"/>
        </w:trPr>
        <w:tc>
          <w:tcPr>
            <w:tcW w:w="138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360" w:type="dxa"/>
            <w:gridSpan w:val="5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548" w:type="dxa"/>
            <w:gridSpan w:val="3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1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288" w:hRule="atLeast"/>
        </w:trPr>
        <w:tc>
          <w:tcPr>
            <w:tcW w:w="1382" w:type="dxa"/>
            <w:gridSpan w:val="4"/>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 年度绩效指标完成情况</w:t>
            </w:r>
          </w:p>
        </w:tc>
        <w:tc>
          <w:tcPr>
            <w:tcW w:w="13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104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9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288" w:hRule="atLeast"/>
        </w:trPr>
        <w:tc>
          <w:tcPr>
            <w:tcW w:w="1382"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8"/>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产出指标（40）</w:t>
            </w:r>
          </w:p>
        </w:tc>
        <w:tc>
          <w:tcPr>
            <w:tcW w:w="1330" w:type="dxa"/>
            <w:gridSpan w:val="21"/>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补贴企业数量</w:t>
            </w:r>
          </w:p>
        </w:tc>
        <w:tc>
          <w:tcPr>
            <w:tcW w:w="104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≥60家</w:t>
            </w:r>
          </w:p>
        </w:tc>
        <w:tc>
          <w:tcPr>
            <w:tcW w:w="9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89家</w:t>
            </w:r>
          </w:p>
        </w:tc>
        <w:tc>
          <w:tcPr>
            <w:tcW w:w="1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288" w:hRule="atLeast"/>
        </w:trPr>
        <w:tc>
          <w:tcPr>
            <w:tcW w:w="1382"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8"/>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企业评定率</w:t>
            </w:r>
          </w:p>
        </w:tc>
        <w:tc>
          <w:tcPr>
            <w:tcW w:w="104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9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576" w:hRule="atLeast"/>
        </w:trPr>
        <w:tc>
          <w:tcPr>
            <w:tcW w:w="1382"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8"/>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资金拨付时限</w:t>
            </w:r>
          </w:p>
        </w:tc>
        <w:tc>
          <w:tcPr>
            <w:tcW w:w="1042" w:type="dxa"/>
            <w:gridSpan w:val="11"/>
            <w:tcBorders>
              <w:top w:val="nil"/>
              <w:left w:val="nil"/>
              <w:bottom w:val="nil"/>
              <w:right w:val="nil"/>
            </w:tcBorders>
            <w:shd w:val="clear" w:color="auto" w:fill="auto"/>
            <w:vAlign w:val="top"/>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2025年12月30日前</w:t>
            </w:r>
          </w:p>
        </w:tc>
        <w:tc>
          <w:tcPr>
            <w:tcW w:w="9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按期拨付</w:t>
            </w:r>
          </w:p>
        </w:tc>
        <w:tc>
          <w:tcPr>
            <w:tcW w:w="1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288" w:hRule="atLeast"/>
        </w:trPr>
        <w:tc>
          <w:tcPr>
            <w:tcW w:w="1382"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8"/>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企业补贴成本</w:t>
            </w:r>
          </w:p>
        </w:tc>
        <w:tc>
          <w:tcPr>
            <w:tcW w:w="104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≤70万元</w:t>
            </w:r>
          </w:p>
        </w:tc>
        <w:tc>
          <w:tcPr>
            <w:tcW w:w="9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已完成</w:t>
            </w:r>
          </w:p>
        </w:tc>
        <w:tc>
          <w:tcPr>
            <w:tcW w:w="1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720" w:hRule="atLeast"/>
        </w:trPr>
        <w:tc>
          <w:tcPr>
            <w:tcW w:w="1382"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330" w:type="dxa"/>
            <w:gridSpan w:val="21"/>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104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9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576" w:hRule="atLeast"/>
        </w:trPr>
        <w:tc>
          <w:tcPr>
            <w:tcW w:w="1382"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8"/>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效益指标（40）</w:t>
            </w:r>
          </w:p>
        </w:tc>
        <w:tc>
          <w:tcPr>
            <w:tcW w:w="1330" w:type="dxa"/>
            <w:gridSpan w:val="21"/>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促进中小企业提质增效</w:t>
            </w:r>
          </w:p>
        </w:tc>
        <w:tc>
          <w:tcPr>
            <w:tcW w:w="104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提高企业效益</w:t>
            </w:r>
          </w:p>
        </w:tc>
        <w:tc>
          <w:tcPr>
            <w:tcW w:w="9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提高企业效益</w:t>
            </w:r>
          </w:p>
        </w:tc>
        <w:tc>
          <w:tcPr>
            <w:tcW w:w="1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720" w:hRule="atLeast"/>
        </w:trPr>
        <w:tc>
          <w:tcPr>
            <w:tcW w:w="1382"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330" w:type="dxa"/>
            <w:gridSpan w:val="21"/>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补贴企业满意度</w:t>
            </w:r>
          </w:p>
        </w:tc>
        <w:tc>
          <w:tcPr>
            <w:tcW w:w="104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9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288" w:hRule="atLeast"/>
        </w:trPr>
        <w:tc>
          <w:tcPr>
            <w:tcW w:w="1382"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6908" w:type="dxa"/>
            <w:gridSpan w:val="9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1087" w:type="dxa"/>
          <w:trHeight w:val="588" w:hRule="atLeast"/>
        </w:trPr>
        <w:tc>
          <w:tcPr>
            <w:tcW w:w="1382" w:type="dxa"/>
            <w:gridSpan w:val="4"/>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五、 存在问题、原因及下一步整改措施</w:t>
            </w:r>
          </w:p>
        </w:tc>
        <w:tc>
          <w:tcPr>
            <w:tcW w:w="8124" w:type="dxa"/>
            <w:gridSpan w:val="9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市级资金总预算1485.2万元，其中136万元用于中小企业数字化转型城市试点项目财务审计资金，3万元用于中小企业数字化转型试点市级配套资金补贴“数智标杆”企业。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588" w:hRule="atLeast"/>
        </w:trPr>
        <w:tc>
          <w:tcPr>
            <w:tcW w:w="9498" w:type="dxa"/>
            <w:gridSpan w:val="103"/>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288" w:hRule="atLeast"/>
        </w:trPr>
        <w:tc>
          <w:tcPr>
            <w:tcW w:w="9498" w:type="dxa"/>
            <w:gridSpan w:val="103"/>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288" w:hRule="atLeast"/>
        </w:trPr>
        <w:tc>
          <w:tcPr>
            <w:tcW w:w="1396" w:type="dxa"/>
            <w:gridSpan w:val="5"/>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2507" w:type="dxa"/>
            <w:gridSpan w:val="30"/>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石家庄市工业和信息化局</w:t>
            </w:r>
          </w:p>
        </w:tc>
        <w:tc>
          <w:tcPr>
            <w:tcW w:w="517" w:type="dxa"/>
            <w:gridSpan w:val="7"/>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8" w:type="dxa"/>
            <w:gridSpan w:val="14"/>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7" w:type="dxa"/>
            <w:gridSpan w:val="17"/>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8" w:type="dxa"/>
            <w:gridSpan w:val="8"/>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95" w:type="dxa"/>
            <w:gridSpan w:val="15"/>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90" w:type="dxa"/>
            <w:gridSpan w:val="7"/>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504" w:hRule="atLeast"/>
        </w:trPr>
        <w:tc>
          <w:tcPr>
            <w:tcW w:w="1396" w:type="dxa"/>
            <w:gridSpan w:val="5"/>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 基本情况</w:t>
            </w:r>
          </w:p>
        </w:tc>
        <w:tc>
          <w:tcPr>
            <w:tcW w:w="11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820" w:type="dxa"/>
            <w:gridSpan w:val="4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基层统计监测人员业务能力提升（专项资金）</w:t>
            </w:r>
          </w:p>
        </w:tc>
        <w:tc>
          <w:tcPr>
            <w:tcW w:w="2180" w:type="dxa"/>
            <w:gridSpan w:val="3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196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288" w:hRule="atLeast"/>
        </w:trPr>
        <w:tc>
          <w:tcPr>
            <w:tcW w:w="1396"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4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080"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490"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9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288" w:hRule="atLeast"/>
        </w:trPr>
        <w:tc>
          <w:tcPr>
            <w:tcW w:w="139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6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8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80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9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90"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480" w:hRule="atLeast"/>
        </w:trPr>
        <w:tc>
          <w:tcPr>
            <w:tcW w:w="139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6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8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0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9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9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288" w:hRule="atLeast"/>
        </w:trPr>
        <w:tc>
          <w:tcPr>
            <w:tcW w:w="139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6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8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0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9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9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288" w:hRule="atLeast"/>
        </w:trPr>
        <w:tc>
          <w:tcPr>
            <w:tcW w:w="1396"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522" w:type="dxa"/>
            <w:gridSpan w:val="4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290" w:type="dxa"/>
            <w:gridSpan w:val="4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9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288" w:hRule="atLeast"/>
        </w:trPr>
        <w:tc>
          <w:tcPr>
            <w:tcW w:w="139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62" w:type="dxa"/>
            <w:gridSpan w:val="5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通过使用财政资金开展基层统计培训，为政府决策提供参考依据。</w:t>
            </w:r>
          </w:p>
        </w:tc>
        <w:tc>
          <w:tcPr>
            <w:tcW w:w="2850" w:type="dxa"/>
            <w:gridSpan w:val="40"/>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举办2场次基层统计培训会议，提升基层统计人员水平。</w:t>
            </w:r>
          </w:p>
        </w:tc>
        <w:tc>
          <w:tcPr>
            <w:tcW w:w="1290"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288" w:hRule="atLeast"/>
        </w:trPr>
        <w:tc>
          <w:tcPr>
            <w:tcW w:w="139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62" w:type="dxa"/>
            <w:gridSpan w:val="5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2850" w:type="dxa"/>
            <w:gridSpan w:val="4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29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288" w:hRule="atLeast"/>
        </w:trPr>
        <w:tc>
          <w:tcPr>
            <w:tcW w:w="139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62" w:type="dxa"/>
            <w:gridSpan w:val="5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2850" w:type="dxa"/>
            <w:gridSpan w:val="4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29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288" w:hRule="atLeast"/>
        </w:trPr>
        <w:tc>
          <w:tcPr>
            <w:tcW w:w="1396" w:type="dxa"/>
            <w:gridSpan w:val="5"/>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11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10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080"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2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9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9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288" w:hRule="atLeast"/>
        </w:trPr>
        <w:tc>
          <w:tcPr>
            <w:tcW w:w="1396"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42" w:type="dxa"/>
            <w:gridSpan w:val="8"/>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100" w:type="dxa"/>
            <w:gridSpan w:val="16"/>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080"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共计开展统计培训人次</w:t>
            </w:r>
          </w:p>
        </w:tc>
        <w:tc>
          <w:tcPr>
            <w:tcW w:w="12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19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129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288" w:hRule="atLeast"/>
        </w:trPr>
        <w:tc>
          <w:tcPr>
            <w:tcW w:w="1396"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42" w:type="dxa"/>
            <w:gridSpan w:val="8"/>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0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080"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实际参训人数占比</w:t>
            </w:r>
          </w:p>
        </w:tc>
        <w:tc>
          <w:tcPr>
            <w:tcW w:w="12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19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9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288" w:hRule="atLeast"/>
        </w:trPr>
        <w:tc>
          <w:tcPr>
            <w:tcW w:w="1396"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42" w:type="dxa"/>
            <w:gridSpan w:val="8"/>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0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080"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该项目资金完成拨付时间</w:t>
            </w:r>
          </w:p>
        </w:tc>
        <w:tc>
          <w:tcPr>
            <w:tcW w:w="12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2025年12月底前</w:t>
            </w:r>
          </w:p>
        </w:tc>
        <w:tc>
          <w:tcPr>
            <w:tcW w:w="119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2025年12月底前</w:t>
            </w:r>
          </w:p>
        </w:tc>
        <w:tc>
          <w:tcPr>
            <w:tcW w:w="129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288" w:hRule="atLeast"/>
        </w:trPr>
        <w:tc>
          <w:tcPr>
            <w:tcW w:w="1396"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42" w:type="dxa"/>
            <w:gridSpan w:val="8"/>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0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080"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每人参训平均成本</w:t>
            </w:r>
          </w:p>
        </w:tc>
        <w:tc>
          <w:tcPr>
            <w:tcW w:w="12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≤0.03万元</w:t>
            </w:r>
          </w:p>
        </w:tc>
        <w:tc>
          <w:tcPr>
            <w:tcW w:w="119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0.026</w:t>
            </w:r>
          </w:p>
        </w:tc>
        <w:tc>
          <w:tcPr>
            <w:tcW w:w="129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720" w:hRule="atLeast"/>
        </w:trPr>
        <w:tc>
          <w:tcPr>
            <w:tcW w:w="1396"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00" w:type="dxa"/>
            <w:gridSpan w:val="16"/>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080"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预算支出比例</w:t>
            </w:r>
          </w:p>
        </w:tc>
        <w:tc>
          <w:tcPr>
            <w:tcW w:w="12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9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9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720" w:hRule="atLeast"/>
        </w:trPr>
        <w:tc>
          <w:tcPr>
            <w:tcW w:w="1396"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42" w:type="dxa"/>
            <w:gridSpan w:val="8"/>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100" w:type="dxa"/>
            <w:gridSpan w:val="1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080"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为政府部门提供决策依据</w:t>
            </w:r>
          </w:p>
        </w:tc>
        <w:tc>
          <w:tcPr>
            <w:tcW w:w="12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做好特色产业集群统计工作</w:t>
            </w:r>
          </w:p>
        </w:tc>
        <w:tc>
          <w:tcPr>
            <w:tcW w:w="119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指导县区做好特色产业集群统计工作</w:t>
            </w:r>
          </w:p>
        </w:tc>
        <w:tc>
          <w:tcPr>
            <w:tcW w:w="129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720" w:hRule="atLeast"/>
        </w:trPr>
        <w:tc>
          <w:tcPr>
            <w:tcW w:w="1396"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满意度指标（10分）</w:t>
            </w:r>
          </w:p>
        </w:tc>
        <w:tc>
          <w:tcPr>
            <w:tcW w:w="1100" w:type="dxa"/>
            <w:gridSpan w:val="1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080"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参训人员满意度</w:t>
            </w:r>
          </w:p>
        </w:tc>
        <w:tc>
          <w:tcPr>
            <w:tcW w:w="12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9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9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288" w:hRule="atLeast"/>
        </w:trPr>
        <w:tc>
          <w:tcPr>
            <w:tcW w:w="1396"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812" w:type="dxa"/>
            <w:gridSpan w:val="9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9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wBefore w:w="314" w:type="dxa"/>
          <w:wAfter w:w="781" w:type="dxa"/>
          <w:trHeight w:val="588" w:hRule="atLeast"/>
        </w:trPr>
        <w:tc>
          <w:tcPr>
            <w:tcW w:w="1396" w:type="dxa"/>
            <w:gridSpan w:val="5"/>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 存在问题、原因及下一步整改措施</w:t>
            </w:r>
          </w:p>
        </w:tc>
        <w:tc>
          <w:tcPr>
            <w:tcW w:w="8102" w:type="dxa"/>
            <w:gridSpan w:val="9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588" w:hRule="atLeast"/>
        </w:trPr>
        <w:tc>
          <w:tcPr>
            <w:tcW w:w="9448" w:type="dxa"/>
            <w:gridSpan w:val="10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288" w:hRule="atLeast"/>
        </w:trPr>
        <w:tc>
          <w:tcPr>
            <w:tcW w:w="9448" w:type="dxa"/>
            <w:gridSpan w:val="102"/>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288" w:hRule="atLeast"/>
        </w:trPr>
        <w:tc>
          <w:tcPr>
            <w:tcW w:w="1401"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2509" w:type="dxa"/>
            <w:gridSpan w:val="30"/>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石家庄市工业和信息化局</w:t>
            </w:r>
          </w:p>
        </w:tc>
        <w:tc>
          <w:tcPr>
            <w:tcW w:w="519" w:type="dxa"/>
            <w:gridSpan w:val="7"/>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6" w:type="dxa"/>
            <w:gridSpan w:val="14"/>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30" w:type="dxa"/>
            <w:gridSpan w:val="17"/>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6" w:type="dxa"/>
            <w:gridSpan w:val="8"/>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14" w:type="dxa"/>
            <w:gridSpan w:val="9"/>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93" w:type="dxa"/>
            <w:gridSpan w:val="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504" w:hRule="atLeast"/>
        </w:trPr>
        <w:tc>
          <w:tcPr>
            <w:tcW w:w="1401" w:type="dxa"/>
            <w:gridSpan w:val="6"/>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 基本情况</w:t>
            </w:r>
          </w:p>
        </w:tc>
        <w:tc>
          <w:tcPr>
            <w:tcW w:w="10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3240" w:type="dxa"/>
            <w:gridSpan w:val="5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中小企业运行监测（专项资金）</w:t>
            </w:r>
          </w:p>
        </w:tc>
        <w:tc>
          <w:tcPr>
            <w:tcW w:w="178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w:t>
            </w:r>
            <w:r>
              <w:rPr>
                <w:rFonts w:hint="eastAsia" w:asciiTheme="minorEastAsia" w:hAnsiTheme="minorEastAsia" w:cstheme="minorEastAsia"/>
                <w:i w:val="0"/>
                <w:iCs w:val="0"/>
                <w:color w:val="000000"/>
                <w:kern w:val="0"/>
                <w:sz w:val="20"/>
                <w:szCs w:val="20"/>
                <w:u w:val="none"/>
                <w:lang w:val="en-US" w:eastAsia="zh-CN" w:bidi="ar"/>
              </w:rPr>
              <w:t>部门</w:t>
            </w:r>
          </w:p>
        </w:tc>
        <w:tc>
          <w:tcPr>
            <w:tcW w:w="193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288" w:hRule="atLeast"/>
        </w:trPr>
        <w:tc>
          <w:tcPr>
            <w:tcW w:w="1401"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3028"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1676"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1850"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4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288" w:hRule="atLeast"/>
        </w:trPr>
        <w:tc>
          <w:tcPr>
            <w:tcW w:w="1401"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75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12</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64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12</w:t>
            </w:r>
          </w:p>
        </w:tc>
        <w:tc>
          <w:tcPr>
            <w:tcW w:w="1666"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9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12</w:t>
            </w:r>
          </w:p>
        </w:tc>
        <w:tc>
          <w:tcPr>
            <w:tcW w:w="1493"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480" w:hRule="atLeast"/>
        </w:trPr>
        <w:tc>
          <w:tcPr>
            <w:tcW w:w="1401"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75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12</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64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12</w:t>
            </w:r>
          </w:p>
        </w:tc>
        <w:tc>
          <w:tcPr>
            <w:tcW w:w="1666"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9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12</w:t>
            </w:r>
          </w:p>
        </w:tc>
        <w:tc>
          <w:tcPr>
            <w:tcW w:w="1493"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288" w:hRule="atLeast"/>
        </w:trPr>
        <w:tc>
          <w:tcPr>
            <w:tcW w:w="1401"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75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64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666"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9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493"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288" w:hRule="atLeast"/>
        </w:trPr>
        <w:tc>
          <w:tcPr>
            <w:tcW w:w="1401"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3974" w:type="dxa"/>
            <w:gridSpan w:val="5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2580" w:type="dxa"/>
            <w:gridSpan w:val="3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4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288" w:hRule="atLeast"/>
        </w:trPr>
        <w:tc>
          <w:tcPr>
            <w:tcW w:w="1401"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974" w:type="dxa"/>
            <w:gridSpan w:val="5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通过财政资金对中小企业运行情况进行监测，为部门提供决策参考。</w:t>
            </w:r>
          </w:p>
        </w:tc>
        <w:tc>
          <w:tcPr>
            <w:tcW w:w="2580" w:type="dxa"/>
            <w:gridSpan w:val="3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完成年度报送任务，为部门决策提供参考。</w:t>
            </w:r>
          </w:p>
        </w:tc>
        <w:tc>
          <w:tcPr>
            <w:tcW w:w="1493"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288" w:hRule="atLeast"/>
        </w:trPr>
        <w:tc>
          <w:tcPr>
            <w:tcW w:w="1401"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974" w:type="dxa"/>
            <w:gridSpan w:val="5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580" w:type="dxa"/>
            <w:gridSpan w:val="3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93"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288" w:hRule="atLeast"/>
        </w:trPr>
        <w:tc>
          <w:tcPr>
            <w:tcW w:w="1401"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974" w:type="dxa"/>
            <w:gridSpan w:val="5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580" w:type="dxa"/>
            <w:gridSpan w:val="3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93"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288" w:hRule="atLeast"/>
        </w:trPr>
        <w:tc>
          <w:tcPr>
            <w:tcW w:w="1401" w:type="dxa"/>
            <w:gridSpan w:val="6"/>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 年度绩效指标完成情况</w:t>
            </w:r>
          </w:p>
        </w:tc>
        <w:tc>
          <w:tcPr>
            <w:tcW w:w="124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44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2017"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9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9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4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288"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9"/>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产出指标（40）</w:t>
            </w:r>
          </w:p>
        </w:tc>
        <w:tc>
          <w:tcPr>
            <w:tcW w:w="1440" w:type="dxa"/>
            <w:gridSpan w:val="2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2017"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纳入中小企业运行监测的企业数量</w:t>
            </w:r>
          </w:p>
        </w:tc>
        <w:tc>
          <w:tcPr>
            <w:tcW w:w="9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≥250</w:t>
            </w:r>
          </w:p>
        </w:tc>
        <w:tc>
          <w:tcPr>
            <w:tcW w:w="9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380</w:t>
            </w:r>
          </w:p>
        </w:tc>
        <w:tc>
          <w:tcPr>
            <w:tcW w:w="14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288"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9"/>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4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2017"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月均填报系统户数占总户数比重</w:t>
            </w:r>
          </w:p>
        </w:tc>
        <w:tc>
          <w:tcPr>
            <w:tcW w:w="9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≥80%</w:t>
            </w:r>
          </w:p>
        </w:tc>
        <w:tc>
          <w:tcPr>
            <w:tcW w:w="9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4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480"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9"/>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4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2017"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资金拨付完成时间</w:t>
            </w:r>
          </w:p>
        </w:tc>
        <w:tc>
          <w:tcPr>
            <w:tcW w:w="9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2025年12月底前</w:t>
            </w:r>
          </w:p>
        </w:tc>
        <w:tc>
          <w:tcPr>
            <w:tcW w:w="9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2025年12月底前</w:t>
            </w:r>
          </w:p>
        </w:tc>
        <w:tc>
          <w:tcPr>
            <w:tcW w:w="14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288"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9"/>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4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2017"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每家企业补助的费用成本</w:t>
            </w:r>
          </w:p>
        </w:tc>
        <w:tc>
          <w:tcPr>
            <w:tcW w:w="9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≤0.04万元</w:t>
            </w:r>
          </w:p>
        </w:tc>
        <w:tc>
          <w:tcPr>
            <w:tcW w:w="9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0.0315万元</w:t>
            </w:r>
          </w:p>
        </w:tc>
        <w:tc>
          <w:tcPr>
            <w:tcW w:w="14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720"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440" w:type="dxa"/>
            <w:gridSpan w:val="23"/>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2017"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预算支出比例</w:t>
            </w:r>
          </w:p>
        </w:tc>
        <w:tc>
          <w:tcPr>
            <w:tcW w:w="9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9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4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480"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9"/>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效益指标（40）</w:t>
            </w:r>
          </w:p>
        </w:tc>
        <w:tc>
          <w:tcPr>
            <w:tcW w:w="1440" w:type="dxa"/>
            <w:gridSpan w:val="2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2017"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考察监测数据为部门提供决策参考的程度</w:t>
            </w:r>
          </w:p>
        </w:tc>
        <w:tc>
          <w:tcPr>
            <w:tcW w:w="9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80%</w:t>
            </w:r>
          </w:p>
        </w:tc>
        <w:tc>
          <w:tcPr>
            <w:tcW w:w="9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4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720"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440" w:type="dxa"/>
            <w:gridSpan w:val="2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2017"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补贴企业满意度</w:t>
            </w:r>
          </w:p>
        </w:tc>
        <w:tc>
          <w:tcPr>
            <w:tcW w:w="93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9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4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288"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6554" w:type="dxa"/>
            <w:gridSpan w:val="8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4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2"/>
          <w:wBefore w:w="314" w:type="dxa"/>
          <w:wAfter w:w="831" w:type="dxa"/>
          <w:trHeight w:val="588" w:hRule="atLeast"/>
        </w:trPr>
        <w:tc>
          <w:tcPr>
            <w:tcW w:w="1401" w:type="dxa"/>
            <w:gridSpan w:val="6"/>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五、 存在问题、原因及下一步整改措施</w:t>
            </w:r>
          </w:p>
        </w:tc>
        <w:tc>
          <w:tcPr>
            <w:tcW w:w="8047" w:type="dxa"/>
            <w:gridSpan w:val="9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588" w:hRule="atLeast"/>
        </w:trPr>
        <w:tc>
          <w:tcPr>
            <w:tcW w:w="9428" w:type="dxa"/>
            <w:gridSpan w:val="100"/>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288" w:hRule="atLeast"/>
        </w:trPr>
        <w:tc>
          <w:tcPr>
            <w:tcW w:w="9428" w:type="dxa"/>
            <w:gridSpan w:val="100"/>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288" w:hRule="atLeast"/>
        </w:trPr>
        <w:tc>
          <w:tcPr>
            <w:tcW w:w="1390" w:type="dxa"/>
            <w:gridSpan w:val="3"/>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2503" w:type="dxa"/>
            <w:gridSpan w:val="30"/>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石家庄市工业和信息化局</w:t>
            </w:r>
          </w:p>
        </w:tc>
        <w:tc>
          <w:tcPr>
            <w:tcW w:w="512" w:type="dxa"/>
            <w:gridSpan w:val="8"/>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5" w:type="dxa"/>
            <w:gridSpan w:val="14"/>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02" w:type="dxa"/>
            <w:gridSpan w:val="14"/>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35" w:type="dxa"/>
            <w:gridSpan w:val="11"/>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90" w:type="dxa"/>
            <w:gridSpan w:val="13"/>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71" w:type="dxa"/>
            <w:gridSpan w:val="7"/>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504" w:hRule="atLeast"/>
        </w:trPr>
        <w:tc>
          <w:tcPr>
            <w:tcW w:w="1390" w:type="dxa"/>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 基本情况</w:t>
            </w:r>
          </w:p>
        </w:tc>
        <w:tc>
          <w:tcPr>
            <w:tcW w:w="151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2800"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职业经理人培训（专项资金）</w:t>
            </w:r>
          </w:p>
        </w:tc>
        <w:tc>
          <w:tcPr>
            <w:tcW w:w="1700"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w:t>
            </w:r>
            <w:r>
              <w:rPr>
                <w:rFonts w:hint="eastAsia" w:asciiTheme="minorEastAsia" w:hAnsiTheme="minorEastAsia" w:cstheme="minorEastAsia"/>
                <w:i w:val="0"/>
                <w:iCs w:val="0"/>
                <w:color w:val="000000"/>
                <w:kern w:val="0"/>
                <w:sz w:val="20"/>
                <w:szCs w:val="20"/>
                <w:u w:val="none"/>
                <w:lang w:val="en-US" w:eastAsia="zh-CN" w:bidi="ar"/>
              </w:rPr>
              <w:t>部门</w:t>
            </w:r>
          </w:p>
        </w:tc>
        <w:tc>
          <w:tcPr>
            <w:tcW w:w="202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288" w:hRule="atLeast"/>
        </w:trPr>
        <w:tc>
          <w:tcPr>
            <w:tcW w:w="13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3015"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1427"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2125"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4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288" w:hRule="atLeast"/>
        </w:trPr>
        <w:tc>
          <w:tcPr>
            <w:tcW w:w="13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7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13</w:t>
            </w:r>
          </w:p>
        </w:tc>
        <w:tc>
          <w:tcPr>
            <w:tcW w:w="137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76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13</w:t>
            </w:r>
          </w:p>
        </w:tc>
        <w:tc>
          <w:tcPr>
            <w:tcW w:w="1409"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9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13</w:t>
            </w:r>
          </w:p>
        </w:tc>
        <w:tc>
          <w:tcPr>
            <w:tcW w:w="1471"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480" w:hRule="atLeast"/>
        </w:trPr>
        <w:tc>
          <w:tcPr>
            <w:tcW w:w="13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7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13</w:t>
            </w:r>
          </w:p>
        </w:tc>
        <w:tc>
          <w:tcPr>
            <w:tcW w:w="137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76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13</w:t>
            </w:r>
          </w:p>
        </w:tc>
        <w:tc>
          <w:tcPr>
            <w:tcW w:w="1409"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9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13</w:t>
            </w:r>
          </w:p>
        </w:tc>
        <w:tc>
          <w:tcPr>
            <w:tcW w:w="147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288" w:hRule="atLeast"/>
        </w:trPr>
        <w:tc>
          <w:tcPr>
            <w:tcW w:w="13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7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37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76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409"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9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47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288" w:hRule="atLeast"/>
        </w:trPr>
        <w:tc>
          <w:tcPr>
            <w:tcW w:w="13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3940" w:type="dxa"/>
            <w:gridSpan w:val="5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2627"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4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288" w:hRule="atLeast"/>
        </w:trPr>
        <w:tc>
          <w:tcPr>
            <w:tcW w:w="13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940" w:type="dxa"/>
            <w:gridSpan w:val="5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开展职业经理人培训，为企业培养高级职业管理人员。</w:t>
            </w:r>
          </w:p>
        </w:tc>
        <w:tc>
          <w:tcPr>
            <w:tcW w:w="2627" w:type="dxa"/>
            <w:gridSpan w:val="3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培育职业经理人710人，完成年度任务目标。</w:t>
            </w:r>
          </w:p>
        </w:tc>
        <w:tc>
          <w:tcPr>
            <w:tcW w:w="1471"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288" w:hRule="atLeast"/>
        </w:trPr>
        <w:tc>
          <w:tcPr>
            <w:tcW w:w="13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940" w:type="dxa"/>
            <w:gridSpan w:val="5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627" w:type="dxa"/>
            <w:gridSpan w:val="3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7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288" w:hRule="atLeast"/>
        </w:trPr>
        <w:tc>
          <w:tcPr>
            <w:tcW w:w="13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940" w:type="dxa"/>
            <w:gridSpan w:val="5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627" w:type="dxa"/>
            <w:gridSpan w:val="3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7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288" w:hRule="atLeast"/>
        </w:trPr>
        <w:tc>
          <w:tcPr>
            <w:tcW w:w="1390" w:type="dxa"/>
            <w:gridSpan w:val="3"/>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 年度绩效指标完成情况</w:t>
            </w:r>
          </w:p>
        </w:tc>
        <w:tc>
          <w:tcPr>
            <w:tcW w:w="1788"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227"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1427"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113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9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4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288" w:hRule="atLeast"/>
        </w:trPr>
        <w:tc>
          <w:tcPr>
            <w:tcW w:w="139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788" w:type="dxa"/>
            <w:gridSpan w:val="20"/>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产出指标（40）</w:t>
            </w:r>
          </w:p>
        </w:tc>
        <w:tc>
          <w:tcPr>
            <w:tcW w:w="1227" w:type="dxa"/>
            <w:gridSpan w:val="18"/>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1427"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培育经理人人次</w:t>
            </w:r>
          </w:p>
        </w:tc>
        <w:tc>
          <w:tcPr>
            <w:tcW w:w="113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≥650</w:t>
            </w:r>
          </w:p>
        </w:tc>
        <w:tc>
          <w:tcPr>
            <w:tcW w:w="9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710</w:t>
            </w:r>
          </w:p>
        </w:tc>
        <w:tc>
          <w:tcPr>
            <w:tcW w:w="14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288" w:hRule="atLeast"/>
        </w:trPr>
        <w:tc>
          <w:tcPr>
            <w:tcW w:w="139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788" w:type="dxa"/>
            <w:gridSpan w:val="20"/>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27"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1427"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培训达标率</w:t>
            </w:r>
          </w:p>
        </w:tc>
        <w:tc>
          <w:tcPr>
            <w:tcW w:w="113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≥95%</w:t>
            </w:r>
          </w:p>
        </w:tc>
        <w:tc>
          <w:tcPr>
            <w:tcW w:w="9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4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480" w:hRule="atLeast"/>
        </w:trPr>
        <w:tc>
          <w:tcPr>
            <w:tcW w:w="139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788" w:type="dxa"/>
            <w:gridSpan w:val="20"/>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27"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1427"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培训完成时间</w:t>
            </w:r>
          </w:p>
        </w:tc>
        <w:tc>
          <w:tcPr>
            <w:tcW w:w="113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2025年11月30日前</w:t>
            </w:r>
          </w:p>
        </w:tc>
        <w:tc>
          <w:tcPr>
            <w:tcW w:w="9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2025年11月30日前</w:t>
            </w:r>
          </w:p>
        </w:tc>
        <w:tc>
          <w:tcPr>
            <w:tcW w:w="14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288" w:hRule="atLeast"/>
        </w:trPr>
        <w:tc>
          <w:tcPr>
            <w:tcW w:w="139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788" w:type="dxa"/>
            <w:gridSpan w:val="20"/>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27"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1427"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人均培训费用</w:t>
            </w:r>
          </w:p>
        </w:tc>
        <w:tc>
          <w:tcPr>
            <w:tcW w:w="113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≤0.02万元</w:t>
            </w:r>
          </w:p>
        </w:tc>
        <w:tc>
          <w:tcPr>
            <w:tcW w:w="9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0.0183万元</w:t>
            </w:r>
          </w:p>
        </w:tc>
        <w:tc>
          <w:tcPr>
            <w:tcW w:w="14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720" w:hRule="atLeast"/>
        </w:trPr>
        <w:tc>
          <w:tcPr>
            <w:tcW w:w="139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788"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227" w:type="dxa"/>
            <w:gridSpan w:val="18"/>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1427"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c>
          <w:tcPr>
            <w:tcW w:w="113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9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4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480" w:hRule="atLeast"/>
        </w:trPr>
        <w:tc>
          <w:tcPr>
            <w:tcW w:w="139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788" w:type="dxa"/>
            <w:gridSpan w:val="20"/>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效益指标（40）</w:t>
            </w:r>
          </w:p>
        </w:tc>
        <w:tc>
          <w:tcPr>
            <w:tcW w:w="1227" w:type="dxa"/>
            <w:gridSpan w:val="1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1427"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促进民营企业发展</w:t>
            </w:r>
          </w:p>
        </w:tc>
        <w:tc>
          <w:tcPr>
            <w:tcW w:w="113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提升民营企业经营管理水平</w:t>
            </w:r>
          </w:p>
        </w:tc>
        <w:tc>
          <w:tcPr>
            <w:tcW w:w="9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提升民营企业经营管理水平</w:t>
            </w:r>
          </w:p>
        </w:tc>
        <w:tc>
          <w:tcPr>
            <w:tcW w:w="14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720" w:hRule="atLeast"/>
        </w:trPr>
        <w:tc>
          <w:tcPr>
            <w:tcW w:w="139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788"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227" w:type="dxa"/>
            <w:gridSpan w:val="1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1427"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培训人员满意度</w:t>
            </w:r>
          </w:p>
        </w:tc>
        <w:tc>
          <w:tcPr>
            <w:tcW w:w="113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9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4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288" w:hRule="atLeast"/>
        </w:trPr>
        <w:tc>
          <w:tcPr>
            <w:tcW w:w="139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6567" w:type="dxa"/>
            <w:gridSpan w:val="9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4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4"/>
          <w:wBefore w:w="314" w:type="dxa"/>
          <w:wAfter w:w="851" w:type="dxa"/>
          <w:trHeight w:val="588" w:hRule="atLeast"/>
        </w:trPr>
        <w:tc>
          <w:tcPr>
            <w:tcW w:w="1390" w:type="dxa"/>
            <w:gridSpan w:val="3"/>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五、 存在问题、原因及下一步整改措施</w:t>
            </w:r>
          </w:p>
        </w:tc>
        <w:tc>
          <w:tcPr>
            <w:tcW w:w="8038" w:type="dxa"/>
            <w:gridSpan w:val="9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588" w:hRule="atLeast"/>
        </w:trPr>
        <w:tc>
          <w:tcPr>
            <w:tcW w:w="9438" w:type="dxa"/>
            <w:gridSpan w:val="10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9438" w:type="dxa"/>
            <w:gridSpan w:val="101"/>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401"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2544" w:type="dxa"/>
            <w:gridSpan w:val="3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石家庄市工业和信息化局</w:t>
            </w:r>
          </w:p>
        </w:tc>
        <w:tc>
          <w:tcPr>
            <w:tcW w:w="534" w:type="dxa"/>
            <w:gridSpan w:val="8"/>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87" w:type="dxa"/>
            <w:gridSpan w:val="14"/>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30" w:type="dxa"/>
            <w:gridSpan w:val="16"/>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6" w:type="dxa"/>
            <w:gridSpan w:val="11"/>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23" w:type="dxa"/>
            <w:gridSpan w:val="5"/>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83" w:type="dxa"/>
            <w:gridSpan w:val="10"/>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504" w:hRule="atLeast"/>
        </w:trPr>
        <w:tc>
          <w:tcPr>
            <w:tcW w:w="1401" w:type="dxa"/>
            <w:gridSpan w:val="6"/>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 基本情况</w:t>
            </w:r>
          </w:p>
        </w:tc>
        <w:tc>
          <w:tcPr>
            <w:tcW w:w="152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2690" w:type="dxa"/>
            <w:gridSpan w:val="4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公益服务活动（专项资金）</w:t>
            </w:r>
          </w:p>
        </w:tc>
        <w:tc>
          <w:tcPr>
            <w:tcW w:w="1920"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w:t>
            </w:r>
            <w:r>
              <w:rPr>
                <w:rFonts w:hint="eastAsia" w:asciiTheme="minorEastAsia" w:hAnsiTheme="minorEastAsia" w:cstheme="minorEastAsia"/>
                <w:i w:val="0"/>
                <w:iCs w:val="0"/>
                <w:color w:val="000000"/>
                <w:kern w:val="0"/>
                <w:sz w:val="20"/>
                <w:szCs w:val="20"/>
                <w:u w:val="none"/>
                <w:lang w:val="en-US" w:eastAsia="zh-CN" w:bidi="ar"/>
              </w:rPr>
              <w:t>部门</w:t>
            </w:r>
          </w:p>
        </w:tc>
        <w:tc>
          <w:tcPr>
            <w:tcW w:w="19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401"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3078"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1717"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1759"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4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401"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115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24</w:t>
            </w:r>
          </w:p>
        </w:tc>
        <w:tc>
          <w:tcPr>
            <w:tcW w:w="120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96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24</w:t>
            </w:r>
          </w:p>
        </w:tc>
        <w:tc>
          <w:tcPr>
            <w:tcW w:w="131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82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24</w:t>
            </w:r>
          </w:p>
        </w:tc>
        <w:tc>
          <w:tcPr>
            <w:tcW w:w="1483"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480" w:hRule="atLeast"/>
        </w:trPr>
        <w:tc>
          <w:tcPr>
            <w:tcW w:w="1401"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15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24</w:t>
            </w:r>
          </w:p>
        </w:tc>
        <w:tc>
          <w:tcPr>
            <w:tcW w:w="120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96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24</w:t>
            </w:r>
          </w:p>
        </w:tc>
        <w:tc>
          <w:tcPr>
            <w:tcW w:w="131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82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24</w:t>
            </w:r>
          </w:p>
        </w:tc>
        <w:tc>
          <w:tcPr>
            <w:tcW w:w="1483"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401"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15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20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96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31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82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483"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401"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4065" w:type="dxa"/>
            <w:gridSpan w:val="5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2489"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4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401"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65" w:type="dxa"/>
            <w:gridSpan w:val="5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通过组织多种形式的公益服务活动，推动企业与服务机构对接，解决企业存在问题，提升企业管理水平。</w:t>
            </w:r>
          </w:p>
        </w:tc>
        <w:tc>
          <w:tcPr>
            <w:tcW w:w="2489" w:type="dxa"/>
            <w:gridSpan w:val="3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完成年段培训任务目标，提升企业管理水平。</w:t>
            </w:r>
          </w:p>
        </w:tc>
        <w:tc>
          <w:tcPr>
            <w:tcW w:w="1483"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401"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65" w:type="dxa"/>
            <w:gridSpan w:val="5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489" w:type="dxa"/>
            <w:gridSpan w:val="3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83"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401"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65" w:type="dxa"/>
            <w:gridSpan w:val="5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489" w:type="dxa"/>
            <w:gridSpan w:val="3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83"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401" w:type="dxa"/>
            <w:gridSpan w:val="6"/>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 年度绩效指标完成情况</w:t>
            </w:r>
          </w:p>
        </w:tc>
        <w:tc>
          <w:tcPr>
            <w:tcW w:w="1407"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46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1620"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1244"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102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7" w:type="dxa"/>
            <w:gridSpan w:val="12"/>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产出指标（40）</w:t>
            </w:r>
          </w:p>
        </w:tc>
        <w:tc>
          <w:tcPr>
            <w:tcW w:w="1460" w:type="dxa"/>
            <w:gridSpan w:val="21"/>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1620"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开展公益服务活动场次</w:t>
            </w:r>
          </w:p>
        </w:tc>
        <w:tc>
          <w:tcPr>
            <w:tcW w:w="1244"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≥10场次</w:t>
            </w:r>
          </w:p>
        </w:tc>
        <w:tc>
          <w:tcPr>
            <w:tcW w:w="102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11场次</w:t>
            </w:r>
          </w:p>
        </w:tc>
        <w:tc>
          <w:tcPr>
            <w:tcW w:w="1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7" w:type="dxa"/>
            <w:gridSpan w:val="12"/>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6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1620"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活动完成率</w:t>
            </w:r>
          </w:p>
        </w:tc>
        <w:tc>
          <w:tcPr>
            <w:tcW w:w="1244"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02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7" w:type="dxa"/>
            <w:gridSpan w:val="12"/>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6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1620"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活动完成时间</w:t>
            </w:r>
          </w:p>
        </w:tc>
        <w:tc>
          <w:tcPr>
            <w:tcW w:w="1244"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2025年12月底</w:t>
            </w:r>
          </w:p>
        </w:tc>
        <w:tc>
          <w:tcPr>
            <w:tcW w:w="102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2025年12月底</w:t>
            </w:r>
          </w:p>
        </w:tc>
        <w:tc>
          <w:tcPr>
            <w:tcW w:w="1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7" w:type="dxa"/>
            <w:gridSpan w:val="12"/>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6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1620"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单场成本</w:t>
            </w:r>
          </w:p>
        </w:tc>
        <w:tc>
          <w:tcPr>
            <w:tcW w:w="1244"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≤2.4万元</w:t>
            </w:r>
          </w:p>
        </w:tc>
        <w:tc>
          <w:tcPr>
            <w:tcW w:w="102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2.18万元</w:t>
            </w:r>
          </w:p>
        </w:tc>
        <w:tc>
          <w:tcPr>
            <w:tcW w:w="1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720"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7"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460" w:type="dxa"/>
            <w:gridSpan w:val="21"/>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1620"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资金支付进度</w:t>
            </w:r>
          </w:p>
        </w:tc>
        <w:tc>
          <w:tcPr>
            <w:tcW w:w="1244"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02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480"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7" w:type="dxa"/>
            <w:gridSpan w:val="12"/>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效益指标（40）</w:t>
            </w:r>
          </w:p>
        </w:tc>
        <w:tc>
          <w:tcPr>
            <w:tcW w:w="1460" w:type="dxa"/>
            <w:gridSpan w:val="21"/>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1620"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优化企业发展环境</w:t>
            </w:r>
          </w:p>
        </w:tc>
        <w:tc>
          <w:tcPr>
            <w:tcW w:w="1244"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通过培训提升企业管理水平</w:t>
            </w:r>
          </w:p>
        </w:tc>
        <w:tc>
          <w:tcPr>
            <w:tcW w:w="102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通过培训提升企业管理水平</w:t>
            </w:r>
          </w:p>
        </w:tc>
        <w:tc>
          <w:tcPr>
            <w:tcW w:w="1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720"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7"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460" w:type="dxa"/>
            <w:gridSpan w:val="21"/>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1620"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服务对象满意度</w:t>
            </w:r>
          </w:p>
        </w:tc>
        <w:tc>
          <w:tcPr>
            <w:tcW w:w="1244"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02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401"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6554" w:type="dxa"/>
            <w:gridSpan w:val="8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48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588" w:hRule="atLeast"/>
        </w:trPr>
        <w:tc>
          <w:tcPr>
            <w:tcW w:w="1401" w:type="dxa"/>
            <w:gridSpan w:val="6"/>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五、 存在问题、原因及下一步整改措施</w:t>
            </w:r>
          </w:p>
        </w:tc>
        <w:tc>
          <w:tcPr>
            <w:tcW w:w="8037" w:type="dxa"/>
            <w:gridSpan w:val="9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588" w:hRule="atLeast"/>
        </w:trPr>
        <w:tc>
          <w:tcPr>
            <w:tcW w:w="9438" w:type="dxa"/>
            <w:gridSpan w:val="10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9438" w:type="dxa"/>
            <w:gridSpan w:val="101"/>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393" w:type="dxa"/>
            <w:gridSpan w:val="4"/>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2505" w:type="dxa"/>
            <w:gridSpan w:val="30"/>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石家庄市工业和信息化局</w:t>
            </w:r>
          </w:p>
        </w:tc>
        <w:tc>
          <w:tcPr>
            <w:tcW w:w="550" w:type="dxa"/>
            <w:gridSpan w:val="10"/>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28" w:type="dxa"/>
            <w:gridSpan w:val="16"/>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5" w:type="dxa"/>
            <w:gridSpan w:val="16"/>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2" w:type="dxa"/>
            <w:gridSpan w:val="9"/>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33" w:type="dxa"/>
            <w:gridSpan w:val="7"/>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82" w:type="dxa"/>
            <w:gridSpan w:val="9"/>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720" w:hRule="atLeast"/>
        </w:trPr>
        <w:tc>
          <w:tcPr>
            <w:tcW w:w="1393" w:type="dxa"/>
            <w:gridSpan w:val="4"/>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 基本情况</w:t>
            </w:r>
          </w:p>
        </w:tc>
        <w:tc>
          <w:tcPr>
            <w:tcW w:w="8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3730" w:type="dxa"/>
            <w:gridSpan w:val="6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2025年省级中小企业发展专项资金——一起益企 集群前行（专项资金）</w:t>
            </w:r>
          </w:p>
        </w:tc>
        <w:tc>
          <w:tcPr>
            <w:tcW w:w="137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w:t>
            </w:r>
            <w:r>
              <w:rPr>
                <w:rFonts w:hint="eastAsia" w:asciiTheme="minorEastAsia" w:hAnsiTheme="minorEastAsia" w:cstheme="minorEastAsia"/>
                <w:i w:val="0"/>
                <w:iCs w:val="0"/>
                <w:color w:val="000000"/>
                <w:kern w:val="0"/>
                <w:sz w:val="20"/>
                <w:szCs w:val="20"/>
                <w:u w:val="none"/>
                <w:lang w:val="en-US" w:eastAsia="zh-CN" w:bidi="ar"/>
              </w:rPr>
              <w:t>部门</w:t>
            </w:r>
          </w:p>
        </w:tc>
        <w:tc>
          <w:tcPr>
            <w:tcW w:w="214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393"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2505"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2030"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2028"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48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39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50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10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18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85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19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83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482" w:type="dxa"/>
            <w:gridSpan w:val="9"/>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480" w:hRule="atLeast"/>
        </w:trPr>
        <w:tc>
          <w:tcPr>
            <w:tcW w:w="139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50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0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18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85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19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83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482"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39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50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0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18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85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19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83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482"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393"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4083" w:type="dxa"/>
            <w:gridSpan w:val="5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2480"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48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39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83" w:type="dxa"/>
            <w:gridSpan w:val="5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主要通过开展一对一入企业服务的形式，深度赋能企业发展，进一步提高企业经营管理水平。</w:t>
            </w:r>
          </w:p>
        </w:tc>
        <w:tc>
          <w:tcPr>
            <w:tcW w:w="2480" w:type="dxa"/>
            <w:gridSpan w:val="3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入企服务177家次，完成年度任务目标。</w:t>
            </w:r>
          </w:p>
        </w:tc>
        <w:tc>
          <w:tcPr>
            <w:tcW w:w="1482" w:type="dxa"/>
            <w:gridSpan w:val="9"/>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39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83" w:type="dxa"/>
            <w:gridSpan w:val="5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480" w:type="dxa"/>
            <w:gridSpan w:val="3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82"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39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83" w:type="dxa"/>
            <w:gridSpan w:val="5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480" w:type="dxa"/>
            <w:gridSpan w:val="3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82"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393" w:type="dxa"/>
            <w:gridSpan w:val="4"/>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 年度绩效指标完成情况</w:t>
            </w:r>
          </w:p>
        </w:tc>
        <w:tc>
          <w:tcPr>
            <w:tcW w:w="131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04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2084"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1291"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131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0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393"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5" w:type="dxa"/>
            <w:gridSpan w:val="1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产出指标（40）</w:t>
            </w:r>
          </w:p>
        </w:tc>
        <w:tc>
          <w:tcPr>
            <w:tcW w:w="1040" w:type="dxa"/>
            <w:gridSpan w:val="15"/>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2084"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一对一入企业服务数量</w:t>
            </w:r>
          </w:p>
        </w:tc>
        <w:tc>
          <w:tcPr>
            <w:tcW w:w="1291"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≥100家</w:t>
            </w:r>
          </w:p>
        </w:tc>
        <w:tc>
          <w:tcPr>
            <w:tcW w:w="131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177家</w:t>
            </w:r>
          </w:p>
        </w:tc>
        <w:tc>
          <w:tcPr>
            <w:tcW w:w="10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393"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5" w:type="dxa"/>
            <w:gridSpan w:val="1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4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2084"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实际服务企业与计划服务企业数量之比</w:t>
            </w:r>
          </w:p>
        </w:tc>
        <w:tc>
          <w:tcPr>
            <w:tcW w:w="1291"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≥95%</w:t>
            </w:r>
          </w:p>
        </w:tc>
        <w:tc>
          <w:tcPr>
            <w:tcW w:w="131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0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393"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5" w:type="dxa"/>
            <w:gridSpan w:val="1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4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2084"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资金拨付时限</w:t>
            </w:r>
          </w:p>
        </w:tc>
        <w:tc>
          <w:tcPr>
            <w:tcW w:w="1291"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2025年12月底</w:t>
            </w:r>
          </w:p>
        </w:tc>
        <w:tc>
          <w:tcPr>
            <w:tcW w:w="131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2025年12月底</w:t>
            </w:r>
          </w:p>
        </w:tc>
        <w:tc>
          <w:tcPr>
            <w:tcW w:w="1000" w:type="dxa"/>
            <w:gridSpan w:val="4"/>
            <w:tcBorders>
              <w:top w:val="nil"/>
              <w:left w:val="nil"/>
              <w:bottom w:val="nil"/>
              <w:right w:val="single" w:color="000000" w:sz="4" w:space="0"/>
            </w:tcBorders>
            <w:shd w:val="clear" w:color="auto" w:fill="auto"/>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393"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5" w:type="dxa"/>
            <w:gridSpan w:val="1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4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2084"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服务每家企业平均成本</w:t>
            </w:r>
          </w:p>
        </w:tc>
        <w:tc>
          <w:tcPr>
            <w:tcW w:w="1291"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≤2万</w:t>
            </w:r>
          </w:p>
        </w:tc>
        <w:tc>
          <w:tcPr>
            <w:tcW w:w="131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0.5万元</w:t>
            </w:r>
          </w:p>
        </w:tc>
        <w:tc>
          <w:tcPr>
            <w:tcW w:w="10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720" w:hRule="atLeast"/>
        </w:trPr>
        <w:tc>
          <w:tcPr>
            <w:tcW w:w="1393"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预算执行率指标（10分）</w:t>
            </w:r>
          </w:p>
        </w:tc>
        <w:tc>
          <w:tcPr>
            <w:tcW w:w="1040" w:type="dxa"/>
            <w:gridSpan w:val="15"/>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2084"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资金支付进度</w:t>
            </w:r>
          </w:p>
        </w:tc>
        <w:tc>
          <w:tcPr>
            <w:tcW w:w="1291"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31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0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720" w:hRule="atLeast"/>
        </w:trPr>
        <w:tc>
          <w:tcPr>
            <w:tcW w:w="1393"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5" w:type="dxa"/>
            <w:gridSpan w:val="13"/>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效益指标（40）</w:t>
            </w:r>
          </w:p>
        </w:tc>
        <w:tc>
          <w:tcPr>
            <w:tcW w:w="1040" w:type="dxa"/>
            <w:gridSpan w:val="1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2084"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优化中小企业发展环境</w:t>
            </w:r>
          </w:p>
        </w:tc>
        <w:tc>
          <w:tcPr>
            <w:tcW w:w="1291"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进一步提升企业经营管理水平</w:t>
            </w:r>
          </w:p>
        </w:tc>
        <w:tc>
          <w:tcPr>
            <w:tcW w:w="131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进一步提升企业经营管理水平</w:t>
            </w:r>
          </w:p>
        </w:tc>
        <w:tc>
          <w:tcPr>
            <w:tcW w:w="10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720" w:hRule="atLeast"/>
        </w:trPr>
        <w:tc>
          <w:tcPr>
            <w:tcW w:w="1393"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040" w:type="dxa"/>
            <w:gridSpan w:val="1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2084"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服务对象满意度调查</w:t>
            </w:r>
          </w:p>
        </w:tc>
        <w:tc>
          <w:tcPr>
            <w:tcW w:w="1291"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31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0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288" w:hRule="atLeast"/>
        </w:trPr>
        <w:tc>
          <w:tcPr>
            <w:tcW w:w="1393"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6563" w:type="dxa"/>
            <w:gridSpan w:val="8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48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3"/>
          <w:wBefore w:w="314" w:type="dxa"/>
          <w:wAfter w:w="841" w:type="dxa"/>
          <w:trHeight w:val="588" w:hRule="atLeast"/>
        </w:trPr>
        <w:tc>
          <w:tcPr>
            <w:tcW w:w="1393" w:type="dxa"/>
            <w:gridSpan w:val="4"/>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五、 存在问题、原因及下一步整改措施</w:t>
            </w:r>
          </w:p>
        </w:tc>
        <w:tc>
          <w:tcPr>
            <w:tcW w:w="8045" w:type="dxa"/>
            <w:gridSpan w:val="9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无</w:t>
            </w:r>
          </w:p>
        </w:tc>
      </w:tr>
    </w:tbl>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部门</w:t>
      </w:r>
      <w:r>
        <w:rPr>
          <w:rFonts w:ascii="Times New Roman" w:eastAsia="仿宋_GB2312"/>
          <w:b/>
          <w:sz w:val="32"/>
          <w:szCs w:val="32"/>
        </w:rPr>
        <w:t>评价项目绩效评价结果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本年度我</w:t>
      </w:r>
      <w:r>
        <w:rPr>
          <w:rFonts w:hint="eastAsia" w:ascii="Times New Roman" w:eastAsia="仿宋_GB2312"/>
          <w:b w:val="0"/>
          <w:sz w:val="32"/>
          <w:szCs w:val="32"/>
          <w:lang w:eastAsia="zh-CN"/>
        </w:rPr>
        <w:t>部门</w:t>
      </w:r>
      <w:r>
        <w:rPr>
          <w:rFonts w:ascii="Times New Roman" w:eastAsia="仿宋_GB2312"/>
          <w:b w:val="0"/>
          <w:sz w:val="32"/>
          <w:szCs w:val="32"/>
        </w:rPr>
        <w:t>无财政评价项目。</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eastAsia="zh-CN"/>
        </w:rPr>
        <w:t>部门</w:t>
      </w:r>
      <w:r>
        <w:rPr>
          <w:rFonts w:ascii="Times New Roman" w:eastAsia="仿宋_GB2312"/>
          <w:b w:val="0"/>
          <w:sz w:val="32"/>
          <w:szCs w:val="32"/>
        </w:rPr>
        <w:t>2025年度政府性基金预算财政拨款收入支出决算表（公开07表）、国有资本经营预算财政拨款支出决算表（公开08表）无相应收支，故空表列示。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2" w:firstLineChars="200"/>
        <w:jc w:val="left"/>
        <w:textAlignment w:val="auto"/>
        <w:outlineLvl w:val="9"/>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2" w:firstLineChars="200"/>
        <w:jc w:val="left"/>
        <w:textAlignment w:val="auto"/>
        <w:outlineLvl w:val="9"/>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十四、</w:t>
      </w:r>
      <w:r>
        <w:rPr>
          <w:rFonts w:hint="eastAsia" w:ascii="Times New Roman" w:eastAsia="仿宋_GB2312"/>
          <w:b/>
          <w:sz w:val="32"/>
          <w:szCs w:val="32"/>
        </w:rPr>
        <w:t>“三公”</w:t>
      </w:r>
      <w:r>
        <w:rPr>
          <w:rFonts w:ascii="Times New Roman" w:eastAsia="仿宋_GB2312"/>
          <w:b/>
          <w:sz w:val="32"/>
          <w:szCs w:val="32"/>
        </w:rPr>
        <w:t>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headerReference r:id="rId8" w:type="default"/>
      <w:footerReference r:id="rId9" w:type="default"/>
      <w:pgSz w:w="11906" w:h="16838"/>
      <w:pgMar w:top="2098" w:right="1417" w:bottom="1871" w:left="1417" w:header="851" w:footer="992" w:gutter="0"/>
      <w:pgBorders>
        <w:top w:val="none" w:sz="0" w:space="0"/>
        <w:left w:val="none" w:sz="0" w:space="0"/>
        <w:bottom w:val="none" w:sz="0" w:space="0"/>
        <w:right w:val="none" w:sz="0" w:space="0"/>
      </w:pgBorders>
      <w:pgNumType w:fmt="numberInDash" w:start="1"/>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libri Light">
    <w:altName w:val="DejaVu Sans"/>
    <w:panose1 w:val="020F0302020204030204"/>
    <w:charset w:val="00"/>
    <w:family w:val="auto"/>
    <w:pitch w:val="default"/>
    <w:sig w:usb0="00000000" w:usb1="00000000" w:usb2="00000000" w:usb3="00000000" w:csb0="2000019F" w:csb1="00000000"/>
  </w:font>
  <w:font w:name="DejaVu Sans">
    <w:panose1 w:val="020B0603030804020204"/>
    <w:charset w:val="00"/>
    <w:family w:val="auto"/>
    <w:pitch w:val="default"/>
    <w:sig w:usb0="E7006EFF" w:usb1="D200FDFF" w:usb2="0A246029" w:usb3="0400200C" w:csb0="600001FF" w:csb1="DFFF0000"/>
  </w:font>
  <w:font w:name="华文中宋">
    <w:panose1 w:val="02010600040101010101"/>
    <w:charset w:val="86"/>
    <w:family w:val="auto"/>
    <w:pitch w:val="default"/>
    <w:sig w:usb0="00000287" w:usb1="080F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ArialUnicodeMS">
    <w:altName w:val="Times New Roman"/>
    <w:panose1 w:val="00000000000000000000"/>
    <w:charset w:val="81"/>
    <w:family w:val="auto"/>
    <w:pitch w:val="default"/>
    <w:sig w:usb0="00000000" w:usb1="00000000" w:usb2="00000010" w:usb3="00000000" w:csb0="0008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rPr>
                            <w:t>5</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qK+V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&#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qaivlTECAABjBAAADgAAAAAAAAABACAAAAA1&#10;AQAAZHJzL2Uyb0RvYy54bWxQSwUGAAAAAAYABgBZAQAA2AUAAAAA&#10;">
              <v:fill on="f" focussize="0,0"/>
              <v:stroke on="f" weight="0.5pt"/>
              <v:imagedata o:title=""/>
              <o:lock v:ext="edit" aspectratio="f"/>
              <v:textbox inset="0mm,0mm,0mm,0mm" style="mso-fit-shape-to-text:t;">
                <w:txbxContent>
                  <w:p>
                    <w:pPr>
                      <w:snapToGrid w:val="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rPr>
                      <w:t>5</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4"/>
      <w:lvlText w:val="%1."/>
      <w:lvlJc w:val="left"/>
      <w:pPr>
        <w:ind w:left="425" w:hanging="425"/>
      </w:pPr>
      <w:rPr>
        <w:rFonts w:hint="default"/>
      </w:rPr>
    </w:lvl>
    <w:lvl w:ilvl="1" w:tentative="0">
      <w:start w:val="1"/>
      <w:numFmt w:val="decimal"/>
      <w:pStyle w:val="5"/>
      <w:lvlText w:val="%1.%2."/>
      <w:lvlJc w:val="left"/>
      <w:pPr>
        <w:ind w:left="567" w:hanging="567"/>
      </w:pPr>
      <w:rPr>
        <w:rFonts w:hint="default"/>
      </w:rPr>
    </w:lvl>
    <w:lvl w:ilvl="2" w:tentative="0">
      <w:start w:val="1"/>
      <w:numFmt w:val="decimal"/>
      <w:pStyle w:val="6"/>
      <w:lvlText w:val="%1.%2.%3."/>
      <w:lvlJc w:val="left"/>
      <w:pPr>
        <w:ind w:left="709" w:hanging="709"/>
      </w:pPr>
      <w:rPr>
        <w:rFonts w:hint="default"/>
      </w:rPr>
    </w:lvl>
    <w:lvl w:ilvl="3" w:tentative="0">
      <w:start w:val="1"/>
      <w:numFmt w:val="decimal"/>
      <w:pStyle w:val="7"/>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5B0E66"/>
    <w:rsid w:val="00822154"/>
    <w:rsid w:val="00C65689"/>
    <w:rsid w:val="00CC2C8E"/>
    <w:rsid w:val="010A64DB"/>
    <w:rsid w:val="0179546C"/>
    <w:rsid w:val="01A03C5A"/>
    <w:rsid w:val="01A5267D"/>
    <w:rsid w:val="01A81D45"/>
    <w:rsid w:val="01AE3368"/>
    <w:rsid w:val="01AF6A8D"/>
    <w:rsid w:val="024808A2"/>
    <w:rsid w:val="025C3821"/>
    <w:rsid w:val="02DA3B1B"/>
    <w:rsid w:val="02E57B4D"/>
    <w:rsid w:val="03450B90"/>
    <w:rsid w:val="037B12D4"/>
    <w:rsid w:val="03804D63"/>
    <w:rsid w:val="03F5128D"/>
    <w:rsid w:val="03FB73B0"/>
    <w:rsid w:val="04466E6C"/>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ECB93FF"/>
    <w:rsid w:val="0F0E7284"/>
    <w:rsid w:val="0F28110F"/>
    <w:rsid w:val="0F37083F"/>
    <w:rsid w:val="0F4351D1"/>
    <w:rsid w:val="0F7470AF"/>
    <w:rsid w:val="0F8751F8"/>
    <w:rsid w:val="0F891DB8"/>
    <w:rsid w:val="0F8D3287"/>
    <w:rsid w:val="0FAA3B86"/>
    <w:rsid w:val="0FD33D67"/>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584322"/>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BAB5C"/>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BD7049"/>
    <w:rsid w:val="1ED22D79"/>
    <w:rsid w:val="1EDF707D"/>
    <w:rsid w:val="1F394761"/>
    <w:rsid w:val="1F65664C"/>
    <w:rsid w:val="1F7C149A"/>
    <w:rsid w:val="1F84140D"/>
    <w:rsid w:val="1F9B7FFD"/>
    <w:rsid w:val="1F9C7614"/>
    <w:rsid w:val="1FBE1971"/>
    <w:rsid w:val="1FFF0AEF"/>
    <w:rsid w:val="2008768D"/>
    <w:rsid w:val="204B327F"/>
    <w:rsid w:val="204C2B10"/>
    <w:rsid w:val="207D30AD"/>
    <w:rsid w:val="209064B9"/>
    <w:rsid w:val="20970D81"/>
    <w:rsid w:val="20C22F58"/>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083C94"/>
    <w:rsid w:val="232C221B"/>
    <w:rsid w:val="2356249E"/>
    <w:rsid w:val="236E713A"/>
    <w:rsid w:val="23700968"/>
    <w:rsid w:val="238761A6"/>
    <w:rsid w:val="238F2973"/>
    <w:rsid w:val="23920578"/>
    <w:rsid w:val="23BB6F9A"/>
    <w:rsid w:val="23FC3864"/>
    <w:rsid w:val="24344FFE"/>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53A59"/>
    <w:rsid w:val="26661BB3"/>
    <w:rsid w:val="26773DC1"/>
    <w:rsid w:val="26D50E55"/>
    <w:rsid w:val="271A539C"/>
    <w:rsid w:val="273823FA"/>
    <w:rsid w:val="274972D4"/>
    <w:rsid w:val="27AA3D97"/>
    <w:rsid w:val="280A3758"/>
    <w:rsid w:val="28292E99"/>
    <w:rsid w:val="28390CF1"/>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EA1D3D"/>
    <w:rsid w:val="2EEE5120"/>
    <w:rsid w:val="2EFC0112"/>
    <w:rsid w:val="2F0F45A5"/>
    <w:rsid w:val="2F0F6197"/>
    <w:rsid w:val="2F2B730D"/>
    <w:rsid w:val="2F6A001E"/>
    <w:rsid w:val="2F9F3DC1"/>
    <w:rsid w:val="2FFC7AC2"/>
    <w:rsid w:val="301430AF"/>
    <w:rsid w:val="304D72A6"/>
    <w:rsid w:val="30630612"/>
    <w:rsid w:val="308E59B0"/>
    <w:rsid w:val="30B10568"/>
    <w:rsid w:val="30E070F0"/>
    <w:rsid w:val="30E55DD3"/>
    <w:rsid w:val="30E60399"/>
    <w:rsid w:val="31356AA5"/>
    <w:rsid w:val="313D580D"/>
    <w:rsid w:val="313E22F0"/>
    <w:rsid w:val="31B0194C"/>
    <w:rsid w:val="31CE17D1"/>
    <w:rsid w:val="31FD161E"/>
    <w:rsid w:val="31FD3AD3"/>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4F04F2C"/>
    <w:rsid w:val="35144B80"/>
    <w:rsid w:val="35277FF8"/>
    <w:rsid w:val="35763460"/>
    <w:rsid w:val="35776F72"/>
    <w:rsid w:val="35997371"/>
    <w:rsid w:val="35BC359E"/>
    <w:rsid w:val="35DA3A24"/>
    <w:rsid w:val="35DD4D47"/>
    <w:rsid w:val="35FB1A57"/>
    <w:rsid w:val="360134DF"/>
    <w:rsid w:val="360B1E2F"/>
    <w:rsid w:val="360D500F"/>
    <w:rsid w:val="36330424"/>
    <w:rsid w:val="36FE3ABA"/>
    <w:rsid w:val="37072BDE"/>
    <w:rsid w:val="37455334"/>
    <w:rsid w:val="37527C32"/>
    <w:rsid w:val="37731921"/>
    <w:rsid w:val="37E509C0"/>
    <w:rsid w:val="37E96FB8"/>
    <w:rsid w:val="37F72DCE"/>
    <w:rsid w:val="38222D85"/>
    <w:rsid w:val="38767A34"/>
    <w:rsid w:val="38803721"/>
    <w:rsid w:val="38925A62"/>
    <w:rsid w:val="389F5F4F"/>
    <w:rsid w:val="38C36BA2"/>
    <w:rsid w:val="38D34E55"/>
    <w:rsid w:val="38E11CEF"/>
    <w:rsid w:val="38F6595C"/>
    <w:rsid w:val="391702A7"/>
    <w:rsid w:val="39286EB6"/>
    <w:rsid w:val="39601DF4"/>
    <w:rsid w:val="396960F3"/>
    <w:rsid w:val="396E2A50"/>
    <w:rsid w:val="39840D35"/>
    <w:rsid w:val="39A97DAF"/>
    <w:rsid w:val="39AB229D"/>
    <w:rsid w:val="39BF365D"/>
    <w:rsid w:val="39CD1330"/>
    <w:rsid w:val="39DD1AFF"/>
    <w:rsid w:val="39E605A8"/>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BD762EB"/>
    <w:rsid w:val="3C14299D"/>
    <w:rsid w:val="3C6C0B58"/>
    <w:rsid w:val="3C945583"/>
    <w:rsid w:val="3CBE41D5"/>
    <w:rsid w:val="3D446B0E"/>
    <w:rsid w:val="3D745844"/>
    <w:rsid w:val="3D8626D0"/>
    <w:rsid w:val="3D8C1AA8"/>
    <w:rsid w:val="3D953A6B"/>
    <w:rsid w:val="3DBB5979"/>
    <w:rsid w:val="3DD56F21"/>
    <w:rsid w:val="3DEF6699"/>
    <w:rsid w:val="3E1057AF"/>
    <w:rsid w:val="3E5FDFA5"/>
    <w:rsid w:val="3E6C0DFA"/>
    <w:rsid w:val="3E70ECF8"/>
    <w:rsid w:val="3E740322"/>
    <w:rsid w:val="3E7F4380"/>
    <w:rsid w:val="3E8D171B"/>
    <w:rsid w:val="3EA5630D"/>
    <w:rsid w:val="3EBA731B"/>
    <w:rsid w:val="3EE33949"/>
    <w:rsid w:val="3EFB5800"/>
    <w:rsid w:val="3F3B4E59"/>
    <w:rsid w:val="3F6E677C"/>
    <w:rsid w:val="3F712F46"/>
    <w:rsid w:val="3FBC0EF7"/>
    <w:rsid w:val="3FBFBE94"/>
    <w:rsid w:val="3FCD2AB9"/>
    <w:rsid w:val="3FCD4B44"/>
    <w:rsid w:val="3FD17600"/>
    <w:rsid w:val="3FDF30DD"/>
    <w:rsid w:val="3FFC422D"/>
    <w:rsid w:val="3FFF0C57"/>
    <w:rsid w:val="3FFF293E"/>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0A6781"/>
    <w:rsid w:val="44223AB6"/>
    <w:rsid w:val="44404C8E"/>
    <w:rsid w:val="447537F1"/>
    <w:rsid w:val="44870D07"/>
    <w:rsid w:val="44D33826"/>
    <w:rsid w:val="44DF5258"/>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883184"/>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EA34C2"/>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0753D9"/>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9F74E27"/>
    <w:rsid w:val="5A001BC6"/>
    <w:rsid w:val="5A09263D"/>
    <w:rsid w:val="5A1D5B0A"/>
    <w:rsid w:val="5A2447F3"/>
    <w:rsid w:val="5A3B4B4E"/>
    <w:rsid w:val="5A4804CA"/>
    <w:rsid w:val="5A594C85"/>
    <w:rsid w:val="5A8842AA"/>
    <w:rsid w:val="5AEB1E3C"/>
    <w:rsid w:val="5B1117C5"/>
    <w:rsid w:val="5B2507CA"/>
    <w:rsid w:val="5B2A474A"/>
    <w:rsid w:val="5B2D237E"/>
    <w:rsid w:val="5B612747"/>
    <w:rsid w:val="5B830730"/>
    <w:rsid w:val="5BBB2DD6"/>
    <w:rsid w:val="5BD6009C"/>
    <w:rsid w:val="5BE263B6"/>
    <w:rsid w:val="5BF77C6D"/>
    <w:rsid w:val="5C8E5C5A"/>
    <w:rsid w:val="5C965E61"/>
    <w:rsid w:val="5CD839BA"/>
    <w:rsid w:val="5CF0089C"/>
    <w:rsid w:val="5CF5796F"/>
    <w:rsid w:val="5CFA604D"/>
    <w:rsid w:val="5D242A11"/>
    <w:rsid w:val="5D9217C2"/>
    <w:rsid w:val="5DAD06BF"/>
    <w:rsid w:val="5DC92CE9"/>
    <w:rsid w:val="5DE23CB3"/>
    <w:rsid w:val="5DE97EEC"/>
    <w:rsid w:val="5DFA5EB0"/>
    <w:rsid w:val="5DFE31E1"/>
    <w:rsid w:val="5E000E4D"/>
    <w:rsid w:val="5E0B583E"/>
    <w:rsid w:val="5E201A7B"/>
    <w:rsid w:val="5EA45884"/>
    <w:rsid w:val="5EBD0484"/>
    <w:rsid w:val="5EFCDAE1"/>
    <w:rsid w:val="5F2C5C7C"/>
    <w:rsid w:val="5F36141C"/>
    <w:rsid w:val="5FC5273F"/>
    <w:rsid w:val="5FD64459"/>
    <w:rsid w:val="5FDF23C3"/>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5FB7C1B"/>
    <w:rsid w:val="663E1DBA"/>
    <w:rsid w:val="665D0213"/>
    <w:rsid w:val="6673F902"/>
    <w:rsid w:val="668506C7"/>
    <w:rsid w:val="669E59F1"/>
    <w:rsid w:val="66A2024B"/>
    <w:rsid w:val="66CB5E2D"/>
    <w:rsid w:val="6704732B"/>
    <w:rsid w:val="670F6731"/>
    <w:rsid w:val="67585CB0"/>
    <w:rsid w:val="67770F0C"/>
    <w:rsid w:val="679E649A"/>
    <w:rsid w:val="67B03535"/>
    <w:rsid w:val="67FA0864"/>
    <w:rsid w:val="68174F69"/>
    <w:rsid w:val="682C436A"/>
    <w:rsid w:val="68382778"/>
    <w:rsid w:val="68391F41"/>
    <w:rsid w:val="68436B8C"/>
    <w:rsid w:val="68797358"/>
    <w:rsid w:val="6884624F"/>
    <w:rsid w:val="68A519DF"/>
    <w:rsid w:val="68BF2482"/>
    <w:rsid w:val="68C4160B"/>
    <w:rsid w:val="68C41C30"/>
    <w:rsid w:val="68CF3BA4"/>
    <w:rsid w:val="69257FA7"/>
    <w:rsid w:val="69344437"/>
    <w:rsid w:val="693F26C7"/>
    <w:rsid w:val="697E12B2"/>
    <w:rsid w:val="69C8706D"/>
    <w:rsid w:val="6A0E3FB4"/>
    <w:rsid w:val="6A292754"/>
    <w:rsid w:val="6A5E3B28"/>
    <w:rsid w:val="6A6B1EBE"/>
    <w:rsid w:val="6A8F43F7"/>
    <w:rsid w:val="6AD625F3"/>
    <w:rsid w:val="6AFFADA7"/>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B7DF70"/>
    <w:rsid w:val="6EEAADB9"/>
    <w:rsid w:val="6EEB4AC4"/>
    <w:rsid w:val="6F212DD6"/>
    <w:rsid w:val="6F3B5912"/>
    <w:rsid w:val="6F538780"/>
    <w:rsid w:val="6FA14A81"/>
    <w:rsid w:val="6FA3261F"/>
    <w:rsid w:val="6FB44BAA"/>
    <w:rsid w:val="6FD92514"/>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5FE9AE"/>
    <w:rsid w:val="73614EAA"/>
    <w:rsid w:val="73617E1B"/>
    <w:rsid w:val="736D7653"/>
    <w:rsid w:val="738035CB"/>
    <w:rsid w:val="73852C46"/>
    <w:rsid w:val="7396335C"/>
    <w:rsid w:val="739E684F"/>
    <w:rsid w:val="73F46595"/>
    <w:rsid w:val="73F47FAE"/>
    <w:rsid w:val="74283FA2"/>
    <w:rsid w:val="742C135B"/>
    <w:rsid w:val="74463733"/>
    <w:rsid w:val="748A2F40"/>
    <w:rsid w:val="74BBB1CD"/>
    <w:rsid w:val="74D84FF7"/>
    <w:rsid w:val="74F85778"/>
    <w:rsid w:val="75272439"/>
    <w:rsid w:val="758F1E9B"/>
    <w:rsid w:val="75CE266B"/>
    <w:rsid w:val="75E538F2"/>
    <w:rsid w:val="75FEE240"/>
    <w:rsid w:val="76120141"/>
    <w:rsid w:val="76510960"/>
    <w:rsid w:val="768216BE"/>
    <w:rsid w:val="76C23B43"/>
    <w:rsid w:val="76FD6F97"/>
    <w:rsid w:val="770218E8"/>
    <w:rsid w:val="773340E9"/>
    <w:rsid w:val="779469CE"/>
    <w:rsid w:val="77C875A5"/>
    <w:rsid w:val="77D777E8"/>
    <w:rsid w:val="78A27DF6"/>
    <w:rsid w:val="79285B3A"/>
    <w:rsid w:val="79490B03"/>
    <w:rsid w:val="79625CA9"/>
    <w:rsid w:val="79A91196"/>
    <w:rsid w:val="7A0B32D3"/>
    <w:rsid w:val="7AC13CD3"/>
    <w:rsid w:val="7ACE65F1"/>
    <w:rsid w:val="7AE10264"/>
    <w:rsid w:val="7AE4248E"/>
    <w:rsid w:val="7B2E52E3"/>
    <w:rsid w:val="7B4A207F"/>
    <w:rsid w:val="7B7122A7"/>
    <w:rsid w:val="7B936F45"/>
    <w:rsid w:val="7BA47419"/>
    <w:rsid w:val="7BB10D45"/>
    <w:rsid w:val="7BB44151"/>
    <w:rsid w:val="7C067CC4"/>
    <w:rsid w:val="7C656A39"/>
    <w:rsid w:val="7CAE7D7C"/>
    <w:rsid w:val="7CB93996"/>
    <w:rsid w:val="7CBE0F99"/>
    <w:rsid w:val="7D4E45F1"/>
    <w:rsid w:val="7DEDF21C"/>
    <w:rsid w:val="7DFB6D82"/>
    <w:rsid w:val="7E1D71D1"/>
    <w:rsid w:val="7E246254"/>
    <w:rsid w:val="7E553215"/>
    <w:rsid w:val="7E6D090F"/>
    <w:rsid w:val="7E77F40A"/>
    <w:rsid w:val="7E7E2263"/>
    <w:rsid w:val="7ECC66B2"/>
    <w:rsid w:val="7ED7E65A"/>
    <w:rsid w:val="7EDFDFAB"/>
    <w:rsid w:val="7EFDB721"/>
    <w:rsid w:val="7EFE3D92"/>
    <w:rsid w:val="7F2914C3"/>
    <w:rsid w:val="7F5F2ED6"/>
    <w:rsid w:val="7F73C362"/>
    <w:rsid w:val="7FA837EF"/>
    <w:rsid w:val="7FB96827"/>
    <w:rsid w:val="7FBA7AA3"/>
    <w:rsid w:val="7FBF1DF3"/>
    <w:rsid w:val="7FC36955"/>
    <w:rsid w:val="7FE308F5"/>
    <w:rsid w:val="7FE903A0"/>
    <w:rsid w:val="7FF07065"/>
    <w:rsid w:val="7FF72148"/>
    <w:rsid w:val="7FF97946"/>
    <w:rsid w:val="7FFE7888"/>
    <w:rsid w:val="9BB4FDBC"/>
    <w:rsid w:val="9FB3F696"/>
    <w:rsid w:val="9FFB8567"/>
    <w:rsid w:val="ADFD58E2"/>
    <w:rsid w:val="B5FFD30A"/>
    <w:rsid w:val="B7DBC2A3"/>
    <w:rsid w:val="B9DF11FF"/>
    <w:rsid w:val="BB1D95E8"/>
    <w:rsid w:val="BD5F9E2E"/>
    <w:rsid w:val="BEBD9792"/>
    <w:rsid w:val="BFFB4BA9"/>
    <w:rsid w:val="CEFDF9DB"/>
    <w:rsid w:val="D0FA67BF"/>
    <w:rsid w:val="DD5D397C"/>
    <w:rsid w:val="DEF3ED57"/>
    <w:rsid w:val="DFDD7E66"/>
    <w:rsid w:val="E5FFA110"/>
    <w:rsid w:val="E60F1ACA"/>
    <w:rsid w:val="E65FA22B"/>
    <w:rsid w:val="EF75C7BD"/>
    <w:rsid w:val="F0F609C4"/>
    <w:rsid w:val="F53BCD5B"/>
    <w:rsid w:val="F6F5C1E5"/>
    <w:rsid w:val="F77DE1C3"/>
    <w:rsid w:val="F7ADDA0A"/>
    <w:rsid w:val="F7BFE23B"/>
    <w:rsid w:val="F7EC5F65"/>
    <w:rsid w:val="F7F58BD0"/>
    <w:rsid w:val="FAFE6740"/>
    <w:rsid w:val="FB26EC07"/>
    <w:rsid w:val="FB5FC904"/>
    <w:rsid w:val="FB7FBC4E"/>
    <w:rsid w:val="FBADFD34"/>
    <w:rsid w:val="FDBC948A"/>
    <w:rsid w:val="FDBFFF07"/>
    <w:rsid w:val="FDDBEE79"/>
    <w:rsid w:val="FF3F22D6"/>
    <w:rsid w:val="FF6681DC"/>
    <w:rsid w:val="FF7FD409"/>
    <w:rsid w:val="FF7FF3C3"/>
    <w:rsid w:val="FFB8C94B"/>
    <w:rsid w:val="FFE68EB7"/>
    <w:rsid w:val="FFE77476"/>
    <w:rsid w:val="FFEF7A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4">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5">
    <w:name w:val="heading 2"/>
    <w:basedOn w:val="1"/>
    <w:next w:val="1"/>
    <w:link w:val="17"/>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6">
    <w:name w:val="heading 3"/>
    <w:basedOn w:val="1"/>
    <w:next w:val="1"/>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7">
    <w:name w:val="heading 4"/>
    <w:basedOn w:val="1"/>
    <w:next w:val="1"/>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5">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customStyle="1" w:styleId="2">
    <w:name w:val="Body Text First Indent 21"/>
    <w:basedOn w:val="3"/>
    <w:qFormat/>
    <w:uiPriority w:val="99"/>
    <w:pPr>
      <w:ind w:firstLine="420"/>
    </w:pPr>
  </w:style>
  <w:style w:type="paragraph" w:customStyle="1" w:styleId="3">
    <w:name w:val="Body Text Indent1"/>
    <w:basedOn w:val="1"/>
    <w:qFormat/>
    <w:uiPriority w:val="99"/>
    <w:pPr>
      <w:spacing w:line="360" w:lineRule="auto"/>
      <w:ind w:firstLine="200" w:firstLineChars="200"/>
      <w:textAlignment w:val="baseline"/>
    </w:pPr>
    <w:rPr>
      <w:sz w:val="24"/>
      <w:szCs w:val="24"/>
    </w:rPr>
  </w:style>
  <w:style w:type="paragraph" w:styleId="8">
    <w:name w:val="annotation text"/>
    <w:basedOn w:val="1"/>
    <w:unhideWhenUsed/>
    <w:qFormat/>
    <w:uiPriority w:val="99"/>
    <w:pPr>
      <w:jc w:val="left"/>
    </w:pPr>
  </w:style>
  <w:style w:type="paragraph" w:styleId="9">
    <w:name w:val="Balloon Text"/>
    <w:basedOn w:val="1"/>
    <w:link w:val="26"/>
    <w:unhideWhenUsed/>
    <w:qFormat/>
    <w:uiPriority w:val="99"/>
    <w:rPr>
      <w:rFonts w:cstheme="minorBidi"/>
      <w:kern w:val="2"/>
      <w:sz w:val="18"/>
      <w:szCs w:val="18"/>
    </w:rPr>
  </w:style>
  <w:style w:type="paragraph" w:styleId="10">
    <w:name w:val="footer"/>
    <w:basedOn w:val="1"/>
    <w:link w:val="18"/>
    <w:qFormat/>
    <w:uiPriority w:val="99"/>
    <w:pPr>
      <w:tabs>
        <w:tab w:val="center" w:pos="4153"/>
        <w:tab w:val="right" w:pos="8306"/>
      </w:tabs>
      <w:snapToGrid w:val="0"/>
      <w:jc w:val="left"/>
    </w:pPr>
    <w:rPr>
      <w:rFonts w:cstheme="minorBidi"/>
      <w:kern w:val="2"/>
      <w:sz w:val="18"/>
      <w:szCs w:val="18"/>
    </w:rPr>
  </w:style>
  <w:style w:type="paragraph" w:styleId="11">
    <w:name w:val="header"/>
    <w:basedOn w:val="1"/>
    <w:link w:val="1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2">
    <w:name w:val="Normal (Web)"/>
    <w:basedOn w:val="1"/>
    <w:unhideWhenUsed/>
    <w:qFormat/>
    <w:uiPriority w:val="99"/>
    <w:pPr>
      <w:spacing w:before="0" w:beforeAutospacing="1" w:after="0" w:afterAutospacing="1"/>
      <w:ind w:left="0" w:right="0"/>
      <w:jc w:val="left"/>
    </w:pPr>
    <w:rPr>
      <w:kern w:val="0"/>
      <w:sz w:val="24"/>
      <w:lang w:val="en-US" w:eastAsia="zh-CN" w:bidi="ar"/>
    </w:rPr>
  </w:style>
  <w:style w:type="table" w:styleId="14">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customStyle="1" w:styleId="17">
    <w:name w:val="标题 2 Char"/>
    <w:link w:val="5"/>
    <w:qFormat/>
    <w:uiPriority w:val="0"/>
    <w:rPr>
      <w:rFonts w:ascii="Calibri Light" w:hAnsi="Calibri Light" w:eastAsia="宋体" w:cs="Times New Roman"/>
      <w:b/>
      <w:bCs/>
      <w:sz w:val="28"/>
      <w:szCs w:val="32"/>
    </w:rPr>
  </w:style>
  <w:style w:type="character" w:customStyle="1" w:styleId="18">
    <w:name w:val="页脚 Char"/>
    <w:basedOn w:val="15"/>
    <w:link w:val="10"/>
    <w:qFormat/>
    <w:uiPriority w:val="99"/>
    <w:rPr>
      <w:rFonts w:asciiTheme="minorHAnsi" w:hAnsiTheme="minorHAnsi" w:eastAsiaTheme="minorEastAsia" w:cstheme="minorBidi"/>
      <w:sz w:val="18"/>
      <w:szCs w:val="18"/>
      <w:lang w:val="en-US" w:eastAsia="zh-CN" w:bidi="ar-SA"/>
    </w:rPr>
  </w:style>
  <w:style w:type="character" w:customStyle="1" w:styleId="19">
    <w:name w:val="页眉 Char"/>
    <w:basedOn w:val="15"/>
    <w:link w:val="11"/>
    <w:qFormat/>
    <w:uiPriority w:val="0"/>
    <w:rPr>
      <w:rFonts w:asciiTheme="minorHAnsi" w:hAnsiTheme="minorHAnsi" w:eastAsiaTheme="minorEastAsia" w:cstheme="minorBidi"/>
      <w:sz w:val="18"/>
      <w:szCs w:val="18"/>
      <w:lang w:val="en-US" w:eastAsia="zh-CN" w:bidi="ar-SA"/>
    </w:rPr>
  </w:style>
  <w:style w:type="character" w:customStyle="1" w:styleId="20">
    <w:name w:val="font11"/>
    <w:basedOn w:val="15"/>
    <w:qFormat/>
    <w:uiPriority w:val="0"/>
    <w:rPr>
      <w:rFonts w:hint="eastAsia" w:ascii="宋体" w:hAnsi="宋体" w:eastAsia="宋体" w:cs="宋体"/>
      <w:color w:val="000000"/>
      <w:sz w:val="20"/>
      <w:szCs w:val="20"/>
      <w:u w:val="none"/>
      <w:lang w:val="en-US" w:eastAsia="zh-CN" w:bidi="ar-SA"/>
    </w:rPr>
  </w:style>
  <w:style w:type="character" w:customStyle="1" w:styleId="21">
    <w:name w:val="font01"/>
    <w:basedOn w:val="15"/>
    <w:qFormat/>
    <w:uiPriority w:val="0"/>
    <w:rPr>
      <w:rFonts w:hint="eastAsia" w:ascii="宋体" w:hAnsi="宋体" w:eastAsia="宋体" w:cs="宋体"/>
      <w:color w:val="000000"/>
      <w:sz w:val="22"/>
      <w:szCs w:val="22"/>
      <w:u w:val="none"/>
      <w:lang w:val="en-US" w:eastAsia="zh-CN" w:bidi="ar-SA"/>
    </w:rPr>
  </w:style>
  <w:style w:type="character" w:customStyle="1" w:styleId="22">
    <w:name w:val="font41"/>
    <w:basedOn w:val="15"/>
    <w:qFormat/>
    <w:uiPriority w:val="0"/>
    <w:rPr>
      <w:rFonts w:hint="eastAsia" w:ascii="宋体" w:hAnsi="宋体" w:eastAsia="宋体" w:cs="宋体"/>
      <w:color w:val="000000"/>
      <w:sz w:val="24"/>
      <w:szCs w:val="24"/>
      <w:u w:val="none"/>
      <w:lang w:val="en-US" w:eastAsia="zh-CN" w:bidi="ar-SA"/>
    </w:rPr>
  </w:style>
  <w:style w:type="character" w:customStyle="1" w:styleId="23">
    <w:name w:val="font3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9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5">
    <w:name w:val="font51"/>
    <w:basedOn w:val="15"/>
    <w:qFormat/>
    <w:uiPriority w:val="0"/>
    <w:rPr>
      <w:rFonts w:hint="eastAsia" w:ascii="宋体" w:hAnsi="宋体" w:eastAsia="宋体" w:cs="宋体"/>
      <w:color w:val="000000"/>
      <w:sz w:val="24"/>
      <w:szCs w:val="24"/>
      <w:u w:val="none"/>
      <w:lang w:val="en-US" w:eastAsia="zh-CN" w:bidi="ar-SA"/>
    </w:rPr>
  </w:style>
  <w:style w:type="character" w:customStyle="1" w:styleId="26">
    <w:name w:val="批注框文本 Char"/>
    <w:basedOn w:val="15"/>
    <w:link w:val="9"/>
    <w:semiHidden/>
    <w:qFormat/>
    <w:uiPriority w:val="99"/>
    <w:rPr>
      <w:rFonts w:asciiTheme="minorHAnsi" w:hAnsiTheme="minorHAnsi" w:eastAsiaTheme="minorEastAsia" w:cstheme="minorBidi"/>
      <w:sz w:val="18"/>
      <w:szCs w:val="18"/>
      <w:lang w:val="en-US" w:eastAsia="zh-CN" w:bidi="ar-SA"/>
    </w:rPr>
  </w:style>
  <w:style w:type="character" w:customStyle="1" w:styleId="27">
    <w:name w:val="font21"/>
    <w:basedOn w:val="15"/>
    <w:qFormat/>
    <w:uiPriority w:val="0"/>
    <w:rPr>
      <w:rFonts w:hint="eastAsia" w:ascii="方正仿宋_GB2312" w:hAnsi="方正仿宋_GB2312" w:eastAsia="方正仿宋_GB2312" w:cs="方正仿宋_GB2312"/>
      <w:color w:val="000000"/>
      <w:sz w:val="18"/>
      <w:szCs w:val="18"/>
      <w:u w:val="none"/>
    </w:rPr>
  </w:style>
  <w:style w:type="character" w:customStyle="1" w:styleId="28">
    <w:name w:val="font61"/>
    <w:basedOn w:val="15"/>
    <w:qFormat/>
    <w:uiPriority w:val="0"/>
    <w:rPr>
      <w:rFonts w:hint="eastAsia" w:ascii="方正仿宋_GB2312" w:hAnsi="方正仿宋_GB2312" w:eastAsia="方正仿宋_GB2312" w:cs="方正仿宋_GB2312"/>
      <w:color w:val="000000"/>
      <w:sz w:val="20"/>
      <w:szCs w:val="20"/>
      <w:u w:val="none"/>
    </w:rPr>
  </w:style>
  <w:style w:type="character" w:customStyle="1" w:styleId="29">
    <w:name w:val="font71"/>
    <w:basedOn w:val="15"/>
    <w:qFormat/>
    <w:uiPriority w:val="0"/>
    <w:rPr>
      <w:rFonts w:ascii="Calibri" w:hAnsi="Calibri" w:cs="Calibri"/>
      <w:color w:val="000000"/>
      <w:sz w:val="20"/>
      <w:szCs w:val="20"/>
      <w:u w:val="none"/>
    </w:rPr>
  </w:style>
  <w:style w:type="character" w:customStyle="1" w:styleId="30">
    <w:name w:val="font81"/>
    <w:basedOn w:val="15"/>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15703.63</c:v>
                </c:pt>
                <c:pt idx="1">
                  <c:v>11749.58</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143036325.09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49358594.13</c:v>
                </c:pt>
                <c:pt idx="1">
                  <c:v>93677730.96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7705.22</c:v>
                </c:pt>
                <c:pt idx="1">
                  <c:v>7705.22</c:v>
                </c:pt>
                <c:pt idx="2">
                  <c:v>7705.22</c:v>
                </c:pt>
                <c:pt idx="3">
                  <c:v>7705.22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14303.63</c:v>
                </c:pt>
                <c:pt idx="1">
                  <c:v>14303.63</c:v>
                </c:pt>
                <c:pt idx="2">
                  <c:v>14303.63</c:v>
                </c:pt>
                <c:pt idx="3">
                  <c:v>14303.63</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6895.97</c:v>
                </c:pt>
                <c:pt idx="1">
                  <c:v>6895.97</c:v>
                </c:pt>
                <c:pt idx="2">
                  <c:v>6895.97</c:v>
                </c:pt>
                <c:pt idx="3">
                  <c:v>6895.97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14303.63</c:v>
                </c:pt>
                <c:pt idx="1">
                  <c:v>14303.63</c:v>
                </c:pt>
                <c:pt idx="2">
                  <c:v>14303.63</c:v>
                </c:pt>
                <c:pt idx="3">
                  <c:v>14303.63</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1660</Words>
  <Characters>6225</Characters>
  <Lines>86</Lines>
  <Paragraphs>24</Paragraphs>
  <TotalTime>2</TotalTime>
  <ScaleCrop>false</ScaleCrop>
  <LinksUpToDate>false</LinksUpToDate>
  <CharactersWithSpaces>6550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2023-08-06T15:55:00Z</dcterms:created>
  <dc:creator>王明新TIAD</dc:creator>
  <cp:lastModifiedBy>uos</cp:lastModifiedBy>
  <cp:lastPrinted>2023-08-06T09:00:00Z</cp:lastPrinted>
  <dcterms:modified xsi:type="dcterms:W3CDTF">2026-08-31T08:43:12Z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