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true"/>
                    </pic:cNvPicPr>
                  </pic:nvPicPr>
                  <pic:blipFill>
                    <a:blip r:embed="rId10"/>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graphic xmlns:a="http://schemas.openxmlformats.org/drawingml/2006/main">
                  <a:graphicData uri="http://schemas.microsoft.com/office/word/2010/wordprocessingShape">
                    <wps:wsp>
                      <wps:cNvSpPr txBox="true"/>
                      <wps:spPr>
                        <a:xfrm>
                          <a:off x="0" y="0"/>
                          <a:ext cx="6431280" cy="2862580"/>
                        </a:xfrm>
                        <a:prstGeom prst="rect">
                          <a:avLst/>
                        </a:prstGeom>
                        <a:noFill/>
                        <a:ln>
                          <a:noFill/>
                        </a:ln>
                        <a:effectLst/>
                      </wps:spPr>
                      <wps:txbx>
                        <w:txbxContent>
                          <w:p>
                            <w:pPr>
                              <w:pStyle w:val="10"/>
                              <w:spacing w:beforeAutospacing="0" w:afterAutospacing="0" w:line="1400" w:lineRule="exact"/>
                              <w:rPr>
                                <w:rFonts w:ascii="微软雅黑" w:hAnsi="微软雅黑" w:eastAsia="微软雅黑" w:cs="微软雅黑"/>
                                <w:b/>
                                <w:color w:val="FFFFFF" w:themeColor="background1"/>
                                <w:kern w:val="2"/>
                                <w:sz w:val="96"/>
                                <w:szCs w:val="96"/>
                                <w14:textFill>
                                  <w14:solidFill>
                                    <w14:schemeClr w14:val="bg1"/>
                                  </w14:solidFill>
                                </w14:textFill>
                              </w:rPr>
                            </w:pPr>
                            <w:r>
                              <w:rPr>
                                <w:rFonts w:hint="eastAsia" w:ascii="微软雅黑" w:hAnsi="微软雅黑" w:eastAsia="微软雅黑" w:cs="微软雅黑"/>
                                <w:b/>
                                <w:color w:val="FFFFFF" w:themeColor="background1"/>
                                <w:kern w:val="2"/>
                                <w:sz w:val="96"/>
                                <w:szCs w:val="96"/>
                                <w14:textFill>
                                  <w14:solidFill>
                                    <w14:schemeClr w14:val="bg1"/>
                                  </w14:solidFill>
                                </w14:textFill>
                              </w:rPr>
                              <w:t>2025年度</w:t>
                            </w:r>
                          </w:p>
                          <w:p>
                            <w:pPr>
                              <w:pStyle w:val="10"/>
                              <w:spacing w:beforeAutospacing="0" w:afterAutospacing="0" w:line="1400" w:lineRule="exact"/>
                              <w:rPr>
                                <w:rFonts w:ascii="微软雅黑" w:hAnsi="微软雅黑" w:eastAsia="微软雅黑" w:cs="微软雅黑"/>
                                <w:b/>
                                <w:color w:val="FFFFFF" w:themeColor="background1"/>
                                <w:kern w:val="2"/>
                                <w:sz w:val="96"/>
                                <w:szCs w:val="96"/>
                                <w14:textFill>
                                  <w14:solidFill>
                                    <w14:schemeClr w14:val="bg1"/>
                                  </w14:solidFill>
                                </w14:textFill>
                              </w:rPr>
                            </w:pPr>
                            <w:r>
                              <w:rPr>
                                <w:rFonts w:hint="eastAsia" w:ascii="微软雅黑" w:hAnsi="微软雅黑" w:eastAsia="微软雅黑" w:cs="微软雅黑"/>
                                <w:b/>
                                <w:color w:val="FFFFFF" w:themeColor="background1"/>
                                <w:kern w:val="2"/>
                                <w:sz w:val="96"/>
                                <w:szCs w:val="96"/>
                                <w:lang w:eastAsia="zh-CN"/>
                                <w14:textFill>
                                  <w14:solidFill>
                                    <w14:schemeClr w14:val="bg1"/>
                                  </w14:solidFill>
                                </w14:textFill>
                              </w:rPr>
                              <w:t>单位</w:t>
                            </w:r>
                            <w:r>
                              <w:rPr>
                                <w:rFonts w:hint="eastAsia" w:ascii="微软雅黑" w:hAnsi="微软雅黑" w:eastAsia="微软雅黑" w:cs="微软雅黑"/>
                                <w:b/>
                                <w:color w:val="FFFFFF" w:themeColor="background1"/>
                                <w:kern w:val="2"/>
                                <w:sz w:val="96"/>
                                <w:szCs w:val="96"/>
                                <w14:textFill>
                                  <w14:solidFill>
                                    <w14:schemeClr w14:val="bg1"/>
                                  </w14:solidFill>
                                </w14:textFill>
                              </w:rPr>
                              <w:t>决算公开文本</w:t>
                            </w:r>
                          </w:p>
                        </w:txbxContent>
                      </wps:txbx>
                      <wps:bodyPr upright="true"/>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WAAAAZHJzL1BLAQIUABQAAAAI&#10;AIdO4kCXKyc01wAAAAoBAAAPAAAAAAAAAAEAIAAAADgAAABkcnMvZG93bnJldi54bWxQSwECFAAU&#10;AAAACACHTuJA90Jf3dwBAACGAwAADgAAAAAAAAABACAAAAA8AQAAZHJzL2Uyb0RvYy54bWxQSwUG&#10;AAAAAAYABgBZAQAAigUAAAAA&#10;">
                <v:fill on="f" focussize="0,0"/>
                <v:stroke on="f"/>
                <v:imagedata o:title=""/>
                <o:lock v:ext="edit" aspectratio="f"/>
                <v:textbox>
                  <w:txbxContent>
                    <w:p>
                      <w:pPr>
                        <w:pStyle w:val="10"/>
                        <w:spacing w:beforeAutospacing="0" w:afterAutospacing="0" w:line="1400" w:lineRule="exact"/>
                        <w:rPr>
                          <w:rFonts w:ascii="微软雅黑" w:hAnsi="微软雅黑" w:eastAsia="微软雅黑" w:cs="微软雅黑"/>
                          <w:b/>
                          <w:color w:val="FFFFFF" w:themeColor="background1"/>
                          <w:kern w:val="2"/>
                          <w:sz w:val="96"/>
                          <w:szCs w:val="96"/>
                          <w14:textFill>
                            <w14:solidFill>
                              <w14:schemeClr w14:val="bg1"/>
                            </w14:solidFill>
                          </w14:textFill>
                        </w:rPr>
                      </w:pPr>
                      <w:r>
                        <w:rPr>
                          <w:rFonts w:hint="eastAsia" w:ascii="微软雅黑" w:hAnsi="微软雅黑" w:eastAsia="微软雅黑" w:cs="微软雅黑"/>
                          <w:b/>
                          <w:color w:val="FFFFFF" w:themeColor="background1"/>
                          <w:kern w:val="2"/>
                          <w:sz w:val="96"/>
                          <w:szCs w:val="96"/>
                          <w14:textFill>
                            <w14:solidFill>
                              <w14:schemeClr w14:val="bg1"/>
                            </w14:solidFill>
                          </w14:textFill>
                        </w:rPr>
                        <w:t>2025年度</w:t>
                      </w:r>
                    </w:p>
                    <w:p>
                      <w:pPr>
                        <w:pStyle w:val="10"/>
                        <w:spacing w:beforeAutospacing="0" w:afterAutospacing="0" w:line="1400" w:lineRule="exact"/>
                        <w:rPr>
                          <w:rFonts w:ascii="微软雅黑" w:hAnsi="微软雅黑" w:eastAsia="微软雅黑" w:cs="微软雅黑"/>
                          <w:b/>
                          <w:color w:val="FFFFFF" w:themeColor="background1"/>
                          <w:kern w:val="2"/>
                          <w:sz w:val="96"/>
                          <w:szCs w:val="96"/>
                          <w14:textFill>
                            <w14:solidFill>
                              <w14:schemeClr w14:val="bg1"/>
                            </w14:solidFill>
                          </w14:textFill>
                        </w:rPr>
                      </w:pPr>
                      <w:r>
                        <w:rPr>
                          <w:rFonts w:hint="eastAsia" w:ascii="微软雅黑" w:hAnsi="微软雅黑" w:eastAsia="微软雅黑" w:cs="微软雅黑"/>
                          <w:b/>
                          <w:color w:val="FFFFFF" w:themeColor="background1"/>
                          <w:kern w:val="2"/>
                          <w:sz w:val="96"/>
                          <w:szCs w:val="96"/>
                          <w:lang w:eastAsia="zh-CN"/>
                          <w14:textFill>
                            <w14:solidFill>
                              <w14:schemeClr w14:val="bg1"/>
                            </w14:solidFill>
                          </w14:textFill>
                        </w:rPr>
                        <w:t>单位</w:t>
                      </w:r>
                      <w:r>
                        <w:rPr>
                          <w:rFonts w:hint="eastAsia" w:ascii="微软雅黑" w:hAnsi="微软雅黑" w:eastAsia="微软雅黑" w:cs="微软雅黑"/>
                          <w:b/>
                          <w:color w:val="FFFFFF" w:themeColor="background1"/>
                          <w:kern w:val="2"/>
                          <w:sz w:val="96"/>
                          <w:szCs w:val="96"/>
                          <w14:textFill>
                            <w14:solidFill>
                              <w14:schemeClr w14:val="bg1"/>
                            </w14:solidFill>
                          </w14:textFill>
                        </w:rPr>
                        <w:t>决算公开文本</w:t>
                      </w:r>
                    </w:p>
                  </w:txbxContent>
                </v:textbox>
              </v:shape>
            </w:pict>
          </mc:Fallback>
        </mc:AlternateContent>
      </w:r>
    </w:p>
    <w:p>
      <w:pPr>
        <w:spacing w:line="600" w:lineRule="auto"/>
        <w:rPr>
          <w:rFonts w:ascii="楷体_GB2312" w:hAnsi="楷体_GB2312" w:eastAsia="楷体_GB2312" w:cs="楷体_GB2312"/>
          <w:color w:val="000000"/>
          <w:sz w:val="40"/>
          <w:szCs w:val="40"/>
        </w:rPr>
      </w:pPr>
    </w:p>
    <w:p>
      <w:pPr>
        <w:spacing w:line="600" w:lineRule="auto"/>
        <w:rPr>
          <w:rFonts w:ascii="楷体_GB2312" w:hAnsi="楷体_GB2312" w:eastAsia="楷体_GB2312" w:cs="楷体_GB2312"/>
          <w:color w:val="000000"/>
          <w:sz w:val="40"/>
          <w:szCs w:val="40"/>
        </w:rPr>
      </w:pPr>
    </w:p>
    <w:p>
      <w:pPr>
        <w:spacing w:line="600" w:lineRule="auto"/>
        <w:rPr>
          <w:rFonts w:ascii="楷体_GB2312" w:hAnsi="楷体_GB2312" w:eastAsia="楷体_GB2312" w:cs="楷体_GB2312"/>
          <w:color w:val="000000"/>
          <w:sz w:val="40"/>
          <w:szCs w:val="40"/>
        </w:rPr>
      </w:pPr>
    </w:p>
    <w:p>
      <w:pPr>
        <w:spacing w:line="600" w:lineRule="auto"/>
        <w:rPr>
          <w:rFonts w:ascii="楷体_GB2312" w:hAnsi="楷体_GB2312" w:eastAsia="楷体_GB2312" w:cs="楷体_GB2312"/>
          <w:color w:val="000000"/>
          <w:sz w:val="40"/>
          <w:szCs w:val="40"/>
        </w:rPr>
      </w:pPr>
    </w:p>
    <w:p>
      <w:pPr>
        <w:spacing w:line="600" w:lineRule="auto"/>
        <w:rPr>
          <w:rFonts w:ascii="楷体_GB2312" w:hAnsi="楷体_GB2312" w:eastAsia="楷体_GB2312" w:cs="楷体_GB2312"/>
          <w:color w:val="000000"/>
          <w:sz w:val="40"/>
          <w:szCs w:val="40"/>
        </w:rPr>
      </w:pPr>
    </w:p>
    <w:p>
      <w:pPr>
        <w:spacing w:line="600" w:lineRule="auto"/>
        <w:rPr>
          <w:rFonts w:ascii="楷体_GB2312" w:hAnsi="楷体_GB2312" w:eastAsia="楷体_GB2312" w:cs="楷体_GB2312"/>
          <w:color w:val="000000"/>
          <w:sz w:val="40"/>
          <w:szCs w:val="40"/>
        </w:rPr>
      </w:pPr>
    </w:p>
    <w:p>
      <w:pPr>
        <w:spacing w:line="600" w:lineRule="auto"/>
        <w:rPr>
          <w:rFonts w:ascii="楷体_GB2312" w:hAnsi="楷体_GB2312" w:eastAsia="楷体_GB2312" w:cs="楷体_GB2312"/>
          <w:color w:val="000000"/>
          <w:sz w:val="40"/>
          <w:szCs w:val="40"/>
        </w:rPr>
      </w:pPr>
    </w:p>
    <w:p>
      <w:pPr>
        <w:jc w:val="center"/>
        <w:rPr>
          <w:rFonts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rPr>
          <w:rFonts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rPr>
          <w:rFonts w:hint="default" w:ascii="楷体" w:hAnsi="楷体" w:eastAsia="楷体" w:cs="楷体_GB2312"/>
          <w:b/>
          <w:bCs/>
          <w:color w:val="0D0D0D" w:themeColor="text1" w:themeTint="F2"/>
          <w:kern w:val="2"/>
          <w:sz w:val="44"/>
          <w:szCs w:val="44"/>
          <w:lang w:val="en-US" w:eastAsia="zh-CN"/>
          <w14:textFill>
            <w14:solidFill>
              <w14:schemeClr w14:val="tx1">
                <w14:lumMod w14:val="95000"/>
                <w14:lumOff w14:val="5000"/>
              </w14:schemeClr>
            </w14:solidFill>
          </w14:textFill>
        </w:rPr>
      </w:pPr>
      <w:r>
        <w:rPr>
          <w:rFonts w:hint="eastAsia" w:ascii="楷体" w:hAnsi="楷体" w:eastAsia="楷体" w:cs="微软雅黑"/>
          <w:b/>
          <w:bCs/>
          <w:color w:val="0D0D0D" w:themeColor="text1" w:themeTint="F2"/>
          <w:kern w:val="2"/>
          <w:sz w:val="44"/>
          <w:szCs w:val="44"/>
          <w14:textFill>
            <w14:solidFill>
              <w14:schemeClr w14:val="tx1">
                <w14:lumMod w14:val="95000"/>
                <w14:lumOff w14:val="5000"/>
              </w14:schemeClr>
            </w14:solidFill>
          </w14:textFill>
        </w:rPr>
        <w:t>预算</w:t>
      </w:r>
      <w:r>
        <w:rPr>
          <w:rFonts w:ascii="楷体" w:hAnsi="楷体" w:eastAsia="楷体" w:cs="微软雅黑"/>
          <w:b/>
          <w:bCs/>
          <w:color w:val="0D0D0D" w:themeColor="text1" w:themeTint="F2"/>
          <w:kern w:val="2"/>
          <w:sz w:val="44"/>
          <w:szCs w:val="44"/>
          <w14:textFill>
            <w14:solidFill>
              <w14:schemeClr w14:val="tx1">
                <w14:lumMod w14:val="95000"/>
                <w14:lumOff w14:val="5000"/>
              </w14:schemeClr>
            </w14:solidFill>
          </w14:textFill>
        </w:rPr>
        <w:t>代码</w:t>
      </w:r>
      <w:r>
        <w:rPr>
          <w:rFonts w:hint="eastAsia" w:ascii="楷体" w:hAnsi="楷体" w:eastAsia="楷体" w:cs="楷体_GB2312"/>
          <w:b/>
          <w:bCs/>
          <w:color w:val="0D0D0D" w:themeColor="text1" w:themeTint="F2"/>
          <w:kern w:val="2"/>
          <w:sz w:val="44"/>
          <w:szCs w:val="44"/>
          <w14:textFill>
            <w14:solidFill>
              <w14:schemeClr w14:val="tx1">
                <w14:lumMod w14:val="95000"/>
                <w14:lumOff w14:val="5000"/>
              </w14:schemeClr>
            </w14:solidFill>
          </w14:textFill>
        </w:rPr>
        <w:t>：382</w:t>
      </w:r>
      <w:r>
        <w:rPr>
          <w:rFonts w:hint="eastAsia" w:ascii="楷体" w:hAnsi="楷体" w:eastAsia="楷体" w:cs="楷体_GB2312"/>
          <w:b/>
          <w:bCs/>
          <w:color w:val="0D0D0D" w:themeColor="text1" w:themeTint="F2"/>
          <w:kern w:val="2"/>
          <w:sz w:val="44"/>
          <w:szCs w:val="44"/>
          <w:lang w:val="en-US" w:eastAsia="zh-CN"/>
          <w14:textFill>
            <w14:solidFill>
              <w14:schemeClr w14:val="tx1">
                <w14:lumMod w14:val="95000"/>
                <w14:lumOff w14:val="5000"/>
              </w14:schemeClr>
            </w14:solidFill>
          </w14:textFill>
        </w:rPr>
        <w:t>001</w:t>
      </w:r>
    </w:p>
    <w:p>
      <w:pPr>
        <w:rPr>
          <w:rFonts w:hint="eastAsia" w:ascii="楷体" w:hAnsi="楷体" w:eastAsia="楷体" w:cs="微软雅黑"/>
          <w:b/>
          <w:bCs/>
          <w:color w:val="0D0D0D" w:themeColor="text1" w:themeTint="F2"/>
          <w:kern w:val="2"/>
          <w:sz w:val="32"/>
          <w:szCs w:val="32"/>
          <w14:textFill>
            <w14:solidFill>
              <w14:schemeClr w14:val="tx1">
                <w14:lumMod w14:val="95000"/>
                <w14:lumOff w14:val="5000"/>
              </w14:schemeClr>
            </w14:solidFill>
          </w14:textFill>
        </w:rPr>
      </w:pPr>
      <w:r>
        <w:rPr>
          <w:rFonts w:hint="eastAsia" w:ascii="楷体" w:hAnsi="楷体" w:eastAsia="楷体" w:cs="微软雅黑"/>
          <w:b/>
          <w:bCs/>
          <w:color w:val="0D0D0D" w:themeColor="text1" w:themeTint="F2"/>
          <w:kern w:val="2"/>
          <w:sz w:val="44"/>
          <w:szCs w:val="44"/>
          <w:lang w:eastAsia="zh-CN"/>
          <w14:textFill>
            <w14:solidFill>
              <w14:schemeClr w14:val="tx1">
                <w14:lumMod w14:val="95000"/>
                <w14:lumOff w14:val="5000"/>
              </w14:schemeClr>
            </w14:solidFill>
          </w14:textFill>
        </w:rPr>
        <w:t>单位</w:t>
      </w:r>
      <w:r>
        <w:rPr>
          <w:rFonts w:hint="eastAsia" w:ascii="楷体" w:hAnsi="楷体" w:eastAsia="楷体" w:cs="微软雅黑"/>
          <w:b/>
          <w:bCs/>
          <w:color w:val="0D0D0D" w:themeColor="text1" w:themeTint="F2"/>
          <w:kern w:val="2"/>
          <w:sz w:val="44"/>
          <w:szCs w:val="44"/>
          <w14:textFill>
            <w14:solidFill>
              <w14:schemeClr w14:val="tx1">
                <w14:lumMod w14:val="95000"/>
                <w14:lumOff w14:val="5000"/>
              </w14:schemeClr>
            </w14:solidFill>
          </w14:textFill>
        </w:rPr>
        <w:t>名称</w:t>
      </w:r>
      <w:r>
        <w:rPr>
          <w:rFonts w:ascii="楷体" w:hAnsi="楷体" w:eastAsia="楷体" w:cs="微软雅黑"/>
          <w:b/>
          <w:bCs/>
          <w:color w:val="0D0D0D" w:themeColor="text1" w:themeTint="F2"/>
          <w:kern w:val="2"/>
          <w:sz w:val="44"/>
          <w:szCs w:val="44"/>
          <w14:textFill>
            <w14:solidFill>
              <w14:schemeClr w14:val="tx1">
                <w14:lumMod w14:val="95000"/>
                <w14:lumOff w14:val="5000"/>
              </w14:schemeClr>
            </w14:solidFill>
          </w14:textFill>
        </w:rPr>
        <w:t>：中共石家庄</w:t>
      </w:r>
      <w:r>
        <w:rPr>
          <w:rFonts w:hint="eastAsia" w:ascii="楷体" w:hAnsi="楷体" w:eastAsia="楷体" w:cs="微软雅黑"/>
          <w:b/>
          <w:bCs/>
          <w:color w:val="0D0D0D" w:themeColor="text1" w:themeTint="F2"/>
          <w:kern w:val="2"/>
          <w:sz w:val="44"/>
          <w:szCs w:val="44"/>
          <w14:textFill>
            <w14:solidFill>
              <w14:schemeClr w14:val="tx1">
                <w14:lumMod w14:val="95000"/>
                <w14:lumOff w14:val="5000"/>
              </w14:schemeClr>
            </w14:solidFill>
          </w14:textFill>
        </w:rPr>
        <w:t>市委</w:t>
      </w:r>
      <w:r>
        <w:rPr>
          <w:rFonts w:ascii="楷体" w:hAnsi="楷体" w:eastAsia="楷体" w:cs="微软雅黑"/>
          <w:b/>
          <w:bCs/>
          <w:color w:val="0D0D0D" w:themeColor="text1" w:themeTint="F2"/>
          <w:kern w:val="2"/>
          <w:sz w:val="44"/>
          <w:szCs w:val="44"/>
          <w14:textFill>
            <w14:solidFill>
              <w14:schemeClr w14:val="tx1">
                <w14:lumMod w14:val="95000"/>
                <w14:lumOff w14:val="5000"/>
              </w14:schemeClr>
            </w14:solidFill>
          </w14:textFill>
        </w:rPr>
        <w:t>金融委员会办公室</w:t>
      </w:r>
    </w:p>
    <w:p>
      <w:pPr>
        <w:spacing w:line="600" w:lineRule="auto"/>
        <w:jc w:val="center"/>
        <w:rPr>
          <w:rFonts w:ascii="楷体_GB2312" w:hAnsi="楷体_GB2312" w:eastAsia="楷体_GB2312" w:cs="楷体_GB2312"/>
          <w:color w:val="000000"/>
          <w:sz w:val="40"/>
          <w:szCs w:val="40"/>
        </w:rPr>
      </w:pPr>
    </w:p>
    <w:p>
      <w:pPr>
        <w:rPr>
          <w:rFonts w:ascii="黑体" w:hAnsi="黑体" w:eastAsia="黑体" w:cs="黑体"/>
          <w:b/>
          <w:bCs/>
          <w:sz w:val="32"/>
          <w:szCs w:val="36"/>
          <w:highlight w:val="yellow"/>
        </w:rPr>
      </w:pPr>
    </w:p>
    <w:p>
      <w:pPr>
        <w:widowControl/>
        <w:spacing w:line="360" w:lineRule="auto"/>
        <w:jc w:val="center"/>
        <w:rPr>
          <w:rFonts w:ascii="Times New Roman" w:eastAsia="方正小标宋_GBK"/>
          <w:sz w:val="72"/>
          <w:szCs w:val="72"/>
        </w:rPr>
      </w:pPr>
      <w:r>
        <w:rPr>
          <w:rFonts w:ascii="Times New Roman" w:eastAsia="仿宋_GB2312"/>
          <w:sz w:val="72"/>
          <w:szCs w:val="72"/>
        </w:rPr>
        <w:t>2025</w:t>
      </w:r>
      <w:r>
        <w:rPr>
          <w:rFonts w:ascii="Times New Roman" w:eastAsia="方正小标宋_GBK"/>
          <w:sz w:val="72"/>
          <w:szCs w:val="72"/>
        </w:rPr>
        <w:t>年度</w:t>
      </w:r>
      <w:r>
        <w:rPr>
          <w:rFonts w:hint="eastAsia" w:ascii="Times New Roman" w:eastAsia="方正小标宋_GBK"/>
          <w:sz w:val="72"/>
          <w:szCs w:val="72"/>
          <w:lang w:eastAsia="zh-CN"/>
        </w:rPr>
        <w:t>单位</w:t>
      </w:r>
      <w:r>
        <w:rPr>
          <w:rFonts w:ascii="Times New Roman" w:eastAsia="方正小标宋_GBK"/>
          <w:sz w:val="72"/>
          <w:szCs w:val="72"/>
        </w:rPr>
        <w:t>决算公开文本</w:t>
      </w:r>
    </w:p>
    <w:p>
      <w:pPr>
        <w:spacing w:line="360" w:lineRule="auto"/>
        <w:jc w:val="center"/>
        <w:rPr>
          <w:rFonts w:ascii="黑体" w:hAnsi="黑体" w:eastAsia="黑体" w:cs="黑体"/>
          <w:sz w:val="56"/>
          <w:szCs w:val="72"/>
        </w:rPr>
      </w:pPr>
    </w:p>
    <w:p>
      <w:pPr>
        <w:spacing w:line="480" w:lineRule="auto"/>
        <w:rPr>
          <w:rFonts w:ascii="黑体" w:hAnsi="黑体" w:eastAsia="黑体" w:cs="黑体"/>
          <w:sz w:val="56"/>
          <w:szCs w:val="72"/>
        </w:rPr>
      </w:pPr>
    </w:p>
    <w:p>
      <w:pPr>
        <w:spacing w:line="480" w:lineRule="auto"/>
        <w:rPr>
          <w:rFonts w:ascii="黑体" w:hAnsi="黑体" w:eastAsia="黑体" w:cs="黑体"/>
          <w:sz w:val="56"/>
          <w:szCs w:val="72"/>
        </w:rPr>
      </w:pPr>
    </w:p>
    <w:p>
      <w:pPr>
        <w:spacing w:line="480" w:lineRule="auto"/>
        <w:rPr>
          <w:rFonts w:ascii="黑体" w:hAnsi="黑体" w:eastAsia="黑体" w:cs="黑体"/>
          <w:sz w:val="56"/>
          <w:szCs w:val="72"/>
        </w:rPr>
      </w:pPr>
    </w:p>
    <w:p>
      <w:pPr>
        <w:spacing w:line="480" w:lineRule="auto"/>
        <w:rPr>
          <w:rFonts w:ascii="黑体" w:hAnsi="黑体" w:eastAsia="黑体" w:cs="黑体"/>
          <w:sz w:val="56"/>
          <w:szCs w:val="72"/>
        </w:rPr>
      </w:pPr>
    </w:p>
    <w:p>
      <w:pPr>
        <w:spacing w:line="480" w:lineRule="auto"/>
        <w:rPr>
          <w:rFonts w:ascii="黑体" w:hAnsi="黑体" w:eastAsia="黑体" w:cs="黑体"/>
          <w:sz w:val="56"/>
          <w:szCs w:val="72"/>
        </w:rPr>
      </w:pPr>
    </w:p>
    <w:p>
      <w:pPr>
        <w:spacing w:line="480" w:lineRule="auto"/>
        <w:rPr>
          <w:rFonts w:hint="eastAsia" w:ascii="黑体" w:hAnsi="黑体" w:eastAsia="黑体" w:cs="黑体"/>
          <w:sz w:val="56"/>
          <w:szCs w:val="72"/>
        </w:rPr>
      </w:pPr>
    </w:p>
    <w:p>
      <w:pPr>
        <w:widowControl/>
        <w:spacing w:line="360" w:lineRule="auto"/>
        <w:jc w:val="center"/>
        <w:rPr>
          <w:rFonts w:ascii="楷体" w:hAnsi="楷体" w:eastAsia="楷体"/>
          <w:sz w:val="44"/>
          <w:szCs w:val="44"/>
        </w:rPr>
      </w:pPr>
      <w:r>
        <w:rPr>
          <w:rFonts w:ascii="楷体" w:hAnsi="楷体" w:eastAsia="楷体"/>
          <w:sz w:val="44"/>
          <w:szCs w:val="44"/>
        </w:rPr>
        <w:t>中共石家庄市委金融委员会办公室</w:t>
      </w:r>
    </w:p>
    <w:p>
      <w:pPr>
        <w:widowControl/>
        <w:spacing w:line="360" w:lineRule="auto"/>
        <w:jc w:val="center"/>
        <w:rPr>
          <w:rFonts w:ascii="楷体" w:hAnsi="楷体" w:eastAsia="楷体"/>
          <w:sz w:val="44"/>
          <w:szCs w:val="44"/>
        </w:rPr>
      </w:pPr>
      <w:r>
        <w:rPr>
          <w:rFonts w:ascii="楷体" w:hAnsi="楷体" w:eastAsia="楷体"/>
          <w:sz w:val="44"/>
          <w:szCs w:val="44"/>
        </w:rPr>
        <w:t>二〇二六年八月</w:t>
      </w:r>
    </w:p>
    <w:p>
      <w:pPr>
        <w:rPr>
          <w:rFonts w:ascii="楷体_GB2312" w:hAnsi="楷体_GB2312" w:eastAsia="楷体_GB2312" w:cs="楷体_GB2312"/>
          <w:color w:val="000000" w:themeColor="text1"/>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ascii="楷体_GB2312" w:hAnsi="楷体_GB2312" w:eastAsia="楷体_GB2312" w:cs="楷体_GB2312"/>
          <w:color w:val="000000" w:themeColor="text1"/>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pPr>
        <w:widowControl/>
        <w:spacing w:line="360" w:lineRule="auto"/>
        <w:jc w:val="center"/>
        <w:outlineLvl w:val="0"/>
        <w:rPr>
          <w:rFonts w:ascii="Times New Roman" w:eastAsia="黑体"/>
          <w:sz w:val="44"/>
          <w:szCs w:val="44"/>
        </w:rPr>
      </w:pPr>
      <w:r>
        <w:rPr>
          <w:rFonts w:ascii="Times New Roman" w:eastAsia="黑体"/>
          <w:sz w:val="44"/>
          <w:szCs w:val="44"/>
        </w:rPr>
        <w:t>目  录</w:t>
      </w:r>
    </w:p>
    <w:p>
      <w:pPr>
        <w:widowControl/>
        <w:spacing w:after="160" w:line="580" w:lineRule="exact"/>
        <w:ind w:firstLine="640" w:firstLineChars="200"/>
        <w:rPr>
          <w:rFonts w:ascii="Times New Roman" w:hAnsi="Times New Roman" w:eastAsia="黑体" w:cs="Times New Roman"/>
          <w:sz w:val="32"/>
          <w:szCs w:val="32"/>
        </w:rPr>
      </w:pPr>
    </w:p>
    <w:p>
      <w:pPr>
        <w:widowControl/>
        <w:spacing w:line="360" w:lineRule="auto"/>
        <w:jc w:val="left"/>
        <w:rPr>
          <w:rFonts w:ascii="Times New Roman" w:eastAsia="黑体"/>
          <w:sz w:val="32"/>
          <w:szCs w:val="32"/>
        </w:rPr>
      </w:pPr>
      <w:r>
        <w:rPr>
          <w:rFonts w:ascii="Times New Roman" w:eastAsia="黑体"/>
          <w:sz w:val="32"/>
          <w:szCs w:val="32"/>
        </w:rPr>
        <w:t>第一部分</w:t>
      </w:r>
      <w:r>
        <w:rPr>
          <w:rFonts w:hint="eastAsia" w:ascii="Times New Roman" w:eastAsia="黑体"/>
          <w:sz w:val="32"/>
          <w:szCs w:val="32"/>
          <w:lang w:eastAsia="zh-CN"/>
        </w:rPr>
        <w:t>单位</w:t>
      </w:r>
      <w:r>
        <w:rPr>
          <w:rFonts w:ascii="Times New Roman" w:eastAsia="黑体"/>
          <w:sz w:val="32"/>
          <w:szCs w:val="32"/>
        </w:rPr>
        <w:t>概况</w:t>
      </w:r>
    </w:p>
    <w:p>
      <w:pPr>
        <w:widowControl/>
        <w:spacing w:line="360" w:lineRule="auto"/>
        <w:ind w:firstLine="640" w:firstLineChars="200"/>
        <w:jc w:val="left"/>
        <w:rPr>
          <w:rFonts w:ascii="仿宋" w:hAnsi="仿宋" w:eastAsia="仿宋"/>
          <w:sz w:val="32"/>
          <w:szCs w:val="32"/>
        </w:rPr>
      </w:pPr>
      <w:r>
        <w:rPr>
          <w:rFonts w:ascii="仿宋" w:hAnsi="仿宋" w:eastAsia="仿宋"/>
          <w:sz w:val="32"/>
          <w:szCs w:val="32"/>
        </w:rPr>
        <w:t>一、</w:t>
      </w:r>
      <w:r>
        <w:rPr>
          <w:rFonts w:hint="eastAsia" w:ascii="仿宋" w:hAnsi="仿宋" w:eastAsia="仿宋" w:cs="微软雅黑"/>
          <w:sz w:val="32"/>
          <w:szCs w:val="32"/>
          <w:lang w:eastAsia="zh-CN"/>
        </w:rPr>
        <w:t>单位</w:t>
      </w:r>
      <w:r>
        <w:rPr>
          <w:rFonts w:ascii="仿宋" w:hAnsi="仿宋" w:eastAsia="仿宋"/>
          <w:sz w:val="32"/>
          <w:szCs w:val="32"/>
        </w:rPr>
        <w:t>职责</w:t>
      </w:r>
    </w:p>
    <w:p>
      <w:pPr>
        <w:widowControl/>
        <w:spacing w:line="360" w:lineRule="auto"/>
        <w:ind w:firstLine="640" w:firstLineChars="200"/>
        <w:jc w:val="left"/>
        <w:rPr>
          <w:rFonts w:ascii="仿宋" w:hAnsi="仿宋" w:eastAsia="仿宋"/>
          <w:sz w:val="32"/>
          <w:szCs w:val="32"/>
        </w:rPr>
      </w:pPr>
      <w:r>
        <w:rPr>
          <w:rFonts w:ascii="仿宋" w:hAnsi="仿宋" w:eastAsia="仿宋"/>
          <w:sz w:val="32"/>
          <w:szCs w:val="32"/>
        </w:rPr>
        <w:t>二、机构设置</w:t>
      </w:r>
    </w:p>
    <w:p>
      <w:pPr>
        <w:widowControl/>
        <w:spacing w:line="360" w:lineRule="auto"/>
        <w:jc w:val="left"/>
        <w:outlineLvl w:val="0"/>
        <w:rPr>
          <w:rFonts w:ascii="Times New Roman" w:eastAsia="黑体"/>
          <w:sz w:val="32"/>
          <w:szCs w:val="32"/>
        </w:rPr>
      </w:pPr>
      <w:r>
        <w:rPr>
          <w:rFonts w:ascii="Times New Roman" w:eastAsia="黑体"/>
          <w:sz w:val="32"/>
          <w:szCs w:val="32"/>
        </w:rPr>
        <w:t>第二部分 2025年度</w:t>
      </w:r>
      <w:r>
        <w:rPr>
          <w:rFonts w:hint="eastAsia" w:ascii="Times New Roman" w:eastAsia="黑体"/>
          <w:sz w:val="32"/>
          <w:szCs w:val="32"/>
          <w:lang w:eastAsia="zh-CN"/>
        </w:rPr>
        <w:t>单位</w:t>
      </w:r>
      <w:r>
        <w:rPr>
          <w:rFonts w:ascii="Times New Roman" w:eastAsia="黑体"/>
          <w:sz w:val="32"/>
          <w:szCs w:val="32"/>
        </w:rPr>
        <w:t>决算报表</w:t>
      </w:r>
    </w:p>
    <w:p>
      <w:pPr>
        <w:widowControl/>
        <w:spacing w:line="360" w:lineRule="auto"/>
        <w:ind w:firstLine="640" w:firstLineChars="200"/>
        <w:jc w:val="left"/>
        <w:rPr>
          <w:rFonts w:ascii="仿宋" w:hAnsi="仿宋" w:eastAsia="仿宋"/>
          <w:sz w:val="32"/>
          <w:szCs w:val="32"/>
        </w:rPr>
      </w:pPr>
      <w:r>
        <w:rPr>
          <w:rFonts w:ascii="仿宋" w:hAnsi="仿宋" w:eastAsia="仿宋"/>
          <w:sz w:val="32"/>
          <w:szCs w:val="32"/>
        </w:rPr>
        <w:t>一、收入支出决算总表</w:t>
      </w:r>
    </w:p>
    <w:p>
      <w:pPr>
        <w:widowControl/>
        <w:spacing w:line="360" w:lineRule="auto"/>
        <w:ind w:firstLine="640" w:firstLineChars="200"/>
        <w:jc w:val="left"/>
        <w:rPr>
          <w:rFonts w:ascii="仿宋" w:hAnsi="仿宋" w:eastAsia="仿宋"/>
          <w:sz w:val="32"/>
          <w:szCs w:val="32"/>
        </w:rPr>
      </w:pPr>
      <w:r>
        <w:rPr>
          <w:rFonts w:ascii="仿宋" w:hAnsi="仿宋" w:eastAsia="仿宋"/>
          <w:sz w:val="32"/>
          <w:szCs w:val="32"/>
        </w:rPr>
        <w:t>二、收入决算表</w:t>
      </w:r>
    </w:p>
    <w:p>
      <w:pPr>
        <w:widowControl/>
        <w:spacing w:line="360" w:lineRule="auto"/>
        <w:ind w:firstLine="640" w:firstLineChars="200"/>
        <w:jc w:val="left"/>
        <w:rPr>
          <w:rFonts w:ascii="仿宋" w:hAnsi="仿宋" w:eastAsia="仿宋"/>
          <w:sz w:val="32"/>
          <w:szCs w:val="32"/>
        </w:rPr>
      </w:pPr>
      <w:r>
        <w:rPr>
          <w:rFonts w:ascii="仿宋" w:hAnsi="仿宋" w:eastAsia="仿宋"/>
          <w:sz w:val="32"/>
          <w:szCs w:val="32"/>
        </w:rPr>
        <w:t>三、支出决算表</w:t>
      </w:r>
    </w:p>
    <w:p>
      <w:pPr>
        <w:widowControl/>
        <w:spacing w:line="360" w:lineRule="auto"/>
        <w:ind w:firstLine="640" w:firstLineChars="200"/>
        <w:jc w:val="left"/>
        <w:rPr>
          <w:rFonts w:ascii="仿宋" w:hAnsi="仿宋" w:eastAsia="仿宋"/>
          <w:sz w:val="32"/>
          <w:szCs w:val="32"/>
        </w:rPr>
      </w:pPr>
      <w:r>
        <w:rPr>
          <w:rFonts w:ascii="仿宋" w:hAnsi="仿宋" w:eastAsia="仿宋"/>
          <w:sz w:val="32"/>
          <w:szCs w:val="32"/>
        </w:rPr>
        <w:t>四、财政拨款收入支出决算总表</w:t>
      </w:r>
    </w:p>
    <w:p>
      <w:pPr>
        <w:widowControl/>
        <w:spacing w:line="360" w:lineRule="auto"/>
        <w:ind w:firstLine="640" w:firstLineChars="200"/>
        <w:jc w:val="left"/>
        <w:rPr>
          <w:rFonts w:ascii="仿宋" w:hAnsi="仿宋" w:eastAsia="仿宋"/>
          <w:sz w:val="32"/>
          <w:szCs w:val="32"/>
        </w:rPr>
      </w:pPr>
      <w:r>
        <w:rPr>
          <w:rFonts w:ascii="仿宋" w:hAnsi="仿宋" w:eastAsia="仿宋"/>
          <w:sz w:val="32"/>
          <w:szCs w:val="32"/>
        </w:rPr>
        <w:t>五、一般公共预算财政拨款支出决算表</w:t>
      </w:r>
    </w:p>
    <w:p>
      <w:pPr>
        <w:widowControl/>
        <w:spacing w:line="360" w:lineRule="auto"/>
        <w:ind w:firstLine="640" w:firstLineChars="200"/>
        <w:jc w:val="left"/>
        <w:rPr>
          <w:rFonts w:ascii="仿宋" w:hAnsi="仿宋" w:eastAsia="仿宋"/>
          <w:sz w:val="32"/>
          <w:szCs w:val="32"/>
        </w:rPr>
      </w:pPr>
      <w:r>
        <w:rPr>
          <w:rFonts w:ascii="仿宋" w:hAnsi="仿宋" w:eastAsia="仿宋"/>
          <w:sz w:val="32"/>
          <w:szCs w:val="32"/>
        </w:rPr>
        <w:t>六、一般公共预算财政拨款基本支出决算明细表</w:t>
      </w:r>
    </w:p>
    <w:p>
      <w:pPr>
        <w:widowControl/>
        <w:spacing w:line="360" w:lineRule="auto"/>
        <w:ind w:firstLine="640" w:firstLineChars="200"/>
        <w:jc w:val="left"/>
        <w:rPr>
          <w:rFonts w:ascii="仿宋" w:hAnsi="仿宋" w:eastAsia="仿宋"/>
          <w:sz w:val="32"/>
          <w:szCs w:val="32"/>
        </w:rPr>
      </w:pPr>
      <w:r>
        <w:rPr>
          <w:rFonts w:ascii="仿宋" w:hAnsi="仿宋" w:eastAsia="仿宋"/>
          <w:sz w:val="32"/>
          <w:szCs w:val="32"/>
        </w:rPr>
        <w:t>七、政府性基金预算财政拨款收入支出决算表</w:t>
      </w:r>
    </w:p>
    <w:p>
      <w:pPr>
        <w:widowControl/>
        <w:spacing w:line="360" w:lineRule="auto"/>
        <w:ind w:firstLine="640" w:firstLineChars="200"/>
        <w:jc w:val="left"/>
        <w:rPr>
          <w:rFonts w:ascii="仿宋" w:hAnsi="仿宋" w:eastAsia="仿宋"/>
          <w:sz w:val="32"/>
          <w:szCs w:val="32"/>
        </w:rPr>
      </w:pPr>
      <w:r>
        <w:rPr>
          <w:rFonts w:ascii="仿宋" w:hAnsi="仿宋" w:eastAsia="仿宋"/>
          <w:sz w:val="32"/>
          <w:szCs w:val="32"/>
        </w:rPr>
        <w:t>八、国有资本经营预算财政拨款支出决算表</w:t>
      </w:r>
    </w:p>
    <w:p>
      <w:pPr>
        <w:widowControl/>
        <w:spacing w:line="360" w:lineRule="auto"/>
        <w:ind w:firstLine="640" w:firstLineChars="200"/>
        <w:jc w:val="left"/>
        <w:rPr>
          <w:rFonts w:ascii="仿宋" w:hAnsi="仿宋" w:eastAsia="仿宋"/>
          <w:sz w:val="32"/>
          <w:szCs w:val="32"/>
        </w:rPr>
      </w:pPr>
      <w:r>
        <w:rPr>
          <w:rFonts w:ascii="仿宋" w:hAnsi="仿宋" w:eastAsia="仿宋"/>
          <w:sz w:val="32"/>
          <w:szCs w:val="32"/>
        </w:rPr>
        <w:t>九、财政拨款“三公”经费支出决算表</w:t>
      </w:r>
    </w:p>
    <w:p>
      <w:pPr>
        <w:widowControl/>
        <w:spacing w:line="360" w:lineRule="auto"/>
        <w:jc w:val="left"/>
        <w:rPr>
          <w:rFonts w:ascii="Times New Roman" w:eastAsia="黑体"/>
          <w:sz w:val="32"/>
          <w:szCs w:val="32"/>
        </w:rPr>
      </w:pPr>
      <w:r>
        <w:rPr>
          <w:rFonts w:ascii="Times New Roman" w:eastAsia="黑体"/>
          <w:sz w:val="32"/>
          <w:szCs w:val="32"/>
        </w:rPr>
        <w:t>第三部分 2025年度</w:t>
      </w:r>
      <w:r>
        <w:rPr>
          <w:rFonts w:hint="eastAsia" w:ascii="Times New Roman" w:eastAsia="黑体"/>
          <w:sz w:val="32"/>
          <w:szCs w:val="32"/>
          <w:lang w:eastAsia="zh-CN"/>
        </w:rPr>
        <w:t>单位</w:t>
      </w:r>
      <w:r>
        <w:rPr>
          <w:rFonts w:ascii="Times New Roman" w:eastAsia="黑体"/>
          <w:sz w:val="32"/>
          <w:szCs w:val="32"/>
        </w:rPr>
        <w:t>决算情况说明</w:t>
      </w:r>
    </w:p>
    <w:p>
      <w:pPr>
        <w:widowControl/>
        <w:spacing w:line="360" w:lineRule="auto"/>
        <w:ind w:firstLine="640" w:firstLineChars="200"/>
        <w:jc w:val="left"/>
        <w:rPr>
          <w:rFonts w:ascii="仿宋" w:hAnsi="仿宋" w:eastAsia="仿宋"/>
          <w:sz w:val="32"/>
          <w:szCs w:val="32"/>
        </w:rPr>
      </w:pPr>
      <w:r>
        <w:rPr>
          <w:rFonts w:ascii="仿宋" w:hAnsi="仿宋" w:eastAsia="仿宋"/>
          <w:sz w:val="32"/>
          <w:szCs w:val="32"/>
        </w:rPr>
        <w:t>一、收入支出决算总体情况说明</w:t>
      </w:r>
    </w:p>
    <w:p>
      <w:pPr>
        <w:widowControl/>
        <w:spacing w:line="360" w:lineRule="auto"/>
        <w:ind w:firstLine="640" w:firstLineChars="200"/>
        <w:jc w:val="left"/>
        <w:rPr>
          <w:rFonts w:ascii="仿宋" w:hAnsi="仿宋" w:eastAsia="仿宋"/>
          <w:sz w:val="32"/>
          <w:szCs w:val="32"/>
        </w:rPr>
      </w:pPr>
      <w:r>
        <w:rPr>
          <w:rFonts w:ascii="仿宋" w:hAnsi="仿宋" w:eastAsia="仿宋"/>
          <w:sz w:val="32"/>
          <w:szCs w:val="32"/>
        </w:rPr>
        <w:t>二、收入决算情况说明</w:t>
      </w:r>
    </w:p>
    <w:p>
      <w:pPr>
        <w:widowControl/>
        <w:spacing w:line="360" w:lineRule="auto"/>
        <w:ind w:firstLine="640" w:firstLineChars="200"/>
        <w:jc w:val="left"/>
        <w:rPr>
          <w:rFonts w:ascii="仿宋" w:hAnsi="仿宋" w:eastAsia="仿宋"/>
          <w:sz w:val="32"/>
          <w:szCs w:val="32"/>
        </w:rPr>
      </w:pPr>
      <w:r>
        <w:rPr>
          <w:rFonts w:ascii="仿宋" w:hAnsi="仿宋" w:eastAsia="仿宋"/>
          <w:sz w:val="32"/>
          <w:szCs w:val="32"/>
        </w:rPr>
        <w:t>三、支出决算情况说明</w:t>
      </w:r>
    </w:p>
    <w:p>
      <w:pPr>
        <w:widowControl/>
        <w:spacing w:line="360" w:lineRule="auto"/>
        <w:ind w:firstLine="640" w:firstLineChars="200"/>
        <w:jc w:val="left"/>
        <w:rPr>
          <w:rFonts w:ascii="仿宋" w:hAnsi="仿宋" w:eastAsia="仿宋"/>
          <w:sz w:val="32"/>
          <w:szCs w:val="32"/>
        </w:rPr>
      </w:pPr>
      <w:r>
        <w:rPr>
          <w:rFonts w:ascii="仿宋" w:hAnsi="仿宋" w:eastAsia="仿宋"/>
          <w:sz w:val="32"/>
          <w:szCs w:val="32"/>
        </w:rPr>
        <w:t>四、财政拨款收入支出决算总体情况说明</w:t>
      </w:r>
    </w:p>
    <w:p>
      <w:pPr>
        <w:widowControl/>
        <w:spacing w:line="360" w:lineRule="auto"/>
        <w:ind w:firstLine="640" w:firstLineChars="200"/>
        <w:jc w:val="left"/>
        <w:rPr>
          <w:rFonts w:ascii="仿宋" w:hAnsi="仿宋" w:eastAsia="仿宋"/>
          <w:sz w:val="32"/>
          <w:szCs w:val="32"/>
        </w:rPr>
      </w:pPr>
      <w:r>
        <w:rPr>
          <w:rFonts w:ascii="仿宋" w:hAnsi="仿宋" w:eastAsia="仿宋"/>
          <w:sz w:val="32"/>
          <w:szCs w:val="32"/>
        </w:rPr>
        <w:t>五、财政拨款“三公”经费支出决算情况说明</w:t>
      </w:r>
    </w:p>
    <w:p>
      <w:pPr>
        <w:widowControl/>
        <w:spacing w:line="360" w:lineRule="auto"/>
        <w:ind w:firstLine="640" w:firstLineChars="200"/>
        <w:jc w:val="left"/>
        <w:rPr>
          <w:rFonts w:ascii="仿宋" w:hAnsi="仿宋" w:eastAsia="仿宋"/>
          <w:sz w:val="32"/>
          <w:szCs w:val="32"/>
        </w:rPr>
      </w:pPr>
      <w:r>
        <w:rPr>
          <w:rFonts w:ascii="仿宋" w:hAnsi="仿宋" w:eastAsia="仿宋"/>
          <w:sz w:val="32"/>
          <w:szCs w:val="32"/>
        </w:rPr>
        <w:t>六、机关运行经费支出说明</w:t>
      </w:r>
    </w:p>
    <w:p>
      <w:pPr>
        <w:widowControl/>
        <w:spacing w:line="360" w:lineRule="auto"/>
        <w:ind w:firstLine="640" w:firstLineChars="200"/>
        <w:jc w:val="left"/>
        <w:rPr>
          <w:rFonts w:ascii="仿宋" w:hAnsi="仿宋" w:eastAsia="仿宋"/>
          <w:sz w:val="32"/>
          <w:szCs w:val="32"/>
        </w:rPr>
      </w:pPr>
      <w:r>
        <w:rPr>
          <w:rFonts w:ascii="仿宋" w:hAnsi="仿宋" w:eastAsia="仿宋"/>
          <w:sz w:val="32"/>
          <w:szCs w:val="32"/>
        </w:rPr>
        <w:t>七、政府采购支出说明</w:t>
      </w:r>
    </w:p>
    <w:p>
      <w:pPr>
        <w:widowControl/>
        <w:spacing w:line="360" w:lineRule="auto"/>
        <w:ind w:firstLine="640" w:firstLineChars="200"/>
        <w:jc w:val="left"/>
        <w:rPr>
          <w:rFonts w:ascii="仿宋" w:hAnsi="仿宋" w:eastAsia="仿宋"/>
          <w:sz w:val="32"/>
          <w:szCs w:val="32"/>
        </w:rPr>
      </w:pPr>
      <w:r>
        <w:rPr>
          <w:rFonts w:ascii="仿宋" w:hAnsi="仿宋" w:eastAsia="仿宋"/>
          <w:sz w:val="32"/>
          <w:szCs w:val="32"/>
        </w:rPr>
        <w:t>八、国有资产占用情况说明</w:t>
      </w:r>
    </w:p>
    <w:p>
      <w:pPr>
        <w:widowControl/>
        <w:spacing w:line="360" w:lineRule="auto"/>
        <w:ind w:firstLine="640" w:firstLineChars="200"/>
        <w:jc w:val="left"/>
        <w:rPr>
          <w:rFonts w:ascii="仿宋" w:hAnsi="仿宋" w:eastAsia="仿宋"/>
          <w:sz w:val="32"/>
          <w:szCs w:val="32"/>
        </w:rPr>
      </w:pPr>
      <w:r>
        <w:rPr>
          <w:rFonts w:ascii="仿宋" w:hAnsi="仿宋" w:eastAsia="仿宋"/>
          <w:sz w:val="32"/>
          <w:szCs w:val="32"/>
        </w:rPr>
        <w:t>九、关于2025年度绩效评价情况的说明</w:t>
      </w:r>
    </w:p>
    <w:p>
      <w:pPr>
        <w:widowControl/>
        <w:spacing w:line="360" w:lineRule="auto"/>
        <w:ind w:firstLine="640" w:firstLineChars="200"/>
        <w:jc w:val="left"/>
        <w:rPr>
          <w:rFonts w:ascii="仿宋" w:hAnsi="仿宋" w:eastAsia="仿宋"/>
          <w:sz w:val="32"/>
          <w:szCs w:val="32"/>
        </w:rPr>
      </w:pPr>
      <w:r>
        <w:rPr>
          <w:rFonts w:ascii="仿宋" w:hAnsi="仿宋" w:eastAsia="仿宋"/>
          <w:sz w:val="32"/>
          <w:szCs w:val="32"/>
        </w:rPr>
        <w:t>十、其他需要说明的情况</w:t>
      </w:r>
    </w:p>
    <w:p>
      <w:pPr>
        <w:widowControl/>
        <w:spacing w:line="360" w:lineRule="auto"/>
        <w:jc w:val="left"/>
        <w:rPr>
          <w:rFonts w:ascii="Times New Roman" w:eastAsia="黑体"/>
          <w:sz w:val="32"/>
          <w:szCs w:val="32"/>
        </w:rPr>
      </w:pPr>
      <w:r>
        <w:rPr>
          <w:rFonts w:ascii="Times New Roman" w:eastAsia="黑体"/>
          <w:sz w:val="32"/>
          <w:szCs w:val="32"/>
        </w:rPr>
        <w:t>第四部分 名词解释</w:t>
      </w:r>
    </w:p>
    <w:p>
      <w:pPr>
        <w:widowControl/>
        <w:spacing w:after="160" w:line="580" w:lineRule="exact"/>
        <w:rPr>
          <w:rFonts w:ascii="Times New Roman" w:hAnsi="Times New Roman" w:eastAsia="黑体" w:cs="Times New Roman"/>
          <w:sz w:val="32"/>
          <w:szCs w:val="32"/>
        </w:rPr>
        <w:sectPr>
          <w:headerReference r:id="rId4" w:type="first"/>
          <w:footerReference r:id="rId6" w:type="first"/>
          <w:headerReference r:id="rId3" w:type="default"/>
          <w:footerReference r:id="rId5" w:type="default"/>
          <w:pgSz w:w="11906" w:h="16838"/>
          <w:pgMar w:top="1474" w:right="1531" w:bottom="1474" w:left="1531" w:header="851" w:footer="992" w:gutter="0"/>
          <w:cols w:space="0" w:num="1"/>
          <w:titlePg/>
          <w:docGrid w:type="lines" w:linePitch="312" w:charSpace="0"/>
        </w:sectPr>
      </w:pPr>
    </w:p>
    <w:p>
      <w:pPr>
        <w:widowControl/>
        <w:spacing w:line="360" w:lineRule="auto"/>
        <w:jc w:val="center"/>
        <w:outlineLvl w:val="0"/>
        <w:rPr>
          <w:rFonts w:ascii="Times New Roman" w:eastAsia="黑体"/>
          <w:sz w:val="44"/>
          <w:szCs w:val="44"/>
        </w:rPr>
      </w:pPr>
    </w:p>
    <w:p>
      <w:pPr>
        <w:widowControl/>
        <w:spacing w:line="360" w:lineRule="auto"/>
        <w:jc w:val="center"/>
        <w:outlineLvl w:val="0"/>
        <w:rPr>
          <w:rFonts w:ascii="Times New Roman" w:eastAsia="黑体"/>
          <w:sz w:val="44"/>
          <w:szCs w:val="44"/>
        </w:rPr>
      </w:pPr>
    </w:p>
    <w:p>
      <w:pPr>
        <w:widowControl/>
        <w:spacing w:line="360" w:lineRule="auto"/>
        <w:jc w:val="center"/>
        <w:outlineLvl w:val="0"/>
        <w:rPr>
          <w:rFonts w:ascii="Times New Roman" w:eastAsia="黑体"/>
          <w:sz w:val="44"/>
          <w:szCs w:val="44"/>
        </w:rPr>
      </w:pPr>
    </w:p>
    <w:p>
      <w:pPr>
        <w:widowControl/>
        <w:spacing w:line="360" w:lineRule="auto"/>
        <w:jc w:val="center"/>
        <w:outlineLvl w:val="0"/>
        <w:rPr>
          <w:rFonts w:ascii="Times New Roman" w:eastAsia="黑体"/>
          <w:sz w:val="44"/>
          <w:szCs w:val="44"/>
        </w:rPr>
      </w:pPr>
    </w:p>
    <w:p>
      <w:pPr>
        <w:widowControl/>
        <w:spacing w:line="360" w:lineRule="auto"/>
        <w:jc w:val="center"/>
        <w:outlineLvl w:val="0"/>
        <w:rPr>
          <w:rFonts w:ascii="Times New Roman" w:eastAsia="黑体"/>
          <w:sz w:val="44"/>
          <w:szCs w:val="44"/>
        </w:rPr>
      </w:pPr>
    </w:p>
    <w:p>
      <w:pPr>
        <w:widowControl/>
        <w:spacing w:line="360" w:lineRule="auto"/>
        <w:jc w:val="center"/>
        <w:outlineLvl w:val="0"/>
        <w:rPr>
          <w:rFonts w:ascii="Times New Roman" w:eastAsia="黑体"/>
          <w:sz w:val="44"/>
          <w:szCs w:val="44"/>
        </w:rPr>
      </w:pPr>
    </w:p>
    <w:p>
      <w:pPr>
        <w:widowControl/>
        <w:spacing w:line="360" w:lineRule="auto"/>
        <w:jc w:val="center"/>
        <w:outlineLvl w:val="0"/>
        <w:rPr>
          <w:rFonts w:ascii="Times New Roman" w:eastAsia="黑体"/>
          <w:sz w:val="44"/>
          <w:szCs w:val="44"/>
        </w:rPr>
      </w:pPr>
    </w:p>
    <w:p>
      <w:pPr>
        <w:widowControl/>
        <w:spacing w:line="360" w:lineRule="auto"/>
        <w:jc w:val="center"/>
        <w:outlineLvl w:val="0"/>
        <w:rPr>
          <w:rFonts w:ascii="Times New Roman" w:eastAsia="黑体"/>
          <w:sz w:val="44"/>
          <w:szCs w:val="44"/>
        </w:rPr>
      </w:pPr>
      <w:r>
        <w:rPr>
          <w:rFonts w:ascii="Times New Roman" w:eastAsia="黑体"/>
          <w:sz w:val="44"/>
          <w:szCs w:val="44"/>
        </w:rPr>
        <w:t>第一部分</w:t>
      </w:r>
    </w:p>
    <w:p>
      <w:pPr>
        <w:widowControl/>
        <w:spacing w:line="360" w:lineRule="auto"/>
        <w:jc w:val="center"/>
        <w:outlineLvl w:val="0"/>
        <w:rPr>
          <w:rFonts w:ascii="Times New Roman" w:eastAsia="黑体"/>
          <w:sz w:val="44"/>
          <w:szCs w:val="44"/>
        </w:rPr>
      </w:pPr>
      <w:r>
        <w:rPr>
          <w:rFonts w:hint="eastAsia" w:ascii="Times New Roman" w:eastAsia="黑体"/>
          <w:sz w:val="44"/>
          <w:szCs w:val="44"/>
          <w:lang w:eastAsia="zh-CN"/>
        </w:rPr>
        <w:t>单位</w:t>
      </w:r>
      <w:r>
        <w:rPr>
          <w:rFonts w:ascii="Times New Roman" w:eastAsia="黑体"/>
          <w:sz w:val="44"/>
          <w:szCs w:val="44"/>
        </w:rPr>
        <w:t>概况</w:t>
      </w:r>
    </w:p>
    <w:p>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pPr>
        <w:widowControl/>
        <w:spacing w:line="360" w:lineRule="auto"/>
        <w:jc w:val="left"/>
        <w:outlineLvl w:val="1"/>
        <w:rPr>
          <w:rFonts w:ascii="Times New Roman" w:eastAsia="黑体"/>
          <w:sz w:val="32"/>
          <w:szCs w:val="32"/>
        </w:rPr>
      </w:pPr>
      <w:r>
        <w:rPr>
          <w:rFonts w:ascii="Times New Roman" w:eastAsia="黑体"/>
          <w:sz w:val="32"/>
          <w:szCs w:val="32"/>
        </w:rPr>
        <w:t>一、</w:t>
      </w:r>
      <w:r>
        <w:rPr>
          <w:rFonts w:hint="eastAsia" w:ascii="Times New Roman" w:eastAsia="黑体"/>
          <w:sz w:val="32"/>
          <w:szCs w:val="32"/>
          <w:lang w:eastAsia="zh-CN"/>
        </w:rPr>
        <w:t>单位</w:t>
      </w:r>
      <w:r>
        <w:rPr>
          <w:rFonts w:ascii="Times New Roman" w:eastAsia="黑体"/>
          <w:sz w:val="32"/>
          <w:szCs w:val="32"/>
        </w:rPr>
        <w:t>职责</w:t>
      </w:r>
    </w:p>
    <w:p>
      <w:pPr>
        <w:widowControl/>
        <w:spacing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(一)负责组织全市金融安全稳定和改革发展政策研究，拟订全市金融业发展规划和地方金融改革发展意见。</w:t>
      </w:r>
    </w:p>
    <w:p>
      <w:pPr>
        <w:widowControl/>
        <w:spacing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(二)负责加强与上级金融管理部门以及银行、保险等金融机构的沟通联系，指导协调市有关部门和各县（市、区）加强与金融机构对接合作，做好金融服务实体经济发展工作。</w:t>
      </w:r>
    </w:p>
    <w:p>
      <w:pPr>
        <w:widowControl/>
        <w:spacing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(三)负责加强与上级金融管理部门以及证券、期货、基金、区域性股权市场等金融机构的沟通联系。</w:t>
      </w:r>
    </w:p>
    <w:p>
      <w:pPr>
        <w:widowControl/>
        <w:spacing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(四)负责全市地方金融组织监管统筹协调、运行分析研究和数据统计汇总。负责全市小额贷款公司、典当行、融资租赁公司、商业保理公司、地方资产管理公司的监督管理、规范发展相关工作。</w:t>
      </w:r>
    </w:p>
    <w:p>
      <w:pPr>
        <w:keepNext w:val="0"/>
        <w:keepLines w:val="0"/>
        <w:pageBreakBefore w:val="0"/>
        <w:widowControl w:val="0"/>
        <w:kinsoku w:val="0"/>
        <w:wordWrap/>
        <w:overflowPunct w:val="0"/>
        <w:topLinePunct w:val="0"/>
        <w:autoSpaceDE w:val="0"/>
        <w:autoSpaceDN w:val="0"/>
        <w:bidi w:val="0"/>
        <w:adjustRightInd/>
        <w:snapToGrid/>
        <w:spacing w:line="360" w:lineRule="auto"/>
        <w:ind w:firstLine="640" w:firstLineChars="200"/>
        <w:jc w:val="left"/>
        <w:textAlignment w:val="auto"/>
        <w:rPr>
          <w:rFonts w:hint="eastAsia" w:ascii="Times New Roman" w:eastAsia="仿宋_GB2312"/>
          <w:sz w:val="32"/>
          <w:szCs w:val="32"/>
        </w:rPr>
      </w:pPr>
      <w:r>
        <w:rPr>
          <w:rFonts w:hint="eastAsia" w:ascii="Times New Roman" w:eastAsia="仿宋_GB2312"/>
          <w:sz w:val="32"/>
          <w:szCs w:val="32"/>
        </w:rPr>
        <w:t>(五)负责协调推动市有关部门和各县（市、区）配合上级金融管理部门及其派驻机构做好金融领域相关</w:t>
      </w:r>
      <w:r>
        <w:rPr>
          <w:rFonts w:hint="eastAsia" w:ascii="Times New Roman" w:eastAsia="仿宋_GB2312"/>
          <w:sz w:val="32"/>
          <w:szCs w:val="32"/>
          <w:lang w:eastAsia="zh-CN"/>
        </w:rPr>
        <w:t>工作。</w:t>
      </w:r>
    </w:p>
    <w:p>
      <w:pPr>
        <w:widowControl/>
        <w:spacing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(六)配合上级金融管理部门打击非法金融活动。组织开展防范和处置非法集资工作，开展宣传教育、政策解释和业务指导。</w:t>
      </w:r>
    </w:p>
    <w:p>
      <w:pPr>
        <w:widowControl/>
        <w:spacing w:line="360" w:lineRule="auto"/>
        <w:ind w:firstLine="640" w:firstLineChars="200"/>
        <w:jc w:val="left"/>
        <w:rPr>
          <w:rFonts w:ascii="Times New Roman" w:eastAsia="仿宋_GB2312"/>
          <w:sz w:val="32"/>
          <w:szCs w:val="32"/>
        </w:rPr>
      </w:pPr>
      <w:r>
        <w:rPr>
          <w:rFonts w:hint="eastAsia" w:ascii="Times New Roman" w:eastAsia="仿宋_GB2312"/>
          <w:sz w:val="32"/>
          <w:szCs w:val="32"/>
        </w:rPr>
        <w:t>（七）负责辖区内地方国有金融企业和非公金融企业党建工作调查研究，拟订工作规划和政策措施并组织实施。指导地方国有金融企业和非公金融企业党的宣传思想文化工作，加强思想政治工作和精神文明建设。</w:t>
      </w:r>
    </w:p>
    <w:p>
      <w:pPr>
        <w:widowControl/>
        <w:spacing w:line="360" w:lineRule="auto"/>
        <w:jc w:val="left"/>
        <w:outlineLvl w:val="1"/>
        <w:rPr>
          <w:rFonts w:ascii="Times New Roman" w:eastAsia="黑体"/>
          <w:sz w:val="32"/>
          <w:szCs w:val="32"/>
        </w:rPr>
      </w:pPr>
      <w:r>
        <w:rPr>
          <w:rFonts w:ascii="Times New Roman" w:eastAsia="黑体"/>
          <w:sz w:val="32"/>
          <w:szCs w:val="32"/>
        </w:rPr>
        <w:t>二、机构设置</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从决算编报单位构成看，纳入2025年度本</w:t>
      </w:r>
      <w:r>
        <w:rPr>
          <w:rFonts w:hint="eastAsia" w:ascii="Times New Roman" w:eastAsia="仿宋_GB2312"/>
          <w:sz w:val="32"/>
          <w:szCs w:val="32"/>
          <w:lang w:eastAsia="zh-CN"/>
        </w:rPr>
        <w:t>单位</w:t>
      </w:r>
      <w:r>
        <w:rPr>
          <w:rFonts w:ascii="Times New Roman" w:eastAsia="仿宋_GB2312"/>
          <w:sz w:val="32"/>
          <w:szCs w:val="32"/>
        </w:rPr>
        <w:t>决算汇编范围的独立核算单位（以下简称“单位”）共</w:t>
      </w:r>
      <w:r>
        <w:rPr>
          <w:rFonts w:hint="eastAsia" w:ascii="Times New Roman" w:eastAsia="仿宋_GB2312"/>
          <w:sz w:val="32"/>
          <w:szCs w:val="32"/>
          <w:lang w:val="en-US" w:eastAsia="zh-CN"/>
        </w:rPr>
        <w:t>1</w:t>
      </w:r>
      <w:r>
        <w:rPr>
          <w:rFonts w:ascii="Times New Roman" w:eastAsia="仿宋_GB2312"/>
          <w:sz w:val="32"/>
          <w:szCs w:val="32"/>
        </w:rPr>
        <w:t>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pPr>
              <w:spacing w:line="560" w:lineRule="exact"/>
              <w:jc w:val="center"/>
              <w:rPr>
                <w:rFonts w:ascii="仿宋_GB2312" w:hAnsi="Calibri" w:eastAsia="仿宋_GB2312" w:cs="ArialUnicodeMS"/>
                <w:b/>
                <w:bCs/>
                <w:sz w:val="28"/>
                <w:szCs w:val="28"/>
              </w:rPr>
            </w:pPr>
            <w:r>
              <w:rPr>
                <w:rFonts w:hint="eastAsia" w:ascii="仿宋_GB2312" w:hAnsi="Calibri" w:eastAsia="仿宋_GB2312" w:cs="ArialUnicodeMS"/>
                <w:b/>
                <w:bCs/>
                <w:sz w:val="28"/>
                <w:szCs w:val="28"/>
              </w:rPr>
              <w:t>序号</w:t>
            </w:r>
          </w:p>
        </w:tc>
        <w:tc>
          <w:tcPr>
            <w:tcW w:w="3485" w:type="dxa"/>
            <w:vAlign w:val="center"/>
          </w:tcPr>
          <w:p>
            <w:pPr>
              <w:spacing w:line="560" w:lineRule="exact"/>
              <w:jc w:val="center"/>
              <w:rPr>
                <w:rFonts w:ascii="仿宋_GB2312" w:hAnsi="Calibri" w:eastAsia="仿宋_GB2312" w:cs="ArialUnicodeMS"/>
                <w:b/>
                <w:bCs/>
                <w:sz w:val="28"/>
                <w:szCs w:val="28"/>
              </w:rPr>
            </w:pPr>
            <w:r>
              <w:rPr>
                <w:rFonts w:hint="eastAsia" w:ascii="仿宋_GB2312" w:hAnsi="Calibri" w:eastAsia="仿宋_GB2312" w:cs="ArialUnicodeMS"/>
                <w:b/>
                <w:bCs/>
                <w:sz w:val="28"/>
                <w:szCs w:val="28"/>
              </w:rPr>
              <w:t>单位名称</w:t>
            </w:r>
          </w:p>
        </w:tc>
        <w:tc>
          <w:tcPr>
            <w:tcW w:w="2445" w:type="dxa"/>
            <w:vAlign w:val="center"/>
          </w:tcPr>
          <w:p>
            <w:pPr>
              <w:spacing w:line="560" w:lineRule="exact"/>
              <w:jc w:val="center"/>
              <w:rPr>
                <w:rFonts w:ascii="仿宋_GB2312" w:hAnsi="Calibri" w:eastAsia="仿宋_GB2312" w:cs="ArialUnicodeMS"/>
                <w:b/>
                <w:bCs/>
                <w:sz w:val="28"/>
                <w:szCs w:val="28"/>
              </w:rPr>
            </w:pPr>
            <w:r>
              <w:rPr>
                <w:rFonts w:hint="eastAsia" w:ascii="仿宋_GB2312" w:hAnsi="Calibri" w:eastAsia="仿宋_GB2312" w:cs="ArialUnicodeMS"/>
                <w:b/>
                <w:bCs/>
                <w:sz w:val="28"/>
                <w:szCs w:val="28"/>
              </w:rPr>
              <w:t>单位基本性质</w:t>
            </w:r>
          </w:p>
        </w:tc>
        <w:tc>
          <w:tcPr>
            <w:tcW w:w="2665" w:type="dxa"/>
            <w:vAlign w:val="center"/>
          </w:tcPr>
          <w:p>
            <w:pPr>
              <w:spacing w:line="560" w:lineRule="exact"/>
              <w:jc w:val="center"/>
              <w:rPr>
                <w:rFonts w:ascii="仿宋_GB2312" w:hAnsi="Calibri" w:eastAsia="仿宋_GB2312" w:cs="ArialUnicodeMS"/>
                <w:b/>
                <w:bCs/>
                <w:sz w:val="28"/>
                <w:szCs w:val="28"/>
              </w:rPr>
            </w:pPr>
            <w:r>
              <w:rPr>
                <w:rFonts w:hint="eastAsia" w:ascii="仿宋_GB2312" w:hAnsi="Calibri" w:eastAsia="仿宋_GB2312" w:cs="ArialUnicodeMS"/>
                <w:b/>
                <w:bCs/>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pPr>
              <w:spacing w:line="560" w:lineRule="exact"/>
              <w:jc w:val="center"/>
              <w:rPr>
                <w:rFonts w:ascii="仿宋_GB2312" w:hAnsi="Calibri" w:eastAsia="仿宋_GB2312" w:cs="ArialUnicodeMS"/>
                <w:sz w:val="28"/>
                <w:szCs w:val="28"/>
              </w:rPr>
            </w:pPr>
            <w:r>
              <w:rPr>
                <w:rFonts w:hint="eastAsia" w:ascii="仿宋_GB2312" w:hAnsi="Calibri" w:eastAsia="仿宋_GB2312" w:cs="ArialUnicodeMS"/>
                <w:sz w:val="28"/>
                <w:szCs w:val="28"/>
              </w:rPr>
              <w:t>1</w:t>
            </w:r>
          </w:p>
        </w:tc>
        <w:tc>
          <w:tcPr>
            <w:tcW w:w="3485" w:type="dxa"/>
            <w:vAlign w:val="center"/>
          </w:tcPr>
          <w:p>
            <w:pPr>
              <w:spacing w:line="560" w:lineRule="exact"/>
              <w:jc w:val="center"/>
              <w:rPr>
                <w:rFonts w:ascii="仿宋_GB2312" w:hAnsi="Calibri" w:eastAsia="仿宋_GB2312" w:cs="ArialUnicodeMS"/>
                <w:sz w:val="28"/>
                <w:szCs w:val="28"/>
              </w:rPr>
            </w:pPr>
            <w:r>
              <w:rPr>
                <w:rFonts w:hint="eastAsia" w:ascii="仿宋_GB2312" w:hAnsi="Calibri" w:eastAsia="仿宋_GB2312" w:cs="ArialUnicodeMS"/>
                <w:sz w:val="28"/>
                <w:szCs w:val="28"/>
              </w:rPr>
              <w:t>中共石家庄市委金融委员会办公室</w:t>
            </w:r>
          </w:p>
        </w:tc>
        <w:tc>
          <w:tcPr>
            <w:tcW w:w="2445" w:type="dxa"/>
            <w:vAlign w:val="center"/>
          </w:tcPr>
          <w:p>
            <w:pPr>
              <w:spacing w:line="560" w:lineRule="exact"/>
              <w:jc w:val="center"/>
              <w:rPr>
                <w:rFonts w:hint="eastAsia" w:ascii="仿宋_GB2312" w:hAnsi="Calibri" w:eastAsia="仿宋_GB2312" w:cs="ArialUnicodeMS"/>
                <w:sz w:val="28"/>
                <w:szCs w:val="28"/>
                <w:lang w:eastAsia="zh-CN"/>
              </w:rPr>
            </w:pPr>
            <w:r>
              <w:rPr>
                <w:rFonts w:hint="eastAsia" w:ascii="仿宋_GB2312" w:hAnsi="Calibri" w:eastAsia="仿宋_GB2312" w:cs="ArialUnicodeMS"/>
                <w:sz w:val="28"/>
                <w:szCs w:val="28"/>
                <w:lang w:eastAsia="zh-CN"/>
              </w:rPr>
              <w:t>行政</w:t>
            </w:r>
          </w:p>
        </w:tc>
        <w:tc>
          <w:tcPr>
            <w:tcW w:w="2665" w:type="dxa"/>
            <w:vAlign w:val="center"/>
          </w:tcPr>
          <w:p>
            <w:pPr>
              <w:spacing w:line="560" w:lineRule="exact"/>
              <w:jc w:val="center"/>
              <w:rPr>
                <w:rFonts w:ascii="仿宋_GB2312" w:hAnsi="Calibri" w:eastAsia="仿宋_GB2312" w:cs="ArialUnicodeMS"/>
                <w:sz w:val="28"/>
                <w:szCs w:val="28"/>
              </w:rPr>
            </w:pPr>
            <w:r>
              <w:rPr>
                <w:rFonts w:hint="eastAsia" w:ascii="仿宋_GB2312" w:hAnsi="Calibri" w:eastAsia="仿宋_GB2312" w:cs="ArialUnicodeMS"/>
                <w:sz w:val="28"/>
                <w:szCs w:val="28"/>
              </w:rPr>
              <w:t>全额</w:t>
            </w:r>
          </w:p>
        </w:tc>
      </w:tr>
    </w:tbl>
    <w:p>
      <w:pPr>
        <w:rPr>
          <w:rFonts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pPr>
        <w:pStyle w:val="10"/>
        <w:widowControl/>
        <w:spacing w:beforeAutospacing="0" w:afterAutospacing="0"/>
        <w:jc w:val="both"/>
        <w:outlineLvl w:val="0"/>
        <w:rPr>
          <w:rFonts w:ascii="黑体" w:hAnsi="宋体" w:eastAsia="黑体" w:cs="黑体"/>
          <w:color w:val="000000"/>
          <w:sz w:val="72"/>
          <w:szCs w:val="72"/>
          <w:shd w:val="clear" w:color="auto" w:fill="FFFFFF"/>
        </w:rPr>
      </w:pPr>
    </w:p>
    <w:p>
      <w:pPr>
        <w:pStyle w:val="10"/>
        <w:widowControl/>
        <w:spacing w:beforeAutospacing="0" w:afterAutospacing="0"/>
        <w:jc w:val="both"/>
        <w:outlineLvl w:val="0"/>
        <w:rPr>
          <w:rFonts w:ascii="黑体" w:hAnsi="宋体" w:eastAsia="黑体" w:cs="黑体"/>
          <w:color w:val="000000"/>
          <w:sz w:val="72"/>
          <w:szCs w:val="72"/>
          <w:shd w:val="clear" w:color="auto" w:fill="FFFFFF"/>
        </w:rPr>
      </w:pPr>
    </w:p>
    <w:p>
      <w:pPr>
        <w:pStyle w:val="10"/>
        <w:widowControl/>
        <w:spacing w:beforeAutospacing="0" w:afterAutospacing="0"/>
        <w:jc w:val="both"/>
        <w:outlineLvl w:val="0"/>
        <w:rPr>
          <w:rFonts w:ascii="黑体" w:hAnsi="宋体" w:eastAsia="黑体" w:cs="黑体"/>
          <w:color w:val="000000"/>
          <w:sz w:val="72"/>
          <w:szCs w:val="72"/>
          <w:shd w:val="clear" w:color="auto" w:fill="FFFFFF"/>
        </w:rPr>
      </w:pPr>
    </w:p>
    <w:p>
      <w:pPr>
        <w:pStyle w:val="10"/>
        <w:widowControl/>
        <w:spacing w:beforeAutospacing="0" w:afterAutospacing="0"/>
        <w:jc w:val="both"/>
        <w:outlineLvl w:val="0"/>
        <w:rPr>
          <w:rFonts w:ascii="黑体" w:hAnsi="宋体" w:eastAsia="黑体" w:cs="黑体"/>
          <w:color w:val="000000"/>
          <w:sz w:val="72"/>
          <w:szCs w:val="72"/>
          <w:shd w:val="clear" w:color="auto" w:fill="FFFFFF"/>
        </w:rPr>
      </w:pPr>
    </w:p>
    <w:p>
      <w:pPr>
        <w:pStyle w:val="10"/>
        <w:widowControl/>
        <w:spacing w:beforeAutospacing="0" w:afterAutospacing="0"/>
        <w:jc w:val="both"/>
        <w:outlineLvl w:val="0"/>
        <w:rPr>
          <w:rFonts w:ascii="黑体" w:hAnsi="宋体" w:eastAsia="黑体" w:cs="黑体"/>
          <w:color w:val="000000"/>
          <w:sz w:val="72"/>
          <w:szCs w:val="72"/>
          <w:shd w:val="clear" w:color="auto" w:fill="FFFFFF"/>
        </w:rPr>
      </w:pPr>
    </w:p>
    <w:p>
      <w:pPr>
        <w:widowControl/>
        <w:spacing w:line="360" w:lineRule="auto"/>
        <w:jc w:val="center"/>
        <w:outlineLvl w:val="0"/>
        <w:rPr>
          <w:rFonts w:ascii="Times New Roman" w:eastAsia="黑体"/>
          <w:sz w:val="44"/>
          <w:szCs w:val="44"/>
        </w:rPr>
      </w:pPr>
      <w:r>
        <w:rPr>
          <w:rFonts w:ascii="Times New Roman" w:eastAsia="黑体"/>
          <w:sz w:val="44"/>
          <w:szCs w:val="44"/>
        </w:rPr>
        <w:t>第二部分</w:t>
      </w:r>
    </w:p>
    <w:p>
      <w:pPr>
        <w:widowControl/>
        <w:spacing w:line="360" w:lineRule="auto"/>
        <w:jc w:val="center"/>
        <w:outlineLvl w:val="0"/>
        <w:rPr>
          <w:rFonts w:ascii="Times New Roman" w:eastAsia="黑体"/>
          <w:sz w:val="44"/>
          <w:szCs w:val="44"/>
        </w:rPr>
      </w:pPr>
      <w:r>
        <w:rPr>
          <w:rFonts w:ascii="Times New Roman" w:eastAsia="仿宋_GB2312"/>
          <w:sz w:val="44"/>
          <w:szCs w:val="44"/>
        </w:rPr>
        <w:t>2025</w:t>
      </w:r>
      <w:r>
        <w:rPr>
          <w:rFonts w:ascii="Times New Roman" w:eastAsia="黑体"/>
          <w:sz w:val="44"/>
          <w:szCs w:val="44"/>
        </w:rPr>
        <w:t>年度</w:t>
      </w:r>
      <w:r>
        <w:rPr>
          <w:rFonts w:hint="eastAsia" w:ascii="Times New Roman" w:eastAsia="黑体"/>
          <w:sz w:val="44"/>
          <w:szCs w:val="44"/>
          <w:lang w:eastAsia="zh-CN"/>
        </w:rPr>
        <w:t>单位</w:t>
      </w:r>
      <w:r>
        <w:rPr>
          <w:rFonts w:ascii="Times New Roman" w:eastAsia="黑体"/>
          <w:sz w:val="44"/>
          <w:szCs w:val="44"/>
        </w:rPr>
        <w:t>决算表</w:t>
      </w:r>
    </w:p>
    <w:p>
      <w:pPr>
        <w:pStyle w:val="10"/>
        <w:widowControl/>
        <w:spacing w:beforeAutospacing="0" w:afterAutospacing="0"/>
        <w:jc w:val="both"/>
        <w:outlineLvl w:val="0"/>
        <w:rPr>
          <w:rFonts w:ascii="黑体" w:hAnsi="宋体" w:eastAsia="黑体" w:cs="黑体"/>
          <w:color w:val="000000"/>
          <w:sz w:val="72"/>
          <w:szCs w:val="72"/>
          <w:shd w:val="clear" w:color="auto" w:fill="FFFFFF"/>
        </w:rPr>
      </w:pPr>
    </w:p>
    <w:p>
      <w:pPr>
        <w:pStyle w:val="10"/>
        <w:widowControl/>
        <w:spacing w:beforeAutospacing="0" w:afterAutospacing="0"/>
        <w:jc w:val="both"/>
        <w:outlineLvl w:val="0"/>
        <w:rPr>
          <w:rFonts w:ascii="黑体" w:hAnsi="宋体" w:eastAsia="黑体" w:cs="黑体"/>
          <w:color w:val="000000"/>
          <w:sz w:val="72"/>
          <w:szCs w:val="72"/>
          <w:shd w:val="clear" w:color="auto" w:fill="FFFFFF"/>
        </w:rPr>
      </w:pPr>
    </w:p>
    <w:p>
      <w:pPr>
        <w:pStyle w:val="10"/>
        <w:widowControl/>
        <w:spacing w:beforeAutospacing="0" w:afterAutospacing="0"/>
        <w:jc w:val="both"/>
        <w:outlineLvl w:val="0"/>
        <w:rPr>
          <w:rFonts w:ascii="黑体" w:hAnsi="宋体" w:eastAsia="黑体" w:cs="黑体"/>
          <w:color w:val="000000"/>
          <w:sz w:val="72"/>
          <w:szCs w:val="72"/>
          <w:shd w:val="clear" w:color="auto" w:fill="FFFFFF"/>
        </w:rPr>
      </w:pPr>
    </w:p>
    <w:p/>
    <w:p/>
    <w:tbl>
      <w:tblPr>
        <w:tblStyle w:val="11"/>
        <w:tblW w:w="5000" w:type="pct"/>
        <w:tblInd w:w="0" w:type="dxa"/>
        <w:tblLayout w:type="autofit"/>
        <w:tblCellMar>
          <w:top w:w="0" w:type="dxa"/>
          <w:left w:w="108" w:type="dxa"/>
          <w:bottom w:w="0" w:type="dxa"/>
          <w:right w:w="108" w:type="dxa"/>
        </w:tblCellMar>
      </w:tblPr>
      <w:tblGrid>
        <w:gridCol w:w="3335"/>
        <w:gridCol w:w="606"/>
        <w:gridCol w:w="311"/>
        <w:gridCol w:w="587"/>
        <w:gridCol w:w="1702"/>
        <w:gridCol w:w="1243"/>
        <w:gridCol w:w="606"/>
        <w:gridCol w:w="898"/>
      </w:tblGrid>
      <w:tr>
        <w:tblPrEx>
          <w:tblCellMar>
            <w:top w:w="0" w:type="dxa"/>
            <w:left w:w="108" w:type="dxa"/>
            <w:bottom w:w="0" w:type="dxa"/>
            <w:right w:w="108" w:type="dxa"/>
          </w:tblCellMar>
        </w:tblPrEx>
        <w:trPr>
          <w:trHeight w:val="361" w:hRule="atLeast"/>
        </w:trPr>
        <w:tc>
          <w:tcPr>
            <w:tcW w:w="4984" w:type="pct"/>
            <w:gridSpan w:val="8"/>
            <w:tcBorders>
              <w:top w:val="nil"/>
              <w:left w:val="nil"/>
              <w:bottom w:val="nil"/>
              <w:right w:val="nil"/>
            </w:tcBorders>
            <w:noWrap/>
            <w:vAlign w:val="bottom"/>
          </w:tcPr>
          <w:p>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收入支出决算总表</w:t>
            </w:r>
          </w:p>
        </w:tc>
      </w:tr>
      <w:tr>
        <w:tblPrEx>
          <w:tblCellMar>
            <w:top w:w="0" w:type="dxa"/>
            <w:left w:w="108" w:type="dxa"/>
            <w:bottom w:w="0" w:type="dxa"/>
            <w:right w:w="108" w:type="dxa"/>
          </w:tblCellMar>
        </w:tblPrEx>
        <w:trPr>
          <w:trHeight w:val="357" w:hRule="atLeast"/>
        </w:trPr>
        <w:tc>
          <w:tcPr>
            <w:tcW w:w="4984" w:type="pct"/>
            <w:gridSpan w:val="8"/>
            <w:tcBorders>
              <w:top w:val="nil"/>
              <w:left w:val="nil"/>
              <w:bottom w:val="nil"/>
              <w:right w:val="nil"/>
            </w:tcBorders>
            <w:noWrap/>
            <w:vAlign w:val="bottom"/>
          </w:tcPr>
          <w:p>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 xml:space="preserve"> 公开</w:t>
            </w:r>
            <w:r>
              <w:rPr>
                <w:rFonts w:hint="eastAsia" w:ascii="Times New Roman" w:hAnsi="Times New Roman" w:eastAsia="宋体" w:cs="Times New Roman"/>
                <w:color w:val="000000"/>
                <w:sz w:val="20"/>
                <w:szCs w:val="20"/>
              </w:rPr>
              <w:t>01</w:t>
            </w:r>
            <w:r>
              <w:rPr>
                <w:rFonts w:hint="eastAsia" w:ascii="方正仿宋_GB2312" w:hAnsi="方正仿宋_GB2312" w:eastAsia="方正仿宋_GB2312" w:cs="方正仿宋_GB2312"/>
                <w:color w:val="000000"/>
                <w:sz w:val="20"/>
                <w:szCs w:val="20"/>
                <w:lang w:bidi="ar"/>
              </w:rPr>
              <w:t>表</w:t>
            </w:r>
          </w:p>
        </w:tc>
      </w:tr>
      <w:tr>
        <w:tblPrEx>
          <w:tblCellMar>
            <w:top w:w="0" w:type="dxa"/>
            <w:left w:w="108" w:type="dxa"/>
            <w:bottom w:w="0" w:type="dxa"/>
            <w:right w:w="108" w:type="dxa"/>
          </w:tblCellMar>
        </w:tblPrEx>
        <w:trPr>
          <w:trHeight w:val="351" w:hRule="atLeast"/>
        </w:trPr>
        <w:tc>
          <w:tcPr>
            <w:tcW w:w="1963" w:type="pct"/>
            <w:gridSpan w:val="3"/>
            <w:tcBorders>
              <w:top w:val="nil"/>
              <w:left w:val="nil"/>
              <w:bottom w:val="single" w:color="000000" w:themeColor="text1" w:sz="8" w:space="0"/>
              <w:right w:val="nil"/>
            </w:tcBorders>
            <w:noWrap/>
            <w:vAlign w:val="bottom"/>
          </w:tcPr>
          <w:p>
            <w:pP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eastAsia="zh-CN" w:bidi="ar"/>
              </w:rPr>
              <w:t>单位</w:t>
            </w:r>
            <w:r>
              <w:rPr>
                <w:rFonts w:hint="eastAsia" w:ascii="方正仿宋_GB2312" w:hAnsi="方正仿宋_GB2312" w:eastAsia="方正仿宋_GB2312" w:cs="方正仿宋_GB2312"/>
                <w:color w:val="000000"/>
                <w:sz w:val="20"/>
                <w:szCs w:val="20"/>
                <w:lang w:bidi="ar"/>
              </w:rPr>
              <w:t>：中共石家庄市委金融委员会办公室</w:t>
            </w:r>
          </w:p>
        </w:tc>
        <w:tc>
          <w:tcPr>
            <w:tcW w:w="1261" w:type="pct"/>
            <w:gridSpan w:val="2"/>
            <w:tcBorders>
              <w:top w:val="nil"/>
              <w:left w:val="nil"/>
              <w:bottom w:val="single" w:color="000000" w:themeColor="text1" w:sz="8" w:space="0"/>
              <w:right w:val="nil"/>
            </w:tcBorders>
            <w:noWrap/>
            <w:vAlign w:val="bottom"/>
          </w:tcPr>
          <w:p>
            <w:pPr>
              <w:jc w:val="center"/>
              <w:rPr>
                <w:rFonts w:ascii="宋体" w:hAnsi="宋体" w:eastAsia="宋体"/>
                <w:color w:val="000000"/>
                <w:sz w:val="20"/>
                <w:szCs w:val="20"/>
                <w:lang w:bidi="ar"/>
              </w:rPr>
            </w:pPr>
            <w:r>
              <w:rPr>
                <w:rFonts w:hint="eastAsia" w:ascii="Times New Roman" w:hAnsi="Times New Roman" w:eastAsia="宋体" w:cs="Times New Roman"/>
                <w:color w:val="000000"/>
                <w:sz w:val="20"/>
                <w:szCs w:val="20"/>
              </w:rPr>
              <w:t>2025</w:t>
            </w:r>
            <w:r>
              <w:rPr>
                <w:rFonts w:hint="eastAsia" w:ascii="方正仿宋_GB2312" w:hAnsi="方正仿宋_GB2312" w:eastAsia="方正仿宋_GB2312" w:cs="方正仿宋_GB2312"/>
                <w:color w:val="000000"/>
                <w:sz w:val="20"/>
                <w:szCs w:val="20"/>
                <w:lang w:bidi="ar"/>
              </w:rPr>
              <w:t>年度</w:t>
            </w:r>
          </w:p>
        </w:tc>
        <w:tc>
          <w:tcPr>
            <w:tcW w:w="1759" w:type="pct"/>
            <w:gridSpan w:val="3"/>
            <w:tcBorders>
              <w:top w:val="nil"/>
              <w:left w:val="nil"/>
              <w:bottom w:val="single" w:color="000000" w:themeColor="text1" w:sz="8" w:space="0"/>
              <w:right w:val="nil"/>
            </w:tcBorders>
            <w:noWrap/>
            <w:vAlign w:val="bottom"/>
          </w:tcPr>
          <w:p>
            <w:pPr>
              <w:jc w:val="right"/>
              <w:rPr>
                <w:rFonts w:ascii="宋体" w:hAnsi="宋体" w:eastAsia="宋体"/>
                <w:color w:val="000000"/>
                <w:sz w:val="20"/>
                <w:szCs w:val="20"/>
                <w:lang w:bidi="ar"/>
              </w:rPr>
            </w:pPr>
            <w:r>
              <w:rPr>
                <w:rFonts w:hint="eastAsia" w:ascii="方正仿宋_GB2312" w:hAnsi="方正仿宋_GB2312" w:eastAsia="方正仿宋_GB2312" w:cs="方正仿宋_GB2312"/>
                <w:color w:val="000000"/>
                <w:sz w:val="20"/>
                <w:szCs w:val="20"/>
                <w:lang w:bidi="ar"/>
              </w:rPr>
              <w:t>金额单位：万元</w:t>
            </w:r>
          </w:p>
        </w:tc>
      </w:tr>
      <w:tr>
        <w:tblPrEx>
          <w:tblCellMar>
            <w:top w:w="0" w:type="dxa"/>
            <w:left w:w="108" w:type="dxa"/>
            <w:bottom w:w="0" w:type="dxa"/>
            <w:right w:w="108" w:type="dxa"/>
          </w:tblCellMar>
        </w:tblPrEx>
        <w:trPr>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支出</w:t>
            </w:r>
          </w:p>
        </w:tc>
      </w:tr>
      <w:tr>
        <w:tblPrEx>
          <w:tblCellMar>
            <w:top w:w="0" w:type="dxa"/>
            <w:left w:w="108" w:type="dxa"/>
            <w:bottom w:w="0" w:type="dxa"/>
            <w:right w:w="108" w:type="dxa"/>
          </w:tblCellMar>
        </w:tblPrEx>
        <w:trPr>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行次</w:t>
            </w:r>
          </w:p>
        </w:tc>
        <w:tc>
          <w:tcPr>
            <w:tcW w:w="757"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决算数</w:t>
            </w:r>
          </w:p>
        </w:tc>
        <w:tc>
          <w:tcPr>
            <w:tcW w:w="132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行次</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决算数</w:t>
            </w:r>
          </w:p>
        </w:tc>
      </w:tr>
      <w:tr>
        <w:tblPrEx>
          <w:tblCellMar>
            <w:top w:w="0" w:type="dxa"/>
            <w:left w:w="108" w:type="dxa"/>
            <w:bottom w:w="0" w:type="dxa"/>
            <w:right w:w="108" w:type="dxa"/>
          </w:tblCellMar>
        </w:tblPrEx>
        <w:trPr>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color w:val="000000"/>
                <w:sz w:val="20"/>
                <w:szCs w:val="20"/>
              </w:rPr>
            </w:pPr>
          </w:p>
        </w:tc>
        <w:tc>
          <w:tcPr>
            <w:tcW w:w="757"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Times New Roman" w:hAnsi="Times New Roman" w:eastAsia="宋体" w:cs="Times New Roman"/>
                <w:color w:val="000000"/>
                <w:sz w:val="20"/>
                <w:szCs w:val="20"/>
              </w:rPr>
              <w:t>1</w:t>
            </w:r>
          </w:p>
        </w:tc>
        <w:tc>
          <w:tcPr>
            <w:tcW w:w="132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color w:val="000000"/>
                <w:sz w:val="20"/>
                <w:szCs w:val="20"/>
              </w:rPr>
            </w:pP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Times New Roman" w:hAnsi="Times New Roman" w:eastAsia="宋体" w:cs="Times New Roman"/>
                <w:color w:val="000000"/>
                <w:sz w:val="20"/>
                <w:szCs w:val="20"/>
              </w:rPr>
              <w:t>2</w:t>
            </w:r>
          </w:p>
        </w:tc>
      </w:tr>
      <w:tr>
        <w:tblPrEx>
          <w:tblCellMar>
            <w:top w:w="0" w:type="dxa"/>
            <w:left w:w="108" w:type="dxa"/>
            <w:bottom w:w="0" w:type="dxa"/>
            <w:right w:w="108" w:type="dxa"/>
          </w:tblCellMar>
        </w:tblPrEx>
        <w:trPr>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宋体" w:hAnsi="宋体" w:eastAsia="宋体"/>
                <w:color w:val="000000"/>
                <w:sz w:val="20"/>
                <w:szCs w:val="20"/>
              </w:rPr>
              <w:t>1</w:t>
            </w:r>
          </w:p>
        </w:tc>
        <w:tc>
          <w:tcPr>
            <w:tcW w:w="757"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2,699.20</w:t>
            </w:r>
          </w:p>
        </w:tc>
        <w:tc>
          <w:tcPr>
            <w:tcW w:w="132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32</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w:t>
            </w:r>
          </w:p>
        </w:tc>
        <w:tc>
          <w:tcPr>
            <w:tcW w:w="757"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33</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w:t>
            </w:r>
          </w:p>
        </w:tc>
        <w:tc>
          <w:tcPr>
            <w:tcW w:w="757"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34</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w:t>
            </w:r>
          </w:p>
        </w:tc>
        <w:tc>
          <w:tcPr>
            <w:tcW w:w="757"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35</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w:t>
            </w:r>
          </w:p>
        </w:tc>
        <w:tc>
          <w:tcPr>
            <w:tcW w:w="757"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36</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6</w:t>
            </w:r>
          </w:p>
        </w:tc>
        <w:tc>
          <w:tcPr>
            <w:tcW w:w="757"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37</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7</w:t>
            </w:r>
          </w:p>
        </w:tc>
        <w:tc>
          <w:tcPr>
            <w:tcW w:w="757"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38</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8</w:t>
            </w:r>
          </w:p>
        </w:tc>
        <w:tc>
          <w:tcPr>
            <w:tcW w:w="757"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39</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100.01</w:t>
            </w:r>
          </w:p>
        </w:tc>
      </w:tr>
      <w:tr>
        <w:tblPrEx>
          <w:tblCellMar>
            <w:top w:w="0" w:type="dxa"/>
            <w:left w:w="108" w:type="dxa"/>
            <w:bottom w:w="0" w:type="dxa"/>
            <w:right w:w="108" w:type="dxa"/>
          </w:tblCellMar>
        </w:tblPrEx>
        <w:trPr>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9</w:t>
            </w:r>
          </w:p>
        </w:tc>
        <w:tc>
          <w:tcPr>
            <w:tcW w:w="757"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40</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43.00</w:t>
            </w:r>
          </w:p>
        </w:tc>
      </w:tr>
      <w:tr>
        <w:tblPrEx>
          <w:tblCellMar>
            <w:top w:w="0" w:type="dxa"/>
            <w:left w:w="108" w:type="dxa"/>
            <w:bottom w:w="0" w:type="dxa"/>
            <w:right w:w="108" w:type="dxa"/>
          </w:tblCellMar>
        </w:tblPrEx>
        <w:trPr>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10</w:t>
            </w:r>
          </w:p>
        </w:tc>
        <w:tc>
          <w:tcPr>
            <w:tcW w:w="757"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41</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11</w:t>
            </w:r>
          </w:p>
        </w:tc>
        <w:tc>
          <w:tcPr>
            <w:tcW w:w="757"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42</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12</w:t>
            </w:r>
          </w:p>
        </w:tc>
        <w:tc>
          <w:tcPr>
            <w:tcW w:w="757"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43</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13</w:t>
            </w:r>
          </w:p>
        </w:tc>
        <w:tc>
          <w:tcPr>
            <w:tcW w:w="757"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44</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14</w:t>
            </w:r>
          </w:p>
        </w:tc>
        <w:tc>
          <w:tcPr>
            <w:tcW w:w="757"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45</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15</w:t>
            </w:r>
          </w:p>
        </w:tc>
        <w:tc>
          <w:tcPr>
            <w:tcW w:w="757"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46</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16</w:t>
            </w:r>
          </w:p>
        </w:tc>
        <w:tc>
          <w:tcPr>
            <w:tcW w:w="757"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47</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2,473.64</w:t>
            </w:r>
          </w:p>
        </w:tc>
      </w:tr>
      <w:tr>
        <w:tblPrEx>
          <w:tblCellMar>
            <w:top w:w="0" w:type="dxa"/>
            <w:left w:w="108" w:type="dxa"/>
            <w:bottom w:w="0" w:type="dxa"/>
            <w:right w:w="108" w:type="dxa"/>
          </w:tblCellMar>
        </w:tblPrEx>
        <w:trPr>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17</w:t>
            </w:r>
          </w:p>
        </w:tc>
        <w:tc>
          <w:tcPr>
            <w:tcW w:w="757"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48</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18</w:t>
            </w:r>
          </w:p>
        </w:tc>
        <w:tc>
          <w:tcPr>
            <w:tcW w:w="757"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49</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19</w:t>
            </w:r>
          </w:p>
        </w:tc>
        <w:tc>
          <w:tcPr>
            <w:tcW w:w="757"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82.55</w:t>
            </w:r>
          </w:p>
        </w:tc>
      </w:tr>
      <w:tr>
        <w:tblPrEx>
          <w:tblCellMar>
            <w:top w:w="0" w:type="dxa"/>
            <w:left w:w="108" w:type="dxa"/>
            <w:bottom w:w="0" w:type="dxa"/>
            <w:right w:w="108" w:type="dxa"/>
          </w:tblCellMar>
        </w:tblPrEx>
        <w:trPr>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20</w:t>
            </w:r>
          </w:p>
        </w:tc>
        <w:tc>
          <w:tcPr>
            <w:tcW w:w="757"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51</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21</w:t>
            </w:r>
          </w:p>
        </w:tc>
        <w:tc>
          <w:tcPr>
            <w:tcW w:w="757"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52</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22</w:t>
            </w:r>
          </w:p>
        </w:tc>
        <w:tc>
          <w:tcPr>
            <w:tcW w:w="757"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18"/>
                <w:szCs w:val="18"/>
                <w:lang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53</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23</w:t>
            </w:r>
          </w:p>
        </w:tc>
        <w:tc>
          <w:tcPr>
            <w:tcW w:w="757"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54</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24</w:t>
            </w:r>
          </w:p>
        </w:tc>
        <w:tc>
          <w:tcPr>
            <w:tcW w:w="757"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55</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25</w:t>
            </w:r>
          </w:p>
        </w:tc>
        <w:tc>
          <w:tcPr>
            <w:tcW w:w="757"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56</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26</w:t>
            </w:r>
          </w:p>
        </w:tc>
        <w:tc>
          <w:tcPr>
            <w:tcW w:w="757"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18"/>
                <w:szCs w:val="18"/>
                <w:lang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57</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lang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27</w:t>
            </w:r>
          </w:p>
        </w:tc>
        <w:tc>
          <w:tcPr>
            <w:tcW w:w="757"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2,699.20</w:t>
            </w:r>
          </w:p>
        </w:tc>
        <w:tc>
          <w:tcPr>
            <w:tcW w:w="132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lang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58</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2,699.20</w:t>
            </w:r>
          </w:p>
        </w:tc>
      </w:tr>
      <w:tr>
        <w:tblPrEx>
          <w:tblCellMar>
            <w:top w:w="0" w:type="dxa"/>
            <w:left w:w="108" w:type="dxa"/>
            <w:bottom w:w="0" w:type="dxa"/>
            <w:right w:w="108" w:type="dxa"/>
          </w:tblCellMar>
        </w:tblPrEx>
        <w:trPr>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28</w:t>
            </w:r>
          </w:p>
        </w:tc>
        <w:tc>
          <w:tcPr>
            <w:tcW w:w="757"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59</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29</w:t>
            </w:r>
          </w:p>
        </w:tc>
        <w:tc>
          <w:tcPr>
            <w:tcW w:w="757"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60</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b/>
                <w:bCs/>
                <w:color w:val="000000"/>
                <w:sz w:val="20"/>
                <w:szCs w:val="20"/>
                <w:lang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lang w:bidi="ar"/>
              </w:rPr>
            </w:pPr>
            <w:r>
              <w:rPr>
                <w:rFonts w:ascii="Times New Roman" w:hAnsi="Times New Roman" w:eastAsia="宋体" w:cs="Times New Roman"/>
                <w:color w:val="000000"/>
                <w:sz w:val="20"/>
                <w:szCs w:val="20"/>
                <w:lang w:bidi="ar"/>
              </w:rPr>
              <w:t>30</w:t>
            </w:r>
          </w:p>
        </w:tc>
        <w:tc>
          <w:tcPr>
            <w:tcW w:w="757"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b/>
                <w:bCs/>
                <w:color w:val="000000"/>
                <w:sz w:val="20"/>
                <w:szCs w:val="20"/>
                <w:lang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lang w:bidi="ar"/>
              </w:rPr>
            </w:pPr>
            <w:r>
              <w:rPr>
                <w:rFonts w:ascii="Times New Roman" w:hAnsi="Times New Roman" w:eastAsia="宋体" w:cs="Times New Roman"/>
                <w:color w:val="000000"/>
                <w:sz w:val="20"/>
                <w:szCs w:val="20"/>
                <w:lang w:bidi="ar"/>
              </w:rPr>
              <w:t>61</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lang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31</w:t>
            </w:r>
          </w:p>
        </w:tc>
        <w:tc>
          <w:tcPr>
            <w:tcW w:w="757"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2,699.20</w:t>
            </w:r>
          </w:p>
        </w:tc>
        <w:tc>
          <w:tcPr>
            <w:tcW w:w="132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lang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62</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2,699.20</w:t>
            </w:r>
          </w:p>
        </w:tc>
      </w:tr>
      <w:tr>
        <w:tblPrEx>
          <w:tblCellMar>
            <w:top w:w="0" w:type="dxa"/>
            <w:left w:w="108" w:type="dxa"/>
            <w:bottom w:w="0" w:type="dxa"/>
            <w:right w:w="108" w:type="dxa"/>
          </w:tblCellMar>
        </w:tblPrEx>
        <w:trPr>
          <w:trHeight w:val="308" w:hRule="atLeast"/>
        </w:trPr>
        <w:tc>
          <w:tcPr>
            <w:tcW w:w="5000" w:type="pct"/>
            <w:gridSpan w:val="8"/>
            <w:tcBorders>
              <w:top w:val="nil"/>
              <w:left w:val="nil"/>
              <w:bottom w:val="nil"/>
              <w:right w:val="nil"/>
            </w:tcBorders>
            <w:noWrap/>
            <w:vAlign w:val="center"/>
          </w:tcPr>
          <w:p>
            <w:pPr>
              <w:widowControl/>
              <w:jc w:val="left"/>
              <w:textAlignment w:val="center"/>
              <w:rPr>
                <w:rFonts w:ascii="方正仿宋_GB2312" w:hAnsi="方正仿宋_GB2312" w:eastAsia="方正仿宋_GB2312" w:cs="方正仿宋_GB2312"/>
                <w:color w:val="000000"/>
                <w:sz w:val="20"/>
                <w:szCs w:val="20"/>
                <w:lang w:bidi="ar"/>
              </w:rPr>
            </w:pPr>
            <w:r>
              <w:rPr>
                <w:rFonts w:hint="eastAsia" w:ascii="方正仿宋_GB2312" w:hAnsi="方正仿宋_GB2312" w:eastAsia="方正仿宋_GB2312" w:cs="方正仿宋_GB2312"/>
                <w:color w:val="000000"/>
                <w:sz w:val="20"/>
                <w:szCs w:val="20"/>
                <w:lang w:bidi="ar"/>
              </w:rPr>
              <w:t>注：1.本表反映</w:t>
            </w:r>
            <w:r>
              <w:rPr>
                <w:rFonts w:hint="eastAsia" w:ascii="方正仿宋_GB2312" w:hAnsi="方正仿宋_GB2312" w:eastAsia="方正仿宋_GB2312" w:cs="方正仿宋_GB2312"/>
                <w:color w:val="000000"/>
                <w:sz w:val="20"/>
                <w:szCs w:val="20"/>
                <w:lang w:eastAsia="zh-CN" w:bidi="ar"/>
              </w:rPr>
              <w:t>单位</w:t>
            </w:r>
            <w:r>
              <w:rPr>
                <w:rFonts w:hint="eastAsia" w:ascii="方正仿宋_GB2312" w:hAnsi="方正仿宋_GB2312" w:eastAsia="方正仿宋_GB2312" w:cs="方正仿宋_GB2312"/>
                <w:color w:val="000000"/>
                <w:sz w:val="20"/>
                <w:szCs w:val="20"/>
                <w:lang w:bidi="ar"/>
              </w:rPr>
              <w:t>本年度的总收支和年末结转结余情况。</w:t>
            </w:r>
          </w:p>
          <w:p>
            <w:pPr>
              <w:widowControl/>
              <w:ind w:firstLine="400" w:firstLineChars="200"/>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2.本套报表金额转换时可能存在尾数误差。</w:t>
            </w:r>
          </w:p>
        </w:tc>
      </w:tr>
    </w:tbl>
    <w:p>
      <w:pPr>
        <w:rPr>
          <w:rFonts w:ascii="仿宋_GB2312" w:hAnsi="宋体" w:eastAsia="仿宋_GB2312"/>
          <w:b/>
          <w:sz w:val="32"/>
          <w:szCs w:val="32"/>
        </w:rPr>
      </w:pPr>
    </w:p>
    <w:p>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9230" w:type="dxa"/>
        <w:jc w:val="center"/>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tblPrEx>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收入决算表</w:t>
            </w:r>
          </w:p>
        </w:tc>
      </w:tr>
      <w:tr>
        <w:tblPrEx>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公开</w:t>
            </w:r>
            <w:r>
              <w:rPr>
                <w:rFonts w:hint="eastAsia" w:ascii="Times New Roman" w:hAnsi="Times New Roman" w:eastAsia="宋体" w:cs="Times New Roman"/>
                <w:color w:val="000000"/>
                <w:sz w:val="20"/>
                <w:szCs w:val="20"/>
              </w:rPr>
              <w:t>02</w:t>
            </w:r>
            <w:r>
              <w:rPr>
                <w:rFonts w:hint="eastAsia" w:ascii="方正仿宋_GB2312" w:hAnsi="方正仿宋_GB2312" w:eastAsia="方正仿宋_GB2312" w:cs="方正仿宋_GB2312"/>
                <w:color w:val="000000"/>
                <w:sz w:val="20"/>
                <w:szCs w:val="20"/>
                <w:lang w:bidi="ar"/>
              </w:rPr>
              <w:t>表</w:t>
            </w:r>
          </w:p>
        </w:tc>
      </w:tr>
      <w:tr>
        <w:tblPrEx>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pP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eastAsia="zh-CN" w:bidi="ar"/>
              </w:rPr>
              <w:t>单位</w:t>
            </w:r>
            <w:r>
              <w:rPr>
                <w:rFonts w:hint="eastAsia" w:ascii="方正仿宋_GB2312" w:hAnsi="方正仿宋_GB2312" w:eastAsia="方正仿宋_GB2312" w:cs="方正仿宋_GB2312"/>
                <w:color w:val="000000"/>
                <w:sz w:val="20"/>
                <w:szCs w:val="20"/>
                <w:lang w:bidi="ar"/>
              </w:rPr>
              <w:t xml:space="preserve">：中共石家庄市委金融委员会办公室                                                                                                         </w:t>
            </w:r>
          </w:p>
        </w:tc>
        <w:tc>
          <w:tcPr>
            <w:tcW w:w="3405" w:type="dxa"/>
            <w:gridSpan w:val="4"/>
            <w:tcBorders>
              <w:top w:val="nil"/>
              <w:left w:val="nil"/>
              <w:bottom w:val="single" w:color="000000" w:themeColor="text1" w:sz="8" w:space="0"/>
              <w:right w:val="nil"/>
            </w:tcBorders>
            <w:noWrap/>
            <w:vAlign w:val="bottom"/>
          </w:tcPr>
          <w:p>
            <w:pPr>
              <w:jc w:val="center"/>
              <w:rPr>
                <w:rFonts w:ascii="方正仿宋_GB2312" w:hAnsi="方正仿宋_GB2312" w:eastAsia="方正仿宋_GB2312" w:cs="方正仿宋_GB2312"/>
                <w:color w:val="000000"/>
                <w:sz w:val="20"/>
                <w:szCs w:val="20"/>
                <w:lang w:bidi="ar"/>
              </w:rPr>
            </w:pPr>
            <w:r>
              <w:rPr>
                <w:rFonts w:ascii="Times New Roman" w:hAnsi="Times New Roman" w:eastAsia="方正仿宋_GB2312" w:cs="Times New Roman"/>
                <w:color w:val="000000"/>
                <w:sz w:val="20"/>
                <w:szCs w:val="20"/>
              </w:rPr>
              <w:t>202</w:t>
            </w:r>
            <w:r>
              <w:rPr>
                <w:rFonts w:hint="eastAsia" w:ascii="Times New Roman" w:hAnsi="Times New Roman" w:eastAsia="方正仿宋_GB2312" w:cs="Times New Roman"/>
                <w:color w:val="000000"/>
                <w:sz w:val="20"/>
                <w:szCs w:val="20"/>
              </w:rPr>
              <w:t>5</w:t>
            </w:r>
            <w:r>
              <w:rPr>
                <w:rFonts w:hint="eastAsia" w:ascii="方正仿宋_GB2312" w:hAnsi="方正仿宋_GB2312" w:eastAsia="方正仿宋_GB2312" w:cs="方正仿宋_GB2312"/>
                <w:color w:val="000000"/>
                <w:sz w:val="20"/>
                <w:szCs w:val="20"/>
                <w:lang w:bidi="ar"/>
              </w:rPr>
              <w:t>年度</w:t>
            </w:r>
          </w:p>
        </w:tc>
        <w:tc>
          <w:tcPr>
            <w:tcW w:w="2588" w:type="dxa"/>
            <w:gridSpan w:val="3"/>
            <w:tcBorders>
              <w:top w:val="nil"/>
              <w:left w:val="nil"/>
              <w:bottom w:val="single" w:color="000000" w:themeColor="text1" w:sz="8" w:space="0"/>
              <w:right w:val="nil"/>
            </w:tcBorders>
            <w:noWrap/>
            <w:vAlign w:val="bottom"/>
          </w:tcPr>
          <w:p>
            <w:pPr>
              <w:jc w:val="right"/>
              <w:rPr>
                <w:rFonts w:ascii="方正仿宋_GB2312" w:hAnsi="方正仿宋_GB2312" w:eastAsia="方正仿宋_GB2312" w:cs="方正仿宋_GB2312"/>
                <w:color w:val="000000"/>
                <w:sz w:val="20"/>
                <w:szCs w:val="20"/>
                <w:lang w:bidi="ar"/>
              </w:rPr>
            </w:pPr>
            <w:r>
              <w:rPr>
                <w:rFonts w:hint="eastAsia" w:ascii="方正仿宋_GB2312" w:hAnsi="方正仿宋_GB2312" w:eastAsia="方正仿宋_GB2312" w:cs="方正仿宋_GB2312"/>
                <w:color w:val="000000"/>
                <w:sz w:val="20"/>
                <w:szCs w:val="20"/>
                <w:lang w:bidi="ar"/>
              </w:rPr>
              <w:t>金额单位：万元</w:t>
            </w:r>
          </w:p>
        </w:tc>
      </w:tr>
      <w:tr>
        <w:tblPrEx>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其他收入</w:t>
            </w:r>
          </w:p>
        </w:tc>
      </w:tr>
      <w:tr>
        <w:tblPrEx>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宋体" w:hAnsi="宋体" w:eastAsia="宋体"/>
                <w:color w:val="000000"/>
                <w:sz w:val="20"/>
                <w:szCs w:val="20"/>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r>
      <w:tr>
        <w:tblPrEx>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方正仿宋_GB2312" w:hAnsi="方正仿宋_GB2312" w:eastAsia="方正仿宋_GB2312" w:cs="方正仿宋_GB2312"/>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r>
      <w:tr>
        <w:tblPrEx>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方正仿宋_GB2312" w:hAnsi="方正仿宋_GB2312" w:eastAsia="方正仿宋_GB2312" w:cs="方正仿宋_GB2312"/>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r>
      <w:tr>
        <w:tblPrEx>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7</w:t>
            </w:r>
          </w:p>
        </w:tc>
      </w:tr>
      <w:tr>
        <w:tblPrEx>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2,699.20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2,699.20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100.01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100.01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100.01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100.01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2080501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行政单位离退休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4.94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4.94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85.85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85.85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2080506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机关事业单位职业年金缴费支出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9.22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9.22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43.00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43.00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43.00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43.00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25.87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25.87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2101103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公务员医疗补助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17.13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17.13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217</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金融支出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2,473.64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2,473.64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21701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金融部门行政支出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1,243.63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1,243.63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2170101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837.46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837.46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2170102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一般行政管理事务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406.17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406.17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21702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金融部门监管支出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39.20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39.20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2170299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金融部门其他监管支出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39.20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39.20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21703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金融发展支出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190.81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190.81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2170399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其他金融发展支出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190.81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190.81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21799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其他金融支出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1,000.00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1,000.00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2179999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其他金融支出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1,000.00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1,000.00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82.55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82.55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82.55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82.55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82.55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82.55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pPr>
              <w:widowControl/>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注：本表反映</w:t>
            </w:r>
            <w:r>
              <w:rPr>
                <w:rFonts w:hint="eastAsia" w:ascii="方正仿宋_GB2312" w:hAnsi="方正仿宋_GB2312" w:eastAsia="方正仿宋_GB2312" w:cs="方正仿宋_GB2312"/>
                <w:color w:val="000000"/>
                <w:sz w:val="20"/>
                <w:szCs w:val="20"/>
                <w:lang w:eastAsia="zh-CN" w:bidi="ar"/>
              </w:rPr>
              <w:t>单位</w:t>
            </w:r>
            <w:r>
              <w:rPr>
                <w:rFonts w:hint="eastAsia" w:ascii="方正仿宋_GB2312" w:hAnsi="方正仿宋_GB2312" w:eastAsia="方正仿宋_GB2312" w:cs="方正仿宋_GB2312"/>
                <w:color w:val="000000"/>
                <w:sz w:val="20"/>
                <w:szCs w:val="20"/>
                <w:lang w:bidi="ar"/>
              </w:rPr>
              <w:t>本年度取得的各项收入情况。</w:t>
            </w:r>
          </w:p>
        </w:tc>
      </w:tr>
    </w:tbl>
    <w:p>
      <w:pPr>
        <w:rPr>
          <w:rFonts w:ascii="仿宋_GB2312" w:hAnsi="宋体" w:eastAsia="仿宋_GB2312"/>
          <w:b/>
          <w:sz w:val="32"/>
          <w:szCs w:val="32"/>
        </w:rPr>
      </w:pPr>
    </w:p>
    <w:p>
      <w:pPr>
        <w:rPr>
          <w:rFonts w:ascii="黑体" w:hAnsi="黑体" w:eastAsia="黑体"/>
          <w:bCs/>
          <w:sz w:val="32"/>
          <w:szCs w:val="32"/>
        </w:rPr>
      </w:pPr>
      <w:r>
        <w:rPr>
          <w:rFonts w:hint="eastAsia" w:ascii="仿宋_GB2312" w:hAnsi="宋体" w:eastAsia="仿宋_GB2312"/>
          <w:b/>
          <w:sz w:val="32"/>
          <w:szCs w:val="32"/>
        </w:rPr>
        <w:br w:type="page"/>
      </w:r>
    </w:p>
    <w:tbl>
      <w:tblPr>
        <w:tblStyle w:val="11"/>
        <w:tblW w:w="5812" w:type="pct"/>
        <w:jc w:val="center"/>
        <w:tblLayout w:type="fixed"/>
        <w:tblCellMar>
          <w:top w:w="0" w:type="dxa"/>
          <w:left w:w="108" w:type="dxa"/>
          <w:bottom w:w="0" w:type="dxa"/>
          <w:right w:w="108" w:type="dxa"/>
        </w:tblCellMar>
      </w:tblPr>
      <w:tblGrid>
        <w:gridCol w:w="1201"/>
        <w:gridCol w:w="1371"/>
        <w:gridCol w:w="1302"/>
        <w:gridCol w:w="147"/>
        <w:gridCol w:w="1153"/>
        <w:gridCol w:w="1300"/>
        <w:gridCol w:w="576"/>
        <w:gridCol w:w="723"/>
        <w:gridCol w:w="1300"/>
        <w:gridCol w:w="1723"/>
      </w:tblGrid>
      <w:tr>
        <w:tblPrEx>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pPr>
              <w:jc w:val="center"/>
              <w:outlineLvl w:val="1"/>
              <w:rPr>
                <w:rFonts w:ascii="宋体" w:hAnsi="宋体" w:eastAsia="宋体"/>
                <w:color w:val="000000"/>
                <w:sz w:val="20"/>
                <w:szCs w:val="20"/>
              </w:rPr>
            </w:pPr>
            <w:r>
              <w:rPr>
                <w:rFonts w:hint="eastAsia" w:ascii="方正仿宋_GB2312" w:hAnsi="方正仿宋_GB2312" w:eastAsia="方正仿宋_GB2312" w:cs="方正仿宋_GB2312"/>
                <w:bCs/>
                <w:sz w:val="32"/>
                <w:szCs w:val="32"/>
              </w:rPr>
              <w:br w:type="page"/>
            </w:r>
            <w:r>
              <w:rPr>
                <w:rFonts w:hint="eastAsia" w:ascii="方正仿宋_GB2312" w:hAnsi="方正仿宋_GB2312" w:eastAsia="方正仿宋_GB2312" w:cs="方正仿宋_GB2312"/>
                <w:bCs/>
                <w:sz w:val="32"/>
                <w:szCs w:val="32"/>
              </w:rPr>
              <w:t>支出决算表</w:t>
            </w:r>
          </w:p>
        </w:tc>
      </w:tr>
      <w:tr>
        <w:tblPrEx>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公开</w:t>
            </w:r>
            <w:r>
              <w:rPr>
                <w:rFonts w:ascii="Times New Roman" w:hAnsi="Times New Roman" w:eastAsia="宋体" w:cs="Times New Roman"/>
                <w:color w:val="000000"/>
                <w:sz w:val="20"/>
                <w:szCs w:val="20"/>
                <w:lang w:bidi="ar"/>
              </w:rPr>
              <w:t>03</w:t>
            </w:r>
            <w:r>
              <w:rPr>
                <w:rFonts w:hint="eastAsia" w:ascii="方正仿宋_GB2312" w:hAnsi="方正仿宋_GB2312" w:eastAsia="方正仿宋_GB2312" w:cs="方正仿宋_GB2312"/>
                <w:color w:val="000000"/>
                <w:sz w:val="20"/>
                <w:szCs w:val="20"/>
                <w:lang w:bidi="ar"/>
              </w:rPr>
              <w:t>表</w:t>
            </w:r>
          </w:p>
        </w:tc>
      </w:tr>
      <w:tr>
        <w:tblPrEx>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pPr>
              <w:widowControl/>
              <w:jc w:val="lef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eastAsia="zh-CN" w:bidi="ar"/>
              </w:rPr>
              <w:t>单位</w:t>
            </w:r>
            <w:r>
              <w:rPr>
                <w:rFonts w:hint="eastAsia" w:ascii="方正仿宋_GB2312" w:hAnsi="方正仿宋_GB2312" w:eastAsia="方正仿宋_GB2312" w:cs="方正仿宋_GB2312"/>
                <w:color w:val="000000"/>
                <w:sz w:val="20"/>
                <w:szCs w:val="20"/>
                <w:lang w:bidi="ar"/>
              </w:rPr>
              <w:t xml:space="preserve">：中共石家庄市委金融委员会办公室 </w:t>
            </w:r>
            <w:r>
              <w:rPr>
                <w:rFonts w:hint="eastAsia" w:asciiTheme="minorEastAsia" w:hAnsiTheme="minorEastAsia" w:cstheme="minorEastAsia"/>
                <w:color w:val="000000"/>
                <w:sz w:val="20"/>
                <w:szCs w:val="20"/>
                <w:lang w:bidi="ar"/>
              </w:rPr>
              <w:t xml:space="preserve">                                                                                                         </w:t>
            </w:r>
          </w:p>
        </w:tc>
        <w:tc>
          <w:tcPr>
            <w:tcW w:w="1403" w:type="pct"/>
            <w:gridSpan w:val="3"/>
            <w:tcBorders>
              <w:top w:val="nil"/>
              <w:left w:val="nil"/>
              <w:bottom w:val="single" w:color="000000" w:themeColor="text1" w:sz="8" w:space="0"/>
              <w:right w:val="nil"/>
            </w:tcBorders>
            <w:noWrap/>
            <w:vAlign w:val="bottom"/>
          </w:tcPr>
          <w:p>
            <w:pPr>
              <w:widowControl/>
              <w:jc w:val="center"/>
              <w:textAlignment w:val="bottom"/>
              <w:rPr>
                <w:rFonts w:asciiTheme="minorEastAsia" w:hAnsiTheme="minorEastAsia" w:cstheme="minorEastAsia"/>
                <w:color w:val="000000"/>
                <w:sz w:val="20"/>
                <w:szCs w:val="20"/>
                <w:lang w:bidi="ar"/>
              </w:rPr>
            </w:pPr>
            <w:r>
              <w:rPr>
                <w:rFonts w:ascii="Times New Roman" w:hAnsi="Times New Roman" w:cs="Times New Roman"/>
                <w:color w:val="000000"/>
                <w:sz w:val="20"/>
                <w:szCs w:val="20"/>
                <w:lang w:bidi="ar"/>
              </w:rPr>
              <w:t>202</w:t>
            </w:r>
            <w:r>
              <w:rPr>
                <w:rFonts w:hint="eastAsia" w:ascii="Times New Roman" w:hAnsi="Times New Roman" w:cs="Times New Roman"/>
                <w:color w:val="000000"/>
                <w:sz w:val="20"/>
                <w:szCs w:val="20"/>
                <w:lang w:bidi="ar"/>
              </w:rPr>
              <w:t>5</w:t>
            </w:r>
            <w:r>
              <w:rPr>
                <w:rFonts w:hint="eastAsia" w:ascii="方正仿宋_GB2312" w:hAnsi="方正仿宋_GB2312" w:eastAsia="方正仿宋_GB2312" w:cs="方正仿宋_GB2312"/>
                <w:color w:val="000000"/>
                <w:sz w:val="20"/>
                <w:szCs w:val="20"/>
                <w:lang w:bidi="ar"/>
              </w:rPr>
              <w:t>年度</w:t>
            </w:r>
          </w:p>
        </w:tc>
        <w:tc>
          <w:tcPr>
            <w:tcW w:w="1734" w:type="pct"/>
            <w:gridSpan w:val="3"/>
            <w:tcBorders>
              <w:top w:val="nil"/>
              <w:left w:val="nil"/>
              <w:bottom w:val="single" w:color="000000" w:themeColor="text1" w:sz="8" w:space="0"/>
              <w:right w:val="nil"/>
            </w:tcBorders>
            <w:noWrap/>
            <w:vAlign w:val="bottom"/>
          </w:tcPr>
          <w:p>
            <w:pPr>
              <w:widowControl/>
              <w:jc w:val="right"/>
              <w:textAlignment w:val="bottom"/>
              <w:rPr>
                <w:rFonts w:asciiTheme="minorEastAsia" w:hAnsiTheme="minorEastAsia" w:cstheme="minorEastAsia"/>
                <w:color w:val="000000"/>
                <w:sz w:val="20"/>
                <w:szCs w:val="20"/>
                <w:lang w:bidi="ar"/>
              </w:rPr>
            </w:pPr>
            <w:r>
              <w:rPr>
                <w:rFonts w:hint="eastAsia" w:ascii="方正仿宋_GB2312" w:hAnsi="方正仿宋_GB2312" w:eastAsia="方正仿宋_GB2312" w:cs="方正仿宋_GB2312"/>
                <w:color w:val="000000"/>
                <w:sz w:val="20"/>
                <w:szCs w:val="20"/>
                <w:lang w:bidi="ar"/>
              </w:rPr>
              <w:t xml:space="preserve"> 金额单位：万元</w:t>
            </w:r>
          </w:p>
        </w:tc>
      </w:tr>
      <w:tr>
        <w:tblPrEx>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对附属单位补助支出</w:t>
            </w:r>
          </w:p>
        </w:tc>
      </w:tr>
      <w:tr>
        <w:tblPrEx>
          <w:tblCellMar>
            <w:top w:w="0" w:type="dxa"/>
            <w:left w:w="108" w:type="dxa"/>
            <w:bottom w:w="0" w:type="dxa"/>
            <w:right w:w="108" w:type="dxa"/>
          </w:tblCellMar>
        </w:tblPrEx>
        <w:trPr>
          <w:trHeight w:val="312"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r>
      <w:tr>
        <w:tblPrEx>
          <w:tblCellMar>
            <w:top w:w="0" w:type="dxa"/>
            <w:left w:w="108" w:type="dxa"/>
            <w:bottom w:w="0" w:type="dxa"/>
            <w:right w:w="108" w:type="dxa"/>
          </w:tblCellMar>
        </w:tblPrEx>
        <w:trPr>
          <w:trHeight w:val="312"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color w:val="000000"/>
                <w:sz w:val="20"/>
                <w:szCs w:val="20"/>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r>
      <w:tr>
        <w:tblPrEx>
          <w:tblCellMar>
            <w:top w:w="0" w:type="dxa"/>
            <w:left w:w="108" w:type="dxa"/>
            <w:bottom w:w="0" w:type="dxa"/>
            <w:right w:w="108" w:type="dxa"/>
          </w:tblCellMar>
        </w:tblPrEx>
        <w:trPr>
          <w:trHeight w:val="312"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color w:val="000000"/>
                <w:sz w:val="20"/>
                <w:szCs w:val="20"/>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r>
      <w:tr>
        <w:tblPrEx>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6</w:t>
            </w:r>
          </w:p>
        </w:tc>
      </w:tr>
      <w:tr>
        <w:tblPrEx>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2,699.20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1,063.03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1,636.18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100.01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100.01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100.01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100.01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行政单位离退休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4.94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4.94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85.85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85.85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2080506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机关事业单位职业年金缴费支出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9.22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9.22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43.00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43.00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43.00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43.00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25.87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25.87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公务员医疗补助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17.13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17.13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217</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金融支出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2,473.64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837.46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1,636.18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21701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金融部门行政支出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1,243.63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837.46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406.17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2170101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837.46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837.46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2170102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一般行政管理事务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406.17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406.17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21702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金融部门监管支出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39.20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39.20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2170299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金融部门其他监管支出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39.20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39.20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21703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金融发展支出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190.81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190.81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2170399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其他金融发展支出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190.81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190.81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21799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其他金融支出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1,000.00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1,000.00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2179999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其他金融支出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1,000.00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1,000.00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82.55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82.55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82.55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82.55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82.55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82.55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pPr>
              <w:widowControl/>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注：本表反映</w:t>
            </w:r>
            <w:r>
              <w:rPr>
                <w:rFonts w:hint="eastAsia" w:ascii="方正仿宋_GB2312" w:hAnsi="方正仿宋_GB2312" w:eastAsia="方正仿宋_GB2312" w:cs="方正仿宋_GB2312"/>
                <w:color w:val="000000"/>
                <w:sz w:val="20"/>
                <w:szCs w:val="20"/>
                <w:lang w:eastAsia="zh-CN" w:bidi="ar"/>
              </w:rPr>
              <w:t>单位</w:t>
            </w:r>
            <w:r>
              <w:rPr>
                <w:rFonts w:hint="eastAsia" w:ascii="方正仿宋_GB2312" w:hAnsi="方正仿宋_GB2312" w:eastAsia="方正仿宋_GB2312" w:cs="方正仿宋_GB2312"/>
                <w:color w:val="000000"/>
                <w:sz w:val="20"/>
                <w:szCs w:val="20"/>
                <w:lang w:bidi="ar"/>
              </w:rPr>
              <w:t>本年度各项支出情况。</w:t>
            </w:r>
          </w:p>
        </w:tc>
      </w:tr>
    </w:tbl>
    <w:p>
      <w:pPr>
        <w:rPr>
          <w:rFonts w:ascii="仿宋_GB2312" w:hAnsi="宋体" w:eastAsia="仿宋_GB2312"/>
          <w:b/>
          <w:sz w:val="32"/>
          <w:szCs w:val="32"/>
        </w:rPr>
      </w:pPr>
    </w:p>
    <w:p>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5000" w:type="pct"/>
        <w:tblInd w:w="0" w:type="dxa"/>
        <w:tblLayout w:type="autofit"/>
        <w:tblCellMar>
          <w:top w:w="0" w:type="dxa"/>
          <w:left w:w="108" w:type="dxa"/>
          <w:bottom w:w="0" w:type="dxa"/>
          <w:right w:w="108" w:type="dxa"/>
        </w:tblCellMar>
      </w:tblPr>
      <w:tblGrid>
        <w:gridCol w:w="1660"/>
        <w:gridCol w:w="319"/>
        <w:gridCol w:w="577"/>
        <w:gridCol w:w="1397"/>
        <w:gridCol w:w="375"/>
        <w:gridCol w:w="329"/>
        <w:gridCol w:w="206"/>
        <w:gridCol w:w="371"/>
        <w:gridCol w:w="1248"/>
        <w:gridCol w:w="1351"/>
        <w:gridCol w:w="1455"/>
      </w:tblGrid>
      <w:tr>
        <w:tblPrEx>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财政拨款收入支出决算总表</w:t>
            </w:r>
          </w:p>
        </w:tc>
      </w:tr>
      <w:tr>
        <w:tblPrEx>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公开</w:t>
            </w:r>
            <w:r>
              <w:rPr>
                <w:rFonts w:ascii="Times New Roman" w:hAnsi="Times New Roman" w:eastAsia="方正仿宋_GB2312" w:cs="Times New Roman"/>
                <w:color w:val="000000"/>
                <w:sz w:val="20"/>
                <w:szCs w:val="20"/>
                <w:lang w:bidi="ar"/>
              </w:rPr>
              <w:t>04</w:t>
            </w:r>
            <w:r>
              <w:rPr>
                <w:rFonts w:hint="eastAsia" w:ascii="方正仿宋_GB2312" w:hAnsi="方正仿宋_GB2312" w:eastAsia="方正仿宋_GB2312" w:cs="方正仿宋_GB2312"/>
                <w:color w:val="000000"/>
                <w:sz w:val="20"/>
                <w:szCs w:val="20"/>
                <w:lang w:bidi="ar"/>
              </w:rPr>
              <w:t>表</w:t>
            </w:r>
          </w:p>
        </w:tc>
      </w:tr>
      <w:tr>
        <w:tblPrEx>
          <w:tblCellMar>
            <w:top w:w="0" w:type="dxa"/>
            <w:left w:w="108" w:type="dxa"/>
            <w:bottom w:w="0" w:type="dxa"/>
            <w:right w:w="108" w:type="dxa"/>
          </w:tblCellMar>
        </w:tblPrEx>
        <w:trPr>
          <w:trHeight w:val="300" w:hRule="atLeast"/>
        </w:trPr>
        <w:tc>
          <w:tcPr>
            <w:tcW w:w="2430" w:type="pct"/>
            <w:gridSpan w:val="4"/>
            <w:tcBorders>
              <w:top w:val="nil"/>
              <w:left w:val="nil"/>
              <w:bottom w:val="single" w:color="000000" w:themeColor="text1" w:sz="8" w:space="0"/>
              <w:right w:val="nil"/>
            </w:tcBorders>
            <w:noWrap/>
            <w:vAlign w:val="bottom"/>
          </w:tcPr>
          <w:p>
            <w:pPr>
              <w:rPr>
                <w:rFonts w:ascii="仿宋" w:hAnsi="仿宋" w:eastAsia="仿宋" w:cs="仿宋"/>
                <w:color w:val="000000"/>
                <w:sz w:val="20"/>
                <w:szCs w:val="20"/>
              </w:rPr>
            </w:pPr>
            <w:r>
              <w:rPr>
                <w:rFonts w:hint="eastAsia" w:ascii="方正仿宋_GB2312" w:hAnsi="方正仿宋_GB2312" w:eastAsia="方正仿宋_GB2312" w:cs="方正仿宋_GB2312"/>
                <w:color w:val="000000"/>
                <w:sz w:val="20"/>
                <w:szCs w:val="20"/>
                <w:lang w:eastAsia="zh-CN" w:bidi="ar"/>
              </w:rPr>
              <w:t>单位</w:t>
            </w:r>
            <w:r>
              <w:rPr>
                <w:rFonts w:hint="eastAsia" w:ascii="方正仿宋_GB2312" w:hAnsi="方正仿宋_GB2312" w:eastAsia="方正仿宋_GB2312" w:cs="方正仿宋_GB2312"/>
                <w:color w:val="000000"/>
                <w:sz w:val="20"/>
                <w:szCs w:val="20"/>
                <w:lang w:bidi="ar"/>
              </w:rPr>
              <w:t xml:space="preserve">：中共石家庄市委金融委员会办公室 </w:t>
            </w:r>
            <w:r>
              <w:rPr>
                <w:rFonts w:hint="eastAsia" w:asciiTheme="minorEastAsia" w:hAnsiTheme="minorEastAsia" w:cstheme="minorEastAsia"/>
                <w:color w:val="000000"/>
                <w:sz w:val="20"/>
                <w:szCs w:val="20"/>
                <w:lang w:bidi="ar"/>
              </w:rPr>
              <w:t xml:space="preserve">                                                                                                   </w:t>
            </w:r>
          </w:p>
        </w:tc>
        <w:tc>
          <w:tcPr>
            <w:tcW w:w="648" w:type="pct"/>
            <w:gridSpan w:val="3"/>
            <w:tcBorders>
              <w:top w:val="nil"/>
              <w:left w:val="nil"/>
              <w:bottom w:val="single" w:color="000000" w:themeColor="text1" w:sz="8" w:space="0"/>
              <w:right w:val="nil"/>
            </w:tcBorders>
            <w:noWrap/>
            <w:vAlign w:val="bottom"/>
          </w:tcPr>
          <w:p>
            <w:pPr>
              <w:jc w:val="center"/>
              <w:rPr>
                <w:rFonts w:asciiTheme="minorEastAsia" w:hAnsiTheme="minorEastAsia" w:cstheme="minorEastAsia"/>
                <w:color w:val="000000"/>
                <w:sz w:val="20"/>
                <w:szCs w:val="20"/>
                <w:lang w:bidi="ar"/>
              </w:rPr>
            </w:pPr>
            <w:r>
              <w:rPr>
                <w:rFonts w:ascii="Times New Roman" w:hAnsi="Times New Roman" w:cs="Times New Roman"/>
                <w:color w:val="000000"/>
                <w:sz w:val="20"/>
                <w:szCs w:val="20"/>
                <w:lang w:bidi="ar"/>
              </w:rPr>
              <w:t>202</w:t>
            </w:r>
            <w:r>
              <w:rPr>
                <w:rFonts w:hint="eastAsia" w:ascii="Times New Roman" w:hAnsi="Times New Roman" w:cs="Times New Roman"/>
                <w:color w:val="000000"/>
                <w:sz w:val="20"/>
                <w:szCs w:val="20"/>
                <w:lang w:bidi="ar"/>
              </w:rPr>
              <w:t>5</w:t>
            </w:r>
            <w:r>
              <w:rPr>
                <w:rFonts w:hint="eastAsia" w:ascii="方正仿宋_GB2312" w:hAnsi="方正仿宋_GB2312" w:eastAsia="方正仿宋_GB2312" w:cs="方正仿宋_GB2312"/>
                <w:color w:val="000000"/>
                <w:sz w:val="20"/>
                <w:szCs w:val="20"/>
                <w:lang w:bidi="ar"/>
              </w:rPr>
              <w:t>年度</w:t>
            </w:r>
          </w:p>
        </w:tc>
        <w:tc>
          <w:tcPr>
            <w:tcW w:w="1920" w:type="pct"/>
            <w:gridSpan w:val="4"/>
            <w:tcBorders>
              <w:top w:val="nil"/>
              <w:left w:val="nil"/>
              <w:bottom w:val="single" w:color="000000" w:themeColor="text1" w:sz="8" w:space="0"/>
              <w:right w:val="nil"/>
            </w:tcBorders>
            <w:noWrap/>
            <w:vAlign w:val="bottom"/>
          </w:tcPr>
          <w:p>
            <w:pPr>
              <w:jc w:val="right"/>
              <w:rPr>
                <w:rFonts w:asciiTheme="minorEastAsia" w:hAnsiTheme="minorEastAsia" w:cstheme="minorEastAsia"/>
                <w:color w:val="000000"/>
                <w:sz w:val="20"/>
                <w:szCs w:val="20"/>
                <w:lang w:bidi="ar"/>
              </w:rPr>
            </w:pPr>
            <w:r>
              <w:rPr>
                <w:rFonts w:hint="eastAsia" w:ascii="方正仿宋_GB2312" w:hAnsi="方正仿宋_GB2312" w:eastAsia="方正仿宋_GB2312" w:cs="方正仿宋_GB2312"/>
                <w:color w:val="000000"/>
                <w:sz w:val="20"/>
                <w:szCs w:val="20"/>
                <w:lang w:bidi="ar"/>
              </w:rPr>
              <w:t>金额单位：万元</w:t>
            </w:r>
          </w:p>
        </w:tc>
      </w:tr>
      <w:tr>
        <w:tblPrEx>
          <w:tblCellMar>
            <w:top w:w="0" w:type="dxa"/>
            <w:left w:w="108" w:type="dxa"/>
            <w:bottom w:w="0" w:type="dxa"/>
            <w:right w:w="108" w:type="dxa"/>
          </w:tblCellMar>
        </w:tblPrEx>
        <w:trPr>
          <w:trHeight w:val="308" w:hRule="atLeast"/>
        </w:trPr>
        <w:tc>
          <w:tcPr>
            <w:tcW w:w="172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收入</w:t>
            </w:r>
          </w:p>
        </w:tc>
        <w:tc>
          <w:tcPr>
            <w:tcW w:w="3277"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支出</w:t>
            </w:r>
          </w:p>
        </w:tc>
      </w:tr>
      <w:tr>
        <w:tblPrEx>
          <w:tblCellMar>
            <w:top w:w="0" w:type="dxa"/>
            <w:left w:w="108" w:type="dxa"/>
            <w:bottom w:w="0" w:type="dxa"/>
            <w:right w:w="108" w:type="dxa"/>
          </w:tblCellMar>
        </w:tblPrEx>
        <w:trPr>
          <w:trHeight w:val="312" w:hRule="atLeast"/>
        </w:trPr>
        <w:tc>
          <w:tcPr>
            <w:tcW w:w="8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项    目</w:t>
            </w:r>
          </w:p>
        </w:tc>
        <w:tc>
          <w:tcPr>
            <w:tcW w:w="26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行次</w:t>
            </w:r>
          </w:p>
        </w:tc>
        <w:tc>
          <w:tcPr>
            <w:tcW w:w="61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金额</w:t>
            </w:r>
          </w:p>
        </w:tc>
        <w:tc>
          <w:tcPr>
            <w:tcW w:w="89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项目</w:t>
            </w:r>
          </w:p>
        </w:tc>
        <w:tc>
          <w:tcPr>
            <w:tcW w:w="26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行次</w:t>
            </w:r>
          </w:p>
        </w:tc>
        <w:tc>
          <w:tcPr>
            <w:tcW w:w="551"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政府性基金预算财政拨款</w:t>
            </w:r>
          </w:p>
        </w:tc>
        <w:tc>
          <w:tcPr>
            <w:tcW w:w="524"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国有资本经营预算财政拨款</w:t>
            </w:r>
          </w:p>
        </w:tc>
      </w:tr>
      <w:tr>
        <w:tblPrEx>
          <w:tblCellMar>
            <w:top w:w="0" w:type="dxa"/>
            <w:left w:w="108" w:type="dxa"/>
            <w:bottom w:w="0" w:type="dxa"/>
            <w:right w:w="108" w:type="dxa"/>
          </w:tblCellMar>
        </w:tblPrEx>
        <w:trPr>
          <w:trHeight w:val="312" w:hRule="atLeast"/>
        </w:trPr>
        <w:tc>
          <w:tcPr>
            <w:tcW w:w="8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26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61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89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26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551"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p>
        </w:tc>
        <w:tc>
          <w:tcPr>
            <w:tcW w:w="524"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p>
        </w:tc>
      </w:tr>
      <w:tr>
        <w:tblPrEx>
          <w:tblCellMar>
            <w:top w:w="0" w:type="dxa"/>
            <w:left w:w="108" w:type="dxa"/>
            <w:bottom w:w="0" w:type="dxa"/>
            <w:right w:w="108" w:type="dxa"/>
          </w:tblCellMar>
        </w:tblPrEx>
        <w:trPr>
          <w:trHeight w:val="308"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栏    次</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color w:val="000000"/>
                <w:sz w:val="20"/>
                <w:szCs w:val="20"/>
              </w:rPr>
            </w:pP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1</w:t>
            </w:r>
          </w:p>
        </w:tc>
        <w:tc>
          <w:tcPr>
            <w:tcW w:w="89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栏    次</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color w:val="000000"/>
                <w:sz w:val="20"/>
                <w:szCs w:val="20"/>
              </w:rPr>
            </w:pPr>
          </w:p>
        </w:tc>
        <w:tc>
          <w:tcPr>
            <w:tcW w:w="5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4</w:t>
            </w: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5</w:t>
            </w:r>
          </w:p>
        </w:tc>
      </w:tr>
      <w:tr>
        <w:tblPrEx>
          <w:tblCellMar>
            <w:top w:w="0" w:type="dxa"/>
            <w:left w:w="108" w:type="dxa"/>
            <w:bottom w:w="0" w:type="dxa"/>
            <w:right w:w="108" w:type="dxa"/>
          </w:tblCellMar>
        </w:tblPrEx>
        <w:trPr>
          <w:trHeight w:val="308"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一、一般公共预算财政拨款</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2,699.20</w:t>
            </w:r>
          </w:p>
        </w:tc>
        <w:tc>
          <w:tcPr>
            <w:tcW w:w="89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一、一般公共服务支出</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33</w:t>
            </w:r>
          </w:p>
        </w:tc>
        <w:tc>
          <w:tcPr>
            <w:tcW w:w="5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二、政府性基金预算财政拨款</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二、外交支出</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34</w:t>
            </w:r>
          </w:p>
        </w:tc>
        <w:tc>
          <w:tcPr>
            <w:tcW w:w="5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三、国有资本经营预算财政拨款</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三、国防支出</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35</w:t>
            </w:r>
          </w:p>
        </w:tc>
        <w:tc>
          <w:tcPr>
            <w:tcW w:w="5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四、公共安全支出</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36</w:t>
            </w:r>
          </w:p>
        </w:tc>
        <w:tc>
          <w:tcPr>
            <w:tcW w:w="5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五、教育支出</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37</w:t>
            </w:r>
          </w:p>
        </w:tc>
        <w:tc>
          <w:tcPr>
            <w:tcW w:w="5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6</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六、科学技术支出</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38</w:t>
            </w:r>
          </w:p>
        </w:tc>
        <w:tc>
          <w:tcPr>
            <w:tcW w:w="5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7</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七、文化旅游体育与传媒支出</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39</w:t>
            </w:r>
          </w:p>
        </w:tc>
        <w:tc>
          <w:tcPr>
            <w:tcW w:w="5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8</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八、社会保障和就业支出</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40</w:t>
            </w:r>
          </w:p>
        </w:tc>
        <w:tc>
          <w:tcPr>
            <w:tcW w:w="5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100.01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100.01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9</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九、卫生健康支出</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41</w:t>
            </w:r>
          </w:p>
        </w:tc>
        <w:tc>
          <w:tcPr>
            <w:tcW w:w="5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43.00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43.00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10</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十、节能环保支出</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42</w:t>
            </w:r>
          </w:p>
        </w:tc>
        <w:tc>
          <w:tcPr>
            <w:tcW w:w="5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11</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十一、城乡社区支出</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43</w:t>
            </w:r>
          </w:p>
        </w:tc>
        <w:tc>
          <w:tcPr>
            <w:tcW w:w="5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12</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十二、农林水支出</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44</w:t>
            </w:r>
          </w:p>
        </w:tc>
        <w:tc>
          <w:tcPr>
            <w:tcW w:w="5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13</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十三、交通运输支出</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45</w:t>
            </w:r>
          </w:p>
        </w:tc>
        <w:tc>
          <w:tcPr>
            <w:tcW w:w="5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14</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十四、资源勘探工业信息等支出</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46</w:t>
            </w:r>
          </w:p>
        </w:tc>
        <w:tc>
          <w:tcPr>
            <w:tcW w:w="5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15</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十五、商业服务业等支出</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47</w:t>
            </w:r>
          </w:p>
        </w:tc>
        <w:tc>
          <w:tcPr>
            <w:tcW w:w="5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666"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16</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十六、金融支出</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48</w:t>
            </w:r>
          </w:p>
        </w:tc>
        <w:tc>
          <w:tcPr>
            <w:tcW w:w="5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2,473.64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2,473.64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441"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17</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十七、援助其他地区支出</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49</w:t>
            </w:r>
          </w:p>
        </w:tc>
        <w:tc>
          <w:tcPr>
            <w:tcW w:w="5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18</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十八、自然资源海洋气象等支出</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50</w:t>
            </w:r>
          </w:p>
        </w:tc>
        <w:tc>
          <w:tcPr>
            <w:tcW w:w="5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19</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十九、住房保障支出</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51</w:t>
            </w:r>
          </w:p>
        </w:tc>
        <w:tc>
          <w:tcPr>
            <w:tcW w:w="5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82.55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82.55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20</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二十、粮油物资储备支出</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52</w:t>
            </w:r>
          </w:p>
        </w:tc>
        <w:tc>
          <w:tcPr>
            <w:tcW w:w="5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21</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二十一、国有资本经营预算支出</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53</w:t>
            </w:r>
          </w:p>
        </w:tc>
        <w:tc>
          <w:tcPr>
            <w:tcW w:w="5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22</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二十二、灾害防治及应急管理支出</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54</w:t>
            </w:r>
          </w:p>
        </w:tc>
        <w:tc>
          <w:tcPr>
            <w:tcW w:w="5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23</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二十三、其他支出</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55</w:t>
            </w:r>
          </w:p>
        </w:tc>
        <w:tc>
          <w:tcPr>
            <w:tcW w:w="5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24</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二十四、债务还本支出</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56</w:t>
            </w:r>
          </w:p>
        </w:tc>
        <w:tc>
          <w:tcPr>
            <w:tcW w:w="5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b/>
                <w:bCs/>
                <w:color w:val="000000"/>
                <w:sz w:val="20"/>
                <w:szCs w:val="20"/>
              </w:rPr>
            </w:pP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25</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二十五、债务付息支出</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57</w:t>
            </w:r>
          </w:p>
        </w:tc>
        <w:tc>
          <w:tcPr>
            <w:tcW w:w="5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color w:val="000000"/>
                <w:sz w:val="20"/>
                <w:szCs w:val="20"/>
              </w:rPr>
            </w:pP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26</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二十六、抗疫特别国债安排的支出</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58</w:t>
            </w:r>
          </w:p>
        </w:tc>
        <w:tc>
          <w:tcPr>
            <w:tcW w:w="5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lang w:bidi="ar"/>
              </w:rPr>
              <w:t>本年收入合计</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27</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2,699.20</w:t>
            </w:r>
          </w:p>
        </w:tc>
        <w:tc>
          <w:tcPr>
            <w:tcW w:w="89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lang w:bidi="ar"/>
              </w:rPr>
              <w:t>本年支出合计</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59</w:t>
            </w:r>
          </w:p>
        </w:tc>
        <w:tc>
          <w:tcPr>
            <w:tcW w:w="5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2,699.20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2,699.20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年初财政拨款结转和结余</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28</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年末财政拨款结转和结余</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60</w:t>
            </w:r>
          </w:p>
        </w:tc>
        <w:tc>
          <w:tcPr>
            <w:tcW w:w="5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一、一般公共预算财政拨款</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29</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61</w:t>
            </w:r>
          </w:p>
        </w:tc>
        <w:tc>
          <w:tcPr>
            <w:tcW w:w="5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二、政府性基金预算财政拨款</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30</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62</w:t>
            </w:r>
          </w:p>
        </w:tc>
        <w:tc>
          <w:tcPr>
            <w:tcW w:w="5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三、国有资本经营预算财政拨款</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31</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63</w:t>
            </w:r>
          </w:p>
        </w:tc>
        <w:tc>
          <w:tcPr>
            <w:tcW w:w="5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lang w:bidi="ar"/>
              </w:rPr>
              <w:t>总计</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32</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2,699.20</w:t>
            </w:r>
          </w:p>
        </w:tc>
        <w:tc>
          <w:tcPr>
            <w:tcW w:w="89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lang w:bidi="ar"/>
              </w:rPr>
              <w:t>总计</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64</w:t>
            </w:r>
          </w:p>
        </w:tc>
        <w:tc>
          <w:tcPr>
            <w:tcW w:w="5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2,699.20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cs="Times New Roman"/>
                <w:sz w:val="20"/>
                <w:szCs w:val="20"/>
              </w:rPr>
            </w:pPr>
          </w:p>
          <w:p>
            <w:pPr>
              <w:jc w:val="right"/>
              <w:rPr>
                <w:rFonts w:ascii="Times New Roman" w:hAnsi="Times New Roman" w:cs="Times New Roman"/>
                <w:sz w:val="20"/>
                <w:szCs w:val="20"/>
              </w:rPr>
            </w:pPr>
            <w:r>
              <w:rPr>
                <w:rFonts w:ascii="Times New Roman" w:hAnsi="Times New Roman" w:cs="Times New Roman"/>
                <w:sz w:val="20"/>
                <w:szCs w:val="20"/>
              </w:rPr>
              <w:t>2,699.20</w:t>
            </w:r>
          </w:p>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pPr>
              <w:widowControl/>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注：本表反映</w:t>
            </w:r>
            <w:r>
              <w:rPr>
                <w:rFonts w:hint="eastAsia" w:ascii="方正仿宋_GB2312" w:hAnsi="方正仿宋_GB2312" w:eastAsia="方正仿宋_GB2312" w:cs="方正仿宋_GB2312"/>
                <w:color w:val="000000"/>
                <w:sz w:val="20"/>
                <w:szCs w:val="20"/>
                <w:lang w:eastAsia="zh-CN" w:bidi="ar"/>
              </w:rPr>
              <w:t>单位</w:t>
            </w:r>
            <w:r>
              <w:rPr>
                <w:rFonts w:hint="eastAsia" w:ascii="方正仿宋_GB2312" w:hAnsi="方正仿宋_GB2312" w:eastAsia="方正仿宋_GB2312" w:cs="方正仿宋_GB2312"/>
                <w:color w:val="000000"/>
                <w:sz w:val="20"/>
                <w:szCs w:val="20"/>
                <w:lang w:bidi="ar"/>
              </w:rPr>
              <w:t>本年度一般公共预算财政拨款、政府性基金预算财政拨款和国有资本经营预算财政拨款的总收支和年末结转结余情况。</w:t>
            </w:r>
          </w:p>
        </w:tc>
      </w:tr>
    </w:tbl>
    <w:p>
      <w:pPr>
        <w:rPr>
          <w:rFonts w:ascii="仿宋_GB2312" w:hAnsi="宋体" w:eastAsia="仿宋_GB2312"/>
          <w:b/>
          <w:sz w:val="32"/>
          <w:szCs w:val="32"/>
        </w:rPr>
      </w:pPr>
    </w:p>
    <w:p>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5348" w:type="pct"/>
        <w:tblInd w:w="-657" w:type="dxa"/>
        <w:tblLayout w:type="autofit"/>
        <w:tblCellMar>
          <w:top w:w="0" w:type="dxa"/>
          <w:left w:w="108" w:type="dxa"/>
          <w:bottom w:w="0" w:type="dxa"/>
          <w:right w:w="108" w:type="dxa"/>
        </w:tblCellMar>
      </w:tblPr>
      <w:tblGrid>
        <w:gridCol w:w="1080"/>
        <w:gridCol w:w="3416"/>
        <w:gridCol w:w="490"/>
        <w:gridCol w:w="1177"/>
        <w:gridCol w:w="1247"/>
        <w:gridCol w:w="420"/>
        <w:gridCol w:w="2104"/>
      </w:tblGrid>
      <w:tr>
        <w:tblPrEx>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一般公共预算财政拨款支出决算表</w:t>
            </w:r>
          </w:p>
        </w:tc>
      </w:tr>
      <w:tr>
        <w:tblPrEx>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公开</w:t>
            </w:r>
            <w:r>
              <w:rPr>
                <w:rFonts w:ascii="Times New Roman" w:hAnsi="Times New Roman" w:eastAsia="方正仿宋_GB2312" w:cs="Times New Roman"/>
                <w:color w:val="000000"/>
                <w:sz w:val="20"/>
                <w:szCs w:val="20"/>
                <w:lang w:bidi="ar"/>
              </w:rPr>
              <w:t>05</w:t>
            </w:r>
            <w:r>
              <w:rPr>
                <w:rFonts w:hint="eastAsia" w:ascii="方正仿宋_GB2312" w:hAnsi="方正仿宋_GB2312" w:eastAsia="方正仿宋_GB2312" w:cs="方正仿宋_GB2312"/>
                <w:color w:val="000000"/>
                <w:sz w:val="20"/>
                <w:szCs w:val="20"/>
                <w:lang w:bidi="ar"/>
              </w:rPr>
              <w:t>表</w:t>
            </w:r>
          </w:p>
        </w:tc>
      </w:tr>
      <w:tr>
        <w:tblPrEx>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pPr>
              <w:widowControl/>
              <w:jc w:val="lef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eastAsia="zh-CN" w:bidi="ar"/>
              </w:rPr>
              <w:t>单位</w:t>
            </w:r>
            <w:r>
              <w:rPr>
                <w:rFonts w:hint="eastAsia" w:ascii="方正仿宋_GB2312" w:hAnsi="方正仿宋_GB2312" w:eastAsia="方正仿宋_GB2312" w:cs="方正仿宋_GB2312"/>
                <w:color w:val="000000"/>
                <w:sz w:val="20"/>
                <w:szCs w:val="20"/>
                <w:lang w:bidi="ar"/>
              </w:rPr>
              <w:t>：中共石家庄市委金融委员会办公室</w:t>
            </w:r>
          </w:p>
        </w:tc>
        <w:tc>
          <w:tcPr>
            <w:tcW w:w="1541" w:type="pct"/>
            <w:gridSpan w:val="2"/>
            <w:tcBorders>
              <w:top w:val="nil"/>
              <w:left w:val="nil"/>
              <w:bottom w:val="single" w:color="000000" w:themeColor="text1" w:sz="8" w:space="0"/>
              <w:right w:val="nil"/>
            </w:tcBorders>
            <w:noWrap/>
            <w:vAlign w:val="bottom"/>
          </w:tcPr>
          <w:p>
            <w:pPr>
              <w:widowControl/>
              <w:jc w:val="center"/>
              <w:textAlignment w:val="bottom"/>
              <w:rPr>
                <w:rFonts w:asciiTheme="minorEastAsia" w:hAnsiTheme="minorEastAsia" w:cstheme="minorEastAsia"/>
                <w:color w:val="000000"/>
                <w:sz w:val="20"/>
                <w:szCs w:val="20"/>
                <w:lang w:bidi="ar"/>
              </w:rPr>
            </w:pPr>
            <w:r>
              <w:rPr>
                <w:rFonts w:ascii="Times New Roman" w:hAnsi="Times New Roman" w:cs="Times New Roman"/>
                <w:color w:val="000000"/>
                <w:sz w:val="20"/>
                <w:szCs w:val="20"/>
                <w:lang w:bidi="ar"/>
              </w:rPr>
              <w:t>202</w:t>
            </w:r>
            <w:r>
              <w:rPr>
                <w:rFonts w:hint="eastAsia" w:ascii="Times New Roman" w:hAnsi="Times New Roman" w:cs="Times New Roman"/>
                <w:color w:val="000000"/>
                <w:sz w:val="20"/>
                <w:szCs w:val="20"/>
                <w:lang w:bidi="ar"/>
              </w:rPr>
              <w:t>5</w:t>
            </w:r>
            <w:r>
              <w:rPr>
                <w:rFonts w:hint="eastAsia" w:ascii="方正仿宋_GB2312" w:hAnsi="方正仿宋_GB2312" w:eastAsia="方正仿宋_GB2312" w:cs="方正仿宋_GB2312"/>
                <w:color w:val="000000"/>
                <w:sz w:val="20"/>
                <w:szCs w:val="20"/>
                <w:lang w:bidi="ar"/>
              </w:rPr>
              <w:t>年度</w:t>
            </w:r>
          </w:p>
        </w:tc>
        <w:tc>
          <w:tcPr>
            <w:tcW w:w="1590" w:type="pct"/>
            <w:gridSpan w:val="2"/>
            <w:tcBorders>
              <w:top w:val="nil"/>
              <w:left w:val="nil"/>
              <w:bottom w:val="single" w:color="000000" w:themeColor="text1" w:sz="8" w:space="0"/>
              <w:right w:val="nil"/>
            </w:tcBorders>
            <w:noWrap/>
            <w:vAlign w:val="bottom"/>
          </w:tcPr>
          <w:p>
            <w:pPr>
              <w:widowControl/>
              <w:jc w:val="right"/>
              <w:textAlignment w:val="bottom"/>
              <w:rPr>
                <w:rFonts w:ascii="方正仿宋_GB2312" w:hAnsi="方正仿宋_GB2312" w:eastAsia="方正仿宋_GB2312" w:cs="方正仿宋_GB2312"/>
                <w:color w:val="000000"/>
                <w:sz w:val="20"/>
                <w:szCs w:val="20"/>
                <w:lang w:bidi="ar"/>
              </w:rPr>
            </w:pPr>
            <w:r>
              <w:rPr>
                <w:rFonts w:hint="eastAsia" w:ascii="方正仿宋_GB2312" w:hAnsi="方正仿宋_GB2312" w:eastAsia="方正仿宋_GB2312" w:cs="方正仿宋_GB2312"/>
                <w:color w:val="000000"/>
                <w:sz w:val="20"/>
                <w:szCs w:val="20"/>
                <w:lang w:bidi="ar"/>
              </w:rPr>
              <w:t>金额单位：万元</w:t>
            </w:r>
          </w:p>
        </w:tc>
      </w:tr>
      <w:tr>
        <w:tblPrEx>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本年支出</w:t>
            </w:r>
          </w:p>
        </w:tc>
      </w:tr>
      <w:tr>
        <w:tblPrEx>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项目支出</w:t>
            </w:r>
          </w:p>
        </w:tc>
      </w:tr>
      <w:tr>
        <w:tblPrEx>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center"/>
              <w:rPr>
                <w:rFonts w:ascii="宋体" w:hAnsi="宋体" w:eastAsia="宋体"/>
                <w:color w:val="000000"/>
                <w:sz w:val="20"/>
                <w:szCs w:val="20"/>
              </w:rPr>
            </w:pPr>
          </w:p>
        </w:tc>
      </w:tr>
      <w:tr>
        <w:tblPrEx>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center"/>
              <w:rPr>
                <w:rFonts w:ascii="宋体" w:hAnsi="宋体" w:eastAsia="宋体"/>
                <w:color w:val="000000"/>
                <w:sz w:val="20"/>
                <w:szCs w:val="20"/>
              </w:rPr>
            </w:pPr>
          </w:p>
        </w:tc>
      </w:tr>
      <w:tr>
        <w:tblPrEx>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w:t>
            </w:r>
          </w:p>
        </w:tc>
      </w:tr>
      <w:tr>
        <w:tblPrEx>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2,699.20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1,063.03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1,636.18</w:t>
            </w: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100.01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100.01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100.01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100.01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行政单位离退休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4.94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4.94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85.85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85.85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2080506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机关事业单位职业年金缴费支出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9.22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9.22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43.00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43.00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43.00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43.00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25.87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25.87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公务员医疗补助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17.13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17.13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217</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金融支出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2,473.64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837.46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1,636.18</w:t>
            </w: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21701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金融部门行政支出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1,243.63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837.46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406.17</w:t>
            </w: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2170101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837.46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837.46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2170102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一般行政管理事务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406.17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406.17</w:t>
            </w: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21702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金融部门监管支出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39.20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39.20</w:t>
            </w: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2170299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金融部门其他监管支出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39.20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39.20</w:t>
            </w: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21703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金融发展支出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190.81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190.81</w:t>
            </w: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2170399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其他金融发展支出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190.81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190.81</w:t>
            </w: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21799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其他金融支出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1,000.00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1,000.00</w:t>
            </w: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2179999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其他金融支出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1,000.00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1,000.00</w:t>
            </w: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82.55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82.55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82.55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82.55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82.55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82.55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pPr>
              <w:widowControl/>
              <w:jc w:val="left"/>
              <w:textAlignment w:val="center"/>
              <w:rPr>
                <w:rFonts w:ascii="方正仿宋_GB2312" w:hAnsi="方正仿宋_GB2312" w:eastAsia="方正仿宋_GB2312" w:cs="方正仿宋_GB2312"/>
                <w:color w:val="000000"/>
                <w:sz w:val="20"/>
                <w:szCs w:val="20"/>
                <w:lang w:bidi="ar"/>
              </w:rPr>
            </w:pPr>
            <w:r>
              <w:rPr>
                <w:rFonts w:hint="eastAsia" w:ascii="方正仿宋_GB2312" w:hAnsi="方正仿宋_GB2312" w:eastAsia="方正仿宋_GB2312" w:cs="方正仿宋_GB2312"/>
                <w:color w:val="000000"/>
                <w:sz w:val="20"/>
                <w:szCs w:val="20"/>
                <w:lang w:bidi="ar"/>
              </w:rPr>
              <w:t>注：本表反映</w:t>
            </w:r>
            <w:r>
              <w:rPr>
                <w:rFonts w:hint="eastAsia" w:ascii="方正仿宋_GB2312" w:hAnsi="方正仿宋_GB2312" w:eastAsia="方正仿宋_GB2312" w:cs="方正仿宋_GB2312"/>
                <w:color w:val="000000"/>
                <w:sz w:val="20"/>
                <w:szCs w:val="20"/>
                <w:lang w:eastAsia="zh-CN" w:bidi="ar"/>
              </w:rPr>
              <w:t>单位</w:t>
            </w:r>
            <w:r>
              <w:rPr>
                <w:rFonts w:hint="eastAsia" w:ascii="方正仿宋_GB2312" w:hAnsi="方正仿宋_GB2312" w:eastAsia="方正仿宋_GB2312" w:cs="方正仿宋_GB2312"/>
                <w:color w:val="000000"/>
                <w:sz w:val="20"/>
                <w:szCs w:val="20"/>
                <w:lang w:bidi="ar"/>
              </w:rPr>
              <w:t>本年度一般公共预算财政拨款支出情况。</w:t>
            </w:r>
          </w:p>
        </w:tc>
      </w:tr>
    </w:tbl>
    <w:p>
      <w:pPr>
        <w:rPr>
          <w:rFonts w:ascii="仿宋_GB2312" w:hAnsi="宋体" w:eastAsia="仿宋_GB2312"/>
          <w:b/>
          <w:sz w:val="32"/>
          <w:szCs w:val="32"/>
        </w:rPr>
      </w:pPr>
    </w:p>
    <w:p>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11601" w:type="dxa"/>
        <w:jc w:val="center"/>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tblPrEx>
          <w:tblCellMar>
            <w:top w:w="0" w:type="dxa"/>
            <w:left w:w="108" w:type="dxa"/>
            <w:bottom w:w="0" w:type="dxa"/>
            <w:right w:w="108" w:type="dxa"/>
          </w:tblCellMar>
        </w:tblPrEx>
        <w:trPr>
          <w:jc w:val="center"/>
        </w:trPr>
        <w:tc>
          <w:tcPr>
            <w:tcW w:w="11601" w:type="dxa"/>
            <w:gridSpan w:val="10"/>
            <w:tcBorders>
              <w:top w:val="nil"/>
              <w:left w:val="nil"/>
              <w:bottom w:val="nil"/>
              <w:right w:val="nil"/>
            </w:tcBorders>
            <w:shd w:val="clear" w:color="auto" w:fill="auto"/>
            <w:noWrap/>
            <w:vAlign w:val="bottom"/>
          </w:tcPr>
          <w:p>
            <w:pPr>
              <w:widowControl/>
              <w:snapToGrid w:val="0"/>
              <w:jc w:val="center"/>
              <w:textAlignment w:val="bottom"/>
              <w:rPr>
                <w:rFonts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lang w:bidi="ar"/>
              </w:rPr>
              <w:t>一般公共预算财政拨款基本支出决算明细表</w:t>
            </w:r>
          </w:p>
        </w:tc>
      </w:tr>
      <w:tr>
        <w:tblPrEx>
          <w:tblCellMar>
            <w:top w:w="0" w:type="dxa"/>
            <w:left w:w="108" w:type="dxa"/>
            <w:bottom w:w="0" w:type="dxa"/>
            <w:right w:w="108" w:type="dxa"/>
          </w:tblCellMar>
        </w:tblPrEx>
        <w:trPr>
          <w:jc w:val="center"/>
        </w:trPr>
        <w:tc>
          <w:tcPr>
            <w:tcW w:w="11601" w:type="dxa"/>
            <w:gridSpan w:val="10"/>
            <w:tcBorders>
              <w:top w:val="nil"/>
              <w:left w:val="nil"/>
              <w:bottom w:val="nil"/>
              <w:right w:val="nil"/>
            </w:tcBorders>
            <w:shd w:val="clear" w:color="auto" w:fill="auto"/>
            <w:noWrap/>
            <w:vAlign w:val="bottom"/>
          </w:tcPr>
          <w:p>
            <w:pPr>
              <w:widowControl/>
              <w:snapToGrid w:val="0"/>
              <w:jc w:val="right"/>
              <w:textAlignment w:val="bottom"/>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公开</w:t>
            </w:r>
            <w:r>
              <w:rPr>
                <w:rFonts w:ascii="Times New Roman" w:hAnsi="Times New Roman" w:eastAsia="方正仿宋_GB2312" w:cs="Times New Roman"/>
                <w:color w:val="000000"/>
                <w:sz w:val="18"/>
                <w:szCs w:val="18"/>
                <w:lang w:bidi="ar"/>
              </w:rPr>
              <w:t>06</w:t>
            </w:r>
            <w:r>
              <w:rPr>
                <w:rStyle w:val="25"/>
                <w:rFonts w:hint="default"/>
                <w:lang w:bidi="ar"/>
              </w:rPr>
              <w:t>表</w:t>
            </w:r>
          </w:p>
        </w:tc>
      </w:tr>
      <w:tr>
        <w:tblPrEx>
          <w:tblCellMar>
            <w:top w:w="0" w:type="dxa"/>
            <w:left w:w="108" w:type="dxa"/>
            <w:bottom w:w="0" w:type="dxa"/>
            <w:right w:w="108" w:type="dxa"/>
          </w:tblCellMar>
        </w:tblPrEx>
        <w:trPr>
          <w:jc w:val="center"/>
        </w:trPr>
        <w:tc>
          <w:tcPr>
            <w:tcW w:w="5615" w:type="dxa"/>
            <w:gridSpan w:val="6"/>
            <w:tcBorders>
              <w:top w:val="nil"/>
              <w:left w:val="nil"/>
              <w:bottom w:val="single" w:color="000000" w:sz="8" w:space="0"/>
              <w:right w:val="nil"/>
            </w:tcBorders>
            <w:shd w:val="clear" w:color="auto" w:fill="auto"/>
            <w:noWrap/>
            <w:vAlign w:val="bottom"/>
          </w:tcPr>
          <w:p>
            <w:pPr>
              <w:widowControl/>
              <w:snapToGrid w:val="0"/>
              <w:textAlignment w:val="bottom"/>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eastAsia="zh-CN" w:bidi="ar"/>
              </w:rPr>
              <w:t>单位</w:t>
            </w:r>
            <w:r>
              <w:rPr>
                <w:rFonts w:hint="eastAsia" w:ascii="方正仿宋_GB2312" w:hAnsi="方正仿宋_GB2312" w:eastAsia="方正仿宋_GB2312" w:cs="方正仿宋_GB2312"/>
                <w:color w:val="000000"/>
                <w:sz w:val="18"/>
                <w:szCs w:val="18"/>
                <w:lang w:bidi="ar"/>
              </w:rPr>
              <w:t xml:space="preserve">：中共石家庄市委金融委员会办公室 </w:t>
            </w:r>
            <w:r>
              <w:rPr>
                <w:rFonts w:hint="eastAsia" w:ascii="宋体" w:hAnsi="宋体" w:eastAsia="宋体"/>
                <w:color w:val="000000"/>
                <w:sz w:val="18"/>
                <w:szCs w:val="18"/>
                <w:lang w:bidi="ar"/>
              </w:rPr>
              <w:t xml:space="preserve">                                                                   </w:t>
            </w:r>
          </w:p>
        </w:tc>
        <w:tc>
          <w:tcPr>
            <w:tcW w:w="1774" w:type="dxa"/>
            <w:tcBorders>
              <w:top w:val="nil"/>
              <w:left w:val="nil"/>
              <w:bottom w:val="single" w:color="000000" w:sz="8" w:space="0"/>
              <w:right w:val="nil"/>
            </w:tcBorders>
            <w:shd w:val="clear" w:color="auto" w:fill="auto"/>
            <w:noWrap/>
            <w:vAlign w:val="bottom"/>
          </w:tcPr>
          <w:p>
            <w:pPr>
              <w:widowControl/>
              <w:snapToGrid w:val="0"/>
              <w:jc w:val="center"/>
              <w:textAlignment w:val="bottom"/>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2025</w:t>
            </w:r>
            <w:r>
              <w:rPr>
                <w:rStyle w:val="25"/>
                <w:rFonts w:hint="default"/>
                <w:lang w:bidi="ar"/>
              </w:rPr>
              <w:t>年度</w:t>
            </w:r>
          </w:p>
        </w:tc>
        <w:tc>
          <w:tcPr>
            <w:tcW w:w="4212" w:type="dxa"/>
            <w:gridSpan w:val="3"/>
            <w:tcBorders>
              <w:top w:val="nil"/>
              <w:left w:val="nil"/>
              <w:bottom w:val="single" w:color="000000" w:sz="8" w:space="0"/>
              <w:right w:val="nil"/>
            </w:tcBorders>
            <w:shd w:val="clear" w:color="auto" w:fill="auto"/>
            <w:noWrap/>
            <w:vAlign w:val="bottom"/>
          </w:tcPr>
          <w:p>
            <w:pPr>
              <w:widowControl/>
              <w:snapToGrid w:val="0"/>
              <w:jc w:val="right"/>
              <w:textAlignment w:val="bottom"/>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金额单位：万元</w:t>
            </w:r>
          </w:p>
        </w:tc>
      </w:tr>
      <w:tr>
        <w:trPr>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公用经费</w:t>
            </w: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金额</w:t>
            </w: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944.85</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113.23</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307</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30101</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  </w:t>
            </w:r>
            <w:r>
              <w:rPr>
                <w:rStyle w:val="25"/>
                <w:rFonts w:hint="default"/>
                <w:lang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293.22</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6.69</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30701</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30102</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  </w:t>
            </w:r>
            <w:r>
              <w:rPr>
                <w:rStyle w:val="25"/>
                <w:rFonts w:hint="default"/>
                <w:lang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193.06</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30702</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30103</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  </w:t>
            </w:r>
            <w:r>
              <w:rPr>
                <w:rStyle w:val="25"/>
                <w:rFonts w:hint="default"/>
                <w:lang w:bidi="ar"/>
              </w:rPr>
              <w:t>奖金</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223.86</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30106</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  </w:t>
            </w:r>
            <w:r>
              <w:rPr>
                <w:rStyle w:val="25"/>
                <w:rFonts w:hint="default"/>
                <w:lang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水费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31001</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30107</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  </w:t>
            </w:r>
            <w:r>
              <w:rPr>
                <w:rStyle w:val="25"/>
                <w:rFonts w:hint="default"/>
                <w:lang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电费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31002</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30108</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85.85</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29.44</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31003</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30109</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9.22</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31005</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30110</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46.63</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31006</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30111</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10.46</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12.37</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31007</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30112</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31008</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30113</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82.55</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31009</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30114</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  </w:t>
            </w:r>
            <w:r>
              <w:rPr>
                <w:rStyle w:val="25"/>
                <w:rFonts w:hint="default"/>
                <w:lang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31010</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30199</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0.60</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31011</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4.94</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1.41</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31012</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30301</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31013</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30302</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4.94</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31019</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30303</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31021</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30304</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31022</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30305</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31099</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30306</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399</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30307</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8.47</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39907</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30308</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6.00</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39908</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30309</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30231</w:t>
            </w:r>
          </w:p>
        </w:tc>
        <w:tc>
          <w:tcPr>
            <w:tcW w:w="933"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2.30</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39909</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30310</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30239</w:t>
            </w:r>
          </w:p>
        </w:tc>
        <w:tc>
          <w:tcPr>
            <w:tcW w:w="933"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37.99</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39910</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30311</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30240</w:t>
            </w:r>
          </w:p>
        </w:tc>
        <w:tc>
          <w:tcPr>
            <w:tcW w:w="933"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39999</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30399</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30299</w:t>
            </w:r>
          </w:p>
        </w:tc>
        <w:tc>
          <w:tcPr>
            <w:tcW w:w="933"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7.96</w:t>
            </w:r>
          </w:p>
        </w:tc>
        <w:tc>
          <w:tcPr>
            <w:tcW w:w="666" w:type="dxa"/>
            <w:tcBorders>
              <w:top w:val="nil"/>
              <w:left w:val="nil"/>
              <w:bottom w:val="single" w:color="000000" w:sz="8" w:space="0"/>
              <w:right w:val="single" w:color="000000" w:sz="8" w:space="0"/>
            </w:tcBorders>
            <w:shd w:val="clear" w:color="auto" w:fill="auto"/>
            <w:noWrap/>
            <w:vAlign w:val="center"/>
          </w:tcPr>
          <w:p>
            <w:pPr>
              <w:snapToGrid w:val="0"/>
              <w:jc w:val="center"/>
              <w:rPr>
                <w:rFonts w:ascii="Times New Roman" w:hAnsi="Times New Roman" w:eastAsia="宋体" w:cs="Times New Roman"/>
                <w:color w:val="000000"/>
                <w:sz w:val="18"/>
                <w:szCs w:val="18"/>
              </w:rPr>
            </w:pPr>
          </w:p>
        </w:tc>
        <w:tc>
          <w:tcPr>
            <w:tcW w:w="1650" w:type="dxa"/>
            <w:tcBorders>
              <w:top w:val="nil"/>
              <w:left w:val="nil"/>
              <w:bottom w:val="single" w:color="000000" w:sz="8" w:space="0"/>
              <w:right w:val="single" w:color="000000" w:sz="8" w:space="0"/>
            </w:tcBorders>
            <w:shd w:val="clear" w:color="auto" w:fill="auto"/>
            <w:noWrap/>
            <w:vAlign w:val="center"/>
          </w:tcPr>
          <w:p>
            <w:pPr>
              <w:snapToGrid w:val="0"/>
              <w:jc w:val="left"/>
              <w:rPr>
                <w:rFonts w:ascii="方正仿宋_GB2312" w:hAnsi="方正仿宋_GB2312" w:eastAsia="方正仿宋_GB2312" w:cs="方正仿宋_GB2312"/>
                <w:color w:val="000000"/>
                <w:sz w:val="18"/>
                <w:szCs w:val="18"/>
              </w:rPr>
            </w:pPr>
          </w:p>
        </w:tc>
        <w:tc>
          <w:tcPr>
            <w:tcW w:w="1896" w:type="dxa"/>
            <w:tcBorders>
              <w:top w:val="nil"/>
              <w:left w:val="nil"/>
              <w:bottom w:val="single" w:color="000000" w:sz="8" w:space="0"/>
              <w:right w:val="single" w:color="000000" w:sz="8" w:space="0"/>
            </w:tcBorders>
            <w:shd w:val="clear" w:color="auto" w:fill="auto"/>
            <w:noWrap/>
            <w:vAlign w:val="center"/>
          </w:tcPr>
          <w:p>
            <w:pPr>
              <w:snapToGrid w:val="0"/>
              <w:jc w:val="right"/>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949.80</w:t>
            </w:r>
          </w:p>
        </w:tc>
        <w:tc>
          <w:tcPr>
            <w:tcW w:w="5811" w:type="dxa"/>
            <w:gridSpan w:val="6"/>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113.23</w:t>
            </w:r>
          </w:p>
        </w:tc>
      </w:tr>
      <w:tr>
        <w:tblPrEx>
          <w:tblCellMar>
            <w:top w:w="0" w:type="dxa"/>
            <w:left w:w="108" w:type="dxa"/>
            <w:bottom w:w="0" w:type="dxa"/>
            <w:right w:w="108" w:type="dxa"/>
          </w:tblCellMar>
        </w:tblPrEx>
        <w:trPr>
          <w:jc w:val="center"/>
        </w:trPr>
        <w:tc>
          <w:tcPr>
            <w:tcW w:w="11601" w:type="dxa"/>
            <w:gridSpan w:val="10"/>
            <w:tcBorders>
              <w:top w:val="nil"/>
              <w:left w:val="nil"/>
              <w:bottom w:val="nil"/>
              <w:right w:val="nil"/>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注：本表反映</w:t>
            </w:r>
            <w:r>
              <w:rPr>
                <w:rFonts w:hint="eastAsia" w:ascii="方正仿宋_GB2312" w:hAnsi="方正仿宋_GB2312" w:eastAsia="方正仿宋_GB2312" w:cs="方正仿宋_GB2312"/>
                <w:color w:val="000000"/>
                <w:sz w:val="18"/>
                <w:szCs w:val="18"/>
                <w:lang w:eastAsia="zh-CN" w:bidi="ar"/>
              </w:rPr>
              <w:t>单位</w:t>
            </w:r>
            <w:r>
              <w:rPr>
                <w:rFonts w:hint="eastAsia" w:ascii="方正仿宋_GB2312" w:hAnsi="方正仿宋_GB2312" w:eastAsia="方正仿宋_GB2312" w:cs="方正仿宋_GB2312"/>
                <w:color w:val="000000"/>
                <w:sz w:val="18"/>
                <w:szCs w:val="18"/>
                <w:lang w:bidi="ar"/>
              </w:rPr>
              <w:t>本年度一般公共预算财政拨款基本支出明细情况。</w:t>
            </w:r>
          </w:p>
        </w:tc>
      </w:tr>
    </w:tbl>
    <w:p>
      <w:pPr>
        <w:rPr>
          <w:rFonts w:ascii="仿宋_GB2312" w:hAnsi="宋体" w:eastAsia="仿宋_GB2312"/>
          <w:b/>
          <w:sz w:val="32"/>
          <w:szCs w:val="32"/>
        </w:rPr>
      </w:pPr>
    </w:p>
    <w:p>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5000" w:type="pct"/>
        <w:tblInd w:w="0" w:type="dxa"/>
        <w:tblLayout w:type="autofit"/>
        <w:tblCellMar>
          <w:top w:w="0" w:type="dxa"/>
          <w:left w:w="108" w:type="dxa"/>
          <w:bottom w:w="0" w:type="dxa"/>
          <w:right w:w="108" w:type="dxa"/>
        </w:tblCellMar>
      </w:tblPr>
      <w:tblGrid>
        <w:gridCol w:w="1116"/>
        <w:gridCol w:w="1301"/>
        <w:gridCol w:w="1159"/>
        <w:gridCol w:w="914"/>
        <w:gridCol w:w="986"/>
        <w:gridCol w:w="374"/>
        <w:gridCol w:w="622"/>
        <w:gridCol w:w="1020"/>
        <w:gridCol w:w="1796"/>
      </w:tblGrid>
      <w:tr>
        <w:tblPrEx>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政府性基金预算财政拨款收入支出决算表</w:t>
            </w:r>
          </w:p>
        </w:tc>
      </w:tr>
      <w:tr>
        <w:tblPrEx>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公开</w:t>
            </w:r>
            <w:r>
              <w:rPr>
                <w:rFonts w:ascii="Times New Roman" w:hAnsi="Times New Roman" w:eastAsia="宋体" w:cs="Times New Roman"/>
                <w:color w:val="000000"/>
                <w:sz w:val="20"/>
                <w:szCs w:val="20"/>
                <w:lang w:bidi="ar"/>
              </w:rPr>
              <w:t>07</w:t>
            </w:r>
            <w:r>
              <w:rPr>
                <w:rFonts w:hint="eastAsia" w:ascii="方正仿宋_GB2312" w:hAnsi="方正仿宋_GB2312" w:eastAsia="方正仿宋_GB2312" w:cs="方正仿宋_GB2312"/>
                <w:color w:val="000000"/>
                <w:sz w:val="20"/>
                <w:szCs w:val="20"/>
                <w:lang w:bidi="ar"/>
              </w:rPr>
              <w:t>表</w:t>
            </w:r>
          </w:p>
        </w:tc>
      </w:tr>
      <w:tr>
        <w:tblPrEx>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pPr>
              <w:widowControl/>
              <w:jc w:val="lef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eastAsia="zh-CN" w:bidi="ar"/>
              </w:rPr>
              <w:t>单位</w:t>
            </w:r>
            <w:r>
              <w:rPr>
                <w:rFonts w:hint="eastAsia" w:ascii="方正仿宋_GB2312" w:hAnsi="方正仿宋_GB2312" w:eastAsia="方正仿宋_GB2312" w:cs="方正仿宋_GB2312"/>
                <w:color w:val="000000"/>
                <w:sz w:val="20"/>
                <w:szCs w:val="20"/>
                <w:lang w:bidi="ar"/>
              </w:rPr>
              <w:t xml:space="preserve">：中共石家庄市委金融委员会办公室 </w:t>
            </w:r>
            <w:r>
              <w:rPr>
                <w:rFonts w:hint="eastAsia" w:ascii="宋体" w:hAnsi="宋体" w:eastAsia="宋体"/>
                <w:color w:val="000000"/>
                <w:sz w:val="20"/>
                <w:szCs w:val="20"/>
                <w:lang w:bidi="ar"/>
              </w:rPr>
              <w:t xml:space="preserve">                                                                                     </w:t>
            </w:r>
          </w:p>
        </w:tc>
        <w:tc>
          <w:tcPr>
            <w:tcW w:w="1216" w:type="pct"/>
            <w:gridSpan w:val="3"/>
            <w:tcBorders>
              <w:top w:val="nil"/>
              <w:left w:val="nil"/>
              <w:bottom w:val="single" w:color="000000" w:themeColor="text1" w:sz="8" w:space="0"/>
              <w:right w:val="nil"/>
            </w:tcBorders>
            <w:noWrap/>
            <w:vAlign w:val="bottom"/>
          </w:tcPr>
          <w:p>
            <w:pPr>
              <w:widowControl/>
              <w:jc w:val="center"/>
              <w:textAlignment w:val="bottom"/>
              <w:rPr>
                <w:rFonts w:ascii="宋体" w:hAnsi="宋体" w:eastAsia="宋体"/>
                <w:color w:val="000000"/>
                <w:sz w:val="20"/>
                <w:szCs w:val="20"/>
                <w:lang w:bidi="ar"/>
              </w:rPr>
            </w:pPr>
            <w:r>
              <w:rPr>
                <w:rFonts w:ascii="Times New Roman" w:hAnsi="Times New Roman" w:eastAsia="宋体" w:cs="Times New Roman"/>
                <w:color w:val="000000"/>
                <w:sz w:val="20"/>
                <w:szCs w:val="20"/>
                <w:lang w:bidi="ar"/>
              </w:rPr>
              <w:t>202</w:t>
            </w:r>
            <w:r>
              <w:rPr>
                <w:rFonts w:hint="eastAsia" w:ascii="Times New Roman" w:hAnsi="Times New Roman" w:eastAsia="宋体" w:cs="Times New Roman"/>
                <w:color w:val="000000"/>
                <w:sz w:val="20"/>
                <w:szCs w:val="20"/>
                <w:lang w:bidi="ar"/>
              </w:rPr>
              <w:t>5</w:t>
            </w:r>
            <w:r>
              <w:rPr>
                <w:rFonts w:hint="eastAsia" w:ascii="方正仿宋_GB2312" w:hAnsi="方正仿宋_GB2312" w:eastAsia="方正仿宋_GB2312" w:cs="方正仿宋_GB2312"/>
                <w:color w:val="000000"/>
                <w:sz w:val="20"/>
                <w:szCs w:val="20"/>
                <w:lang w:bidi="ar"/>
              </w:rPr>
              <w:t>年度</w:t>
            </w:r>
          </w:p>
        </w:tc>
        <w:tc>
          <w:tcPr>
            <w:tcW w:w="1856" w:type="pct"/>
            <w:gridSpan w:val="3"/>
            <w:tcBorders>
              <w:top w:val="nil"/>
              <w:left w:val="nil"/>
              <w:bottom w:val="single" w:color="000000" w:themeColor="text1" w:sz="8" w:space="0"/>
              <w:right w:val="nil"/>
            </w:tcBorders>
            <w:noWrap/>
            <w:vAlign w:val="bottom"/>
          </w:tcPr>
          <w:p>
            <w:pPr>
              <w:widowControl/>
              <w:jc w:val="right"/>
              <w:textAlignment w:val="bottom"/>
              <w:rPr>
                <w:rFonts w:ascii="宋体" w:hAnsi="宋体" w:eastAsia="宋体"/>
                <w:color w:val="000000"/>
                <w:sz w:val="20"/>
                <w:szCs w:val="20"/>
                <w:lang w:bidi="ar"/>
              </w:rPr>
            </w:pPr>
            <w:r>
              <w:rPr>
                <w:rFonts w:hint="eastAsia" w:ascii="方正仿宋_GB2312" w:hAnsi="方正仿宋_GB2312" w:eastAsia="方正仿宋_GB2312" w:cs="方正仿宋_GB2312"/>
                <w:color w:val="000000"/>
                <w:sz w:val="20"/>
                <w:szCs w:val="20"/>
                <w:lang w:bidi="ar"/>
              </w:rPr>
              <w:t>金额单位：万元</w:t>
            </w:r>
          </w:p>
        </w:tc>
      </w:tr>
      <w:tr>
        <w:tblPrEx>
          <w:tblCellMar>
            <w:top w:w="0" w:type="dxa"/>
            <w:left w:w="108" w:type="dxa"/>
            <w:bottom w:w="0" w:type="dxa"/>
            <w:right w:w="108" w:type="dxa"/>
          </w:tblCellMar>
        </w:tblPrEx>
        <w:trPr>
          <w:trHeight w:val="308" w:hRule="atLeast"/>
        </w:trPr>
        <w:tc>
          <w:tcPr>
            <w:tcW w:w="130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年初结转和结余</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本年收入</w:t>
            </w:r>
          </w:p>
        </w:tc>
        <w:tc>
          <w:tcPr>
            <w:tcW w:w="1608"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本年支出</w:t>
            </w:r>
          </w:p>
        </w:tc>
        <w:tc>
          <w:tcPr>
            <w:tcW w:w="97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年末结转和结余</w:t>
            </w:r>
          </w:p>
        </w:tc>
      </w:tr>
      <w:tr>
        <w:tblPrEx>
          <w:tblCellMar>
            <w:top w:w="0" w:type="dxa"/>
            <w:left w:w="108" w:type="dxa"/>
            <w:bottom w:w="0" w:type="dxa"/>
            <w:right w:w="108" w:type="dxa"/>
          </w:tblCellMar>
        </w:tblPrEx>
        <w:trPr>
          <w:trHeight w:val="312" w:hRule="atLeast"/>
        </w:trPr>
        <w:tc>
          <w:tcPr>
            <w:tcW w:w="60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小计</w:t>
            </w:r>
          </w:p>
        </w:tc>
        <w:tc>
          <w:tcPr>
            <w:tcW w:w="533"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项目支出</w:t>
            </w:r>
          </w:p>
        </w:tc>
        <w:tc>
          <w:tcPr>
            <w:tcW w:w="97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合计</w:t>
            </w:r>
          </w:p>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结转</w:t>
            </w:r>
          </w:p>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结余</w:t>
            </w:r>
          </w:p>
        </w:tc>
      </w:tr>
      <w:tr>
        <w:tblPrEx>
          <w:tblCellMar>
            <w:top w:w="0" w:type="dxa"/>
            <w:left w:w="108" w:type="dxa"/>
            <w:bottom w:w="0" w:type="dxa"/>
            <w:right w:w="108" w:type="dxa"/>
          </w:tblCellMar>
        </w:tblPrEx>
        <w:trPr>
          <w:trHeight w:val="312" w:hRule="atLeast"/>
        </w:trPr>
        <w:tc>
          <w:tcPr>
            <w:tcW w:w="60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533"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97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r>
      <w:tr>
        <w:tblPrEx>
          <w:tblCellMar>
            <w:top w:w="0" w:type="dxa"/>
            <w:left w:w="108" w:type="dxa"/>
            <w:bottom w:w="0" w:type="dxa"/>
            <w:right w:w="108" w:type="dxa"/>
          </w:tblCellMar>
        </w:tblPrEx>
        <w:trPr>
          <w:trHeight w:val="312" w:hRule="atLeast"/>
        </w:trPr>
        <w:tc>
          <w:tcPr>
            <w:tcW w:w="60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533"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97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r>
      <w:tr>
        <w:tblPrEx>
          <w:tblCellMar>
            <w:top w:w="0" w:type="dxa"/>
            <w:left w:w="108" w:type="dxa"/>
            <w:bottom w:w="0" w:type="dxa"/>
            <w:right w:w="108" w:type="dxa"/>
          </w:tblCellMar>
        </w:tblPrEx>
        <w:trPr>
          <w:trHeight w:val="308" w:hRule="atLeast"/>
        </w:trPr>
        <w:tc>
          <w:tcPr>
            <w:tcW w:w="130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lang w:bidi="ar"/>
              </w:rPr>
              <w:t>1</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lang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lang w:bidi="ar"/>
              </w:rPr>
              <w:t>3</w:t>
            </w:r>
          </w:p>
        </w:tc>
        <w:tc>
          <w:tcPr>
            <w:tcW w:w="53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lang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lang w:bidi="ar"/>
              </w:rPr>
              <w:t>5</w:t>
            </w:r>
          </w:p>
        </w:tc>
        <w:tc>
          <w:tcPr>
            <w:tcW w:w="9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rPr>
              <w:t>6</w:t>
            </w:r>
          </w:p>
        </w:tc>
      </w:tr>
      <w:tr>
        <w:tblPrEx>
          <w:tblCellMar>
            <w:top w:w="0" w:type="dxa"/>
            <w:left w:w="108" w:type="dxa"/>
            <w:bottom w:w="0" w:type="dxa"/>
            <w:right w:w="108" w:type="dxa"/>
          </w:tblCellMar>
        </w:tblPrEx>
        <w:trPr>
          <w:trHeight w:val="869" w:hRule="atLeast"/>
        </w:trPr>
        <w:tc>
          <w:tcPr>
            <w:tcW w:w="130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3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pP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注：本表反映</w:t>
            </w:r>
            <w:r>
              <w:rPr>
                <w:rFonts w:hint="eastAsia" w:ascii="方正仿宋_GB2312" w:hAnsi="方正仿宋_GB2312" w:eastAsia="方正仿宋_GB2312" w:cs="方正仿宋_GB2312"/>
                <w:color w:val="000000"/>
                <w:sz w:val="20"/>
                <w:szCs w:val="20"/>
                <w:lang w:eastAsia="zh-CN" w:bidi="ar"/>
              </w:rPr>
              <w:t>单位</w:t>
            </w:r>
            <w:r>
              <w:rPr>
                <w:rFonts w:hint="eastAsia" w:ascii="方正仿宋_GB2312" w:hAnsi="方正仿宋_GB2312" w:eastAsia="方正仿宋_GB2312" w:cs="方正仿宋_GB2312"/>
                <w:color w:val="000000"/>
                <w:sz w:val="20"/>
                <w:szCs w:val="20"/>
                <w:lang w:bidi="ar"/>
              </w:rPr>
              <w:t>本年度政府性基金预算财政拨款收入、支出及结转和结余情况。（如无相关数据，则需注明空表列示）</w:t>
            </w:r>
            <w:r>
              <w:rPr>
                <w:rFonts w:hint="eastAsia" w:ascii="方正仿宋_GB2312" w:hAnsi="方正仿宋_GB2312" w:eastAsia="方正仿宋_GB2312" w:cs="方正仿宋_GB2312"/>
                <w:color w:val="000000"/>
                <w:sz w:val="20"/>
                <w:szCs w:val="20"/>
                <w:lang w:bidi="ar"/>
              </w:rPr>
              <w:br w:type="page"/>
            </w:r>
          </w:p>
        </w:tc>
      </w:tr>
    </w:tbl>
    <w:p>
      <w:pPr>
        <w:rPr>
          <w:rFonts w:ascii="仿宋_GB2312" w:hAnsi="宋体" w:eastAsia="仿宋_GB2312"/>
          <w:b/>
          <w:sz w:val="32"/>
          <w:szCs w:val="32"/>
        </w:rPr>
      </w:pPr>
    </w:p>
    <w:p>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5863" w:type="pct"/>
        <w:tblInd w:w="-976" w:type="dxa"/>
        <w:tblLayout w:type="fixed"/>
        <w:tblCellMar>
          <w:top w:w="0" w:type="dxa"/>
          <w:left w:w="108" w:type="dxa"/>
          <w:bottom w:w="0" w:type="dxa"/>
          <w:right w:w="108" w:type="dxa"/>
        </w:tblCellMar>
      </w:tblPr>
      <w:tblGrid>
        <w:gridCol w:w="3456"/>
        <w:gridCol w:w="843"/>
        <w:gridCol w:w="1498"/>
        <w:gridCol w:w="1544"/>
        <w:gridCol w:w="52"/>
        <w:gridCol w:w="1486"/>
        <w:gridCol w:w="7"/>
        <w:gridCol w:w="2004"/>
      </w:tblGrid>
      <w:tr>
        <w:tblPrEx>
          <w:tblCellMar>
            <w:top w:w="0" w:type="dxa"/>
            <w:left w:w="108" w:type="dxa"/>
            <w:bottom w:w="0" w:type="dxa"/>
            <w:right w:w="108" w:type="dxa"/>
          </w:tblCellMar>
        </w:tblPrEx>
        <w:trPr>
          <w:trHeight w:val="550" w:hRule="atLeast"/>
        </w:trPr>
        <w:tc>
          <w:tcPr>
            <w:tcW w:w="5000" w:type="pct"/>
            <w:gridSpan w:val="8"/>
            <w:tcBorders>
              <w:top w:val="nil"/>
              <w:left w:val="nil"/>
              <w:bottom w:val="nil"/>
              <w:right w:val="nil"/>
            </w:tcBorders>
            <w:noWrap/>
            <w:vAlign w:val="bottom"/>
          </w:tcPr>
          <w:p>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国有资本经营预算财政拨款支出决算表</w:t>
            </w:r>
          </w:p>
        </w:tc>
      </w:tr>
      <w:tr>
        <w:tblPrEx>
          <w:tblCellMar>
            <w:top w:w="0" w:type="dxa"/>
            <w:left w:w="108" w:type="dxa"/>
            <w:bottom w:w="0" w:type="dxa"/>
            <w:right w:w="108" w:type="dxa"/>
          </w:tblCellMar>
        </w:tblPrEx>
        <w:trPr>
          <w:trHeight w:val="300" w:hRule="atLeast"/>
        </w:trPr>
        <w:tc>
          <w:tcPr>
            <w:tcW w:w="5000" w:type="pct"/>
            <w:gridSpan w:val="8"/>
            <w:tcBorders>
              <w:top w:val="nil"/>
              <w:left w:val="nil"/>
              <w:bottom w:val="nil"/>
              <w:right w:val="nil"/>
            </w:tcBorders>
            <w:noWrap/>
            <w:vAlign w:val="bottom"/>
          </w:tcPr>
          <w:p>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公开</w:t>
            </w:r>
            <w:r>
              <w:rPr>
                <w:rFonts w:ascii="Times New Roman" w:hAnsi="Times New Roman" w:eastAsia="方正仿宋_GB2312" w:cs="Times New Roman"/>
                <w:color w:val="000000"/>
                <w:sz w:val="20"/>
                <w:szCs w:val="20"/>
                <w:lang w:bidi="ar"/>
              </w:rPr>
              <w:t>08</w:t>
            </w:r>
            <w:r>
              <w:rPr>
                <w:rFonts w:hint="eastAsia" w:ascii="方正仿宋_GB2312" w:hAnsi="方正仿宋_GB2312" w:eastAsia="方正仿宋_GB2312" w:cs="方正仿宋_GB2312"/>
                <w:color w:val="000000"/>
                <w:sz w:val="20"/>
                <w:szCs w:val="20"/>
                <w:lang w:bidi="ar"/>
              </w:rPr>
              <w:t>表</w:t>
            </w:r>
          </w:p>
        </w:tc>
      </w:tr>
      <w:tr>
        <w:tblPrEx>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pPr>
              <w:widowControl/>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eastAsia="zh-CN" w:bidi="ar"/>
              </w:rPr>
              <w:t>单位</w:t>
            </w:r>
            <w:r>
              <w:rPr>
                <w:rFonts w:hint="eastAsia" w:ascii="方正仿宋_GB2312" w:hAnsi="方正仿宋_GB2312" w:eastAsia="方正仿宋_GB2312" w:cs="方正仿宋_GB2312"/>
                <w:color w:val="000000"/>
                <w:sz w:val="20"/>
                <w:szCs w:val="20"/>
                <w:lang w:bidi="ar"/>
              </w:rPr>
              <w:t>：中共石家庄市委金融委员会办公室</w:t>
            </w:r>
          </w:p>
        </w:tc>
        <w:tc>
          <w:tcPr>
            <w:tcW w:w="1421" w:type="pct"/>
            <w:gridSpan w:val="3"/>
            <w:tcBorders>
              <w:top w:val="nil"/>
              <w:left w:val="nil"/>
              <w:bottom w:val="single" w:color="000000" w:themeColor="text1" w:sz="8" w:space="0"/>
              <w:right w:val="nil"/>
            </w:tcBorders>
            <w:noWrap/>
            <w:vAlign w:val="bottom"/>
          </w:tcPr>
          <w:p>
            <w:pPr>
              <w:widowControl/>
              <w:jc w:val="center"/>
              <w:textAlignment w:val="bottom"/>
              <w:rPr>
                <w:rFonts w:ascii="宋体" w:hAnsi="宋体" w:eastAsia="宋体"/>
                <w:color w:val="000000"/>
                <w:sz w:val="20"/>
                <w:szCs w:val="20"/>
                <w:lang w:bidi="ar"/>
              </w:rPr>
            </w:pPr>
            <w:r>
              <w:rPr>
                <w:rFonts w:ascii="Times New Roman" w:hAnsi="Times New Roman" w:eastAsia="宋体" w:cs="Times New Roman"/>
                <w:color w:val="000000"/>
                <w:sz w:val="20"/>
                <w:szCs w:val="20"/>
                <w:lang w:bidi="ar"/>
              </w:rPr>
              <w:t>202</w:t>
            </w:r>
            <w:r>
              <w:rPr>
                <w:rFonts w:hint="eastAsia" w:ascii="Times New Roman" w:hAnsi="Times New Roman" w:eastAsia="宋体" w:cs="Times New Roman"/>
                <w:color w:val="000000"/>
                <w:sz w:val="20"/>
                <w:szCs w:val="20"/>
                <w:lang w:bidi="ar"/>
              </w:rPr>
              <w:t>5</w:t>
            </w:r>
            <w:r>
              <w:rPr>
                <w:rFonts w:hint="eastAsia" w:ascii="方正仿宋_GB2312" w:hAnsi="方正仿宋_GB2312" w:eastAsia="方正仿宋_GB2312" w:cs="方正仿宋_GB2312"/>
                <w:color w:val="000000"/>
                <w:sz w:val="20"/>
                <w:szCs w:val="20"/>
                <w:lang w:bidi="ar"/>
              </w:rPr>
              <w:t>年度</w:t>
            </w:r>
          </w:p>
        </w:tc>
        <w:tc>
          <w:tcPr>
            <w:tcW w:w="1603" w:type="pct"/>
            <w:gridSpan w:val="3"/>
            <w:tcBorders>
              <w:top w:val="nil"/>
              <w:left w:val="nil"/>
              <w:bottom w:val="single" w:color="000000" w:themeColor="text1" w:sz="8" w:space="0"/>
              <w:right w:val="nil"/>
            </w:tcBorders>
            <w:noWrap/>
            <w:vAlign w:val="bottom"/>
          </w:tcPr>
          <w:p>
            <w:pPr>
              <w:widowControl/>
              <w:jc w:val="right"/>
              <w:textAlignment w:val="bottom"/>
              <w:rPr>
                <w:rFonts w:ascii="宋体" w:hAnsi="宋体" w:eastAsia="宋体"/>
                <w:color w:val="000000"/>
                <w:sz w:val="20"/>
                <w:szCs w:val="20"/>
                <w:lang w:bidi="ar"/>
              </w:rPr>
            </w:pPr>
            <w:r>
              <w:rPr>
                <w:rFonts w:hint="eastAsia" w:ascii="方正仿宋_GB2312" w:hAnsi="方正仿宋_GB2312" w:eastAsia="方正仿宋_GB2312" w:cs="方正仿宋_GB2312"/>
                <w:color w:val="000000"/>
                <w:sz w:val="20"/>
                <w:szCs w:val="20"/>
                <w:lang w:bidi="ar"/>
              </w:rPr>
              <w:t>金额单位：万元</w:t>
            </w:r>
          </w:p>
        </w:tc>
      </w:tr>
      <w:tr>
        <w:tblPrEx>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 项目</w:t>
            </w:r>
          </w:p>
        </w:tc>
        <w:tc>
          <w:tcPr>
            <w:tcW w:w="2337" w:type="pct"/>
            <w:gridSpan w:val="5"/>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本年支出</w:t>
            </w:r>
          </w:p>
        </w:tc>
      </w:tr>
      <w:tr>
        <w:tblPrEx>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p>
        </w:tc>
        <w:tc>
          <w:tcPr>
            <w:tcW w:w="2337" w:type="pct"/>
            <w:gridSpan w:val="5"/>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p>
        </w:tc>
      </w:tr>
      <w:tr>
        <w:tblPrEx>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科目名称</w:t>
            </w:r>
          </w:p>
        </w:tc>
        <w:tc>
          <w:tcPr>
            <w:tcW w:w="7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vAlign w:val="center"/>
          </w:tcPr>
          <w:p>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项目支出</w:t>
            </w:r>
          </w:p>
        </w:tc>
      </w:tr>
      <w:tr>
        <w:tblPrEx>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7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vAlign w:val="center"/>
          </w:tcPr>
          <w:p>
            <w:pPr>
              <w:jc w:val="center"/>
              <w:rPr>
                <w:rFonts w:ascii="方正仿宋_GB2312" w:hAnsi="方正仿宋_GB2312" w:eastAsia="方正仿宋_GB2312" w:cs="方正仿宋_GB2312"/>
                <w:color w:val="000000"/>
                <w:sz w:val="20"/>
                <w:szCs w:val="20"/>
              </w:rPr>
            </w:pPr>
          </w:p>
        </w:tc>
      </w:tr>
      <w:tr>
        <w:tblPrEx>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20"/>
                <w:szCs w:val="20"/>
              </w:rPr>
            </w:pPr>
            <w:r>
              <w:rPr>
                <w:rFonts w:hint="eastAsia" w:ascii="Times New Roman" w:hAnsi="Times New Roman" w:eastAsia="方正仿宋_GB2312" w:cs="Times New Roman"/>
                <w:color w:val="000000"/>
                <w:sz w:val="20"/>
                <w:szCs w:val="20"/>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20"/>
                <w:szCs w:val="20"/>
              </w:rPr>
            </w:pPr>
            <w:r>
              <w:rPr>
                <w:rFonts w:hint="eastAsia" w:ascii="Times New Roman" w:hAnsi="Times New Roman" w:eastAsia="方正仿宋_GB2312" w:cs="Times New Roman"/>
                <w:color w:val="000000"/>
                <w:sz w:val="20"/>
                <w:szCs w:val="20"/>
              </w:rPr>
              <w:t>1</w:t>
            </w:r>
          </w:p>
        </w:tc>
        <w:tc>
          <w:tcPr>
            <w:tcW w:w="70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20"/>
                <w:szCs w:val="20"/>
              </w:rPr>
            </w:pPr>
            <w:r>
              <w:rPr>
                <w:rFonts w:hint="eastAsia" w:ascii="Times New Roman" w:hAnsi="Times New Roman" w:eastAsia="方正仿宋_GB2312" w:cs="Times New Roman"/>
                <w:color w:val="000000"/>
                <w:sz w:val="20"/>
                <w:szCs w:val="20"/>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pPr>
              <w:widowControl/>
              <w:jc w:val="center"/>
              <w:textAlignment w:val="center"/>
              <w:rPr>
                <w:rFonts w:ascii="Times New Roman" w:hAnsi="Times New Roman" w:eastAsia="方正仿宋_GB2312" w:cs="Times New Roman"/>
                <w:color w:val="000000"/>
                <w:sz w:val="20"/>
                <w:szCs w:val="20"/>
              </w:rPr>
            </w:pPr>
            <w:r>
              <w:rPr>
                <w:rFonts w:hint="eastAsia" w:ascii="Times New Roman" w:hAnsi="Times New Roman" w:eastAsia="方正仿宋_GB2312" w:cs="Times New Roman"/>
                <w:color w:val="000000"/>
                <w:sz w:val="20"/>
                <w:szCs w:val="20"/>
              </w:rPr>
              <w:t>3</w:t>
            </w:r>
          </w:p>
        </w:tc>
      </w:tr>
      <w:tr>
        <w:tblPrEx>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Times New Roman" w:hAnsi="Times New Roman" w:eastAsia="宋体" w:cs="Times New Roman"/>
                <w:color w:val="000000"/>
                <w:sz w:val="20"/>
                <w:szCs w:val="20"/>
              </w:rPr>
            </w:pPr>
            <w:r>
              <w:rPr>
                <w:rFonts w:hint="eastAsia" w:ascii="Times New Roman" w:hAnsi="Times New Roman" w:eastAsia="方正仿宋_GB2312" w:cs="Times New Roman"/>
                <w:color w:val="000000"/>
                <w:sz w:val="20"/>
                <w:szCs w:val="20"/>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0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5000" w:type="pct"/>
            <w:gridSpan w:val="8"/>
            <w:tcBorders>
              <w:top w:val="single" w:color="000000" w:themeColor="text1" w:sz="8" w:space="0"/>
              <w:left w:val="nil"/>
              <w:bottom w:val="nil"/>
              <w:right w:val="nil"/>
            </w:tcBorders>
            <w:noWrap/>
            <w:vAlign w:val="center"/>
          </w:tcPr>
          <w:p>
            <w:pPr>
              <w:widowControl/>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注：本表反映</w:t>
            </w:r>
            <w:r>
              <w:rPr>
                <w:rFonts w:hint="eastAsia" w:ascii="方正仿宋_GB2312" w:hAnsi="方正仿宋_GB2312" w:eastAsia="方正仿宋_GB2312" w:cs="方正仿宋_GB2312"/>
                <w:color w:val="000000"/>
                <w:sz w:val="20"/>
                <w:szCs w:val="20"/>
                <w:lang w:eastAsia="zh-CN" w:bidi="ar"/>
              </w:rPr>
              <w:t>单位</w:t>
            </w:r>
            <w:r>
              <w:rPr>
                <w:rFonts w:hint="eastAsia" w:ascii="方正仿宋_GB2312" w:hAnsi="方正仿宋_GB2312" w:eastAsia="方正仿宋_GB2312" w:cs="方正仿宋_GB2312"/>
                <w:color w:val="000000"/>
                <w:sz w:val="20"/>
                <w:szCs w:val="20"/>
                <w:lang w:bidi="ar"/>
              </w:rPr>
              <w:t>本年度国有资本经营预算财政拨款支出情况。（如无相关数据，则需注明空表列示）</w:t>
            </w:r>
          </w:p>
        </w:tc>
      </w:tr>
    </w:tbl>
    <w:p>
      <w:pPr>
        <w:rPr>
          <w:rFonts w:ascii="仿宋_GB2312" w:hAnsi="宋体" w:eastAsia="仿宋_GB2312"/>
          <w:b/>
          <w:sz w:val="32"/>
          <w:szCs w:val="32"/>
        </w:rPr>
      </w:pPr>
    </w:p>
    <w:p>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pPr w:leftFromText="180" w:rightFromText="180" w:vertAnchor="text" w:horzAnchor="page" w:tblpXSpec="center" w:tblpY="39"/>
        <w:tblOverlap w:val="never"/>
        <w:tblW w:w="5000" w:type="pct"/>
        <w:jc w:val="center"/>
        <w:tblLayout w:type="autofit"/>
        <w:tblCellMar>
          <w:top w:w="0" w:type="dxa"/>
          <w:left w:w="108" w:type="dxa"/>
          <w:bottom w:w="0" w:type="dxa"/>
          <w:right w:w="108" w:type="dxa"/>
        </w:tblCellMar>
      </w:tblPr>
      <w:tblGrid>
        <w:gridCol w:w="751"/>
        <w:gridCol w:w="906"/>
        <w:gridCol w:w="640"/>
        <w:gridCol w:w="776"/>
        <w:gridCol w:w="464"/>
        <w:gridCol w:w="472"/>
        <w:gridCol w:w="622"/>
        <w:gridCol w:w="668"/>
        <w:gridCol w:w="856"/>
        <w:gridCol w:w="530"/>
        <w:gridCol w:w="777"/>
        <w:gridCol w:w="936"/>
        <w:gridCol w:w="890"/>
      </w:tblGrid>
      <w:tr>
        <w:tblPrEx>
          <w:tblCellMar>
            <w:top w:w="0" w:type="dxa"/>
            <w:left w:w="108" w:type="dxa"/>
            <w:bottom w:w="0" w:type="dxa"/>
            <w:right w:w="108" w:type="dxa"/>
          </w:tblCellMar>
        </w:tblPrEx>
        <w:trPr>
          <w:trHeight w:val="550" w:hRule="atLeast"/>
          <w:jc w:val="center"/>
        </w:trPr>
        <w:tc>
          <w:tcPr>
            <w:tcW w:w="5000" w:type="pct"/>
            <w:gridSpan w:val="13"/>
            <w:tcBorders>
              <w:top w:val="nil"/>
              <w:left w:val="nil"/>
              <w:bottom w:val="nil"/>
              <w:right w:val="nil"/>
            </w:tcBorders>
            <w:noWrap/>
            <w:vAlign w:val="bottom"/>
          </w:tcPr>
          <w:p>
            <w:pPr>
              <w:widowControl/>
              <w:jc w:val="center"/>
              <w:textAlignment w:val="bottom"/>
              <w:rPr>
                <w:rFonts w:ascii="宋体" w:hAnsi="宋体" w:eastAsia="宋体"/>
                <w:color w:val="000000"/>
                <w:sz w:val="18"/>
                <w:szCs w:val="18"/>
              </w:rPr>
            </w:pPr>
            <w:r>
              <w:rPr>
                <w:rFonts w:hint="eastAsia" w:ascii="方正仿宋_GB2312" w:hAnsi="方正仿宋_GB2312" w:eastAsia="方正仿宋_GB2312" w:cs="方正仿宋_GB2312"/>
                <w:bCs/>
                <w:sz w:val="32"/>
                <w:szCs w:val="32"/>
              </w:rPr>
              <w:t>财政拨款“三公”经费支出决算表</w:t>
            </w:r>
          </w:p>
        </w:tc>
      </w:tr>
      <w:tr>
        <w:tblPrEx>
          <w:tblCellMar>
            <w:top w:w="0" w:type="dxa"/>
            <w:left w:w="108" w:type="dxa"/>
            <w:bottom w:w="0" w:type="dxa"/>
            <w:right w:w="108" w:type="dxa"/>
          </w:tblCellMar>
        </w:tblPrEx>
        <w:trPr>
          <w:trHeight w:val="260" w:hRule="atLeast"/>
          <w:jc w:val="center"/>
        </w:trPr>
        <w:tc>
          <w:tcPr>
            <w:tcW w:w="5000" w:type="pct"/>
            <w:gridSpan w:val="13"/>
            <w:tcBorders>
              <w:top w:val="nil"/>
              <w:left w:val="nil"/>
              <w:bottom w:val="nil"/>
              <w:right w:val="nil"/>
            </w:tcBorders>
            <w:noWrap/>
            <w:vAlign w:val="bottom"/>
          </w:tcPr>
          <w:p>
            <w:pPr>
              <w:widowControl/>
              <w:jc w:val="right"/>
              <w:textAlignment w:val="bottom"/>
              <w:rPr>
                <w:rFonts w:ascii="宋体" w:hAnsi="宋体" w:eastAsia="宋体"/>
                <w:color w:val="000000"/>
                <w:sz w:val="18"/>
                <w:szCs w:val="18"/>
              </w:rPr>
            </w:pPr>
            <w:r>
              <w:rPr>
                <w:rFonts w:hint="eastAsia" w:ascii="方正仿宋_GB2312" w:hAnsi="方正仿宋_GB2312" w:eastAsia="方正仿宋_GB2312" w:cs="方正仿宋_GB2312"/>
                <w:color w:val="000000"/>
                <w:sz w:val="18"/>
                <w:szCs w:val="18"/>
                <w:lang w:bidi="ar"/>
              </w:rPr>
              <w:t>公开</w:t>
            </w:r>
            <w:r>
              <w:rPr>
                <w:rFonts w:ascii="Times New Roman" w:hAnsi="Times New Roman" w:eastAsia="方正仿宋_GB2312" w:cs="Times New Roman"/>
                <w:color w:val="000000"/>
                <w:sz w:val="18"/>
                <w:szCs w:val="18"/>
                <w:lang w:bidi="ar"/>
              </w:rPr>
              <w:t>09</w:t>
            </w:r>
            <w:r>
              <w:rPr>
                <w:rFonts w:hint="eastAsia" w:ascii="方正仿宋_GB2312" w:hAnsi="方正仿宋_GB2312" w:eastAsia="方正仿宋_GB2312" w:cs="方正仿宋_GB2312"/>
                <w:color w:val="000000"/>
                <w:sz w:val="18"/>
                <w:szCs w:val="18"/>
                <w:lang w:bidi="ar"/>
              </w:rPr>
              <w:t>表</w:t>
            </w:r>
          </w:p>
        </w:tc>
      </w:tr>
      <w:tr>
        <w:tblPrEx>
          <w:tblCellMar>
            <w:top w:w="0" w:type="dxa"/>
            <w:left w:w="108" w:type="dxa"/>
            <w:bottom w:w="0" w:type="dxa"/>
            <w:right w:w="108" w:type="dxa"/>
          </w:tblCellMar>
        </w:tblPrEx>
        <w:trPr>
          <w:trHeight w:val="260" w:hRule="atLeast"/>
          <w:jc w:val="center"/>
        </w:trPr>
        <w:tc>
          <w:tcPr>
            <w:tcW w:w="1935" w:type="pct"/>
            <w:gridSpan w:val="5"/>
            <w:tcBorders>
              <w:top w:val="nil"/>
              <w:left w:val="nil"/>
              <w:bottom w:val="single" w:color="000000" w:themeColor="text1" w:sz="8" w:space="0"/>
              <w:right w:val="nil"/>
            </w:tcBorders>
            <w:noWrap/>
            <w:vAlign w:val="bottom"/>
          </w:tcPr>
          <w:p>
            <w:pPr>
              <w:widowControl/>
              <w:jc w:val="left"/>
              <w:textAlignment w:val="bottom"/>
              <w:rPr>
                <w:rFonts w:ascii="宋体" w:hAnsi="宋体" w:eastAsia="宋体"/>
                <w:color w:val="000000"/>
                <w:sz w:val="18"/>
                <w:szCs w:val="18"/>
              </w:rPr>
            </w:pPr>
            <w:r>
              <w:rPr>
                <w:rFonts w:hint="eastAsia" w:ascii="方正仿宋_GB2312" w:hAnsi="方正仿宋_GB2312" w:eastAsia="方正仿宋_GB2312" w:cs="方正仿宋_GB2312"/>
                <w:color w:val="000000"/>
                <w:sz w:val="18"/>
                <w:szCs w:val="18"/>
                <w:lang w:eastAsia="zh-CN" w:bidi="ar"/>
              </w:rPr>
              <w:t>单位</w:t>
            </w:r>
            <w:r>
              <w:rPr>
                <w:rFonts w:hint="eastAsia" w:ascii="方正仿宋_GB2312" w:hAnsi="方正仿宋_GB2312" w:eastAsia="方正仿宋_GB2312" w:cs="方正仿宋_GB2312"/>
                <w:color w:val="000000"/>
                <w:sz w:val="18"/>
                <w:szCs w:val="18"/>
                <w:lang w:bidi="ar"/>
              </w:rPr>
              <w:t>：中共石家庄市委金融委员会办公室</w:t>
            </w:r>
          </w:p>
        </w:tc>
        <w:tc>
          <w:tcPr>
            <w:tcW w:w="936" w:type="pct"/>
            <w:gridSpan w:val="3"/>
            <w:tcBorders>
              <w:top w:val="nil"/>
              <w:left w:val="nil"/>
              <w:bottom w:val="single" w:color="000000" w:themeColor="text1" w:sz="8" w:space="0"/>
              <w:right w:val="nil"/>
            </w:tcBorders>
            <w:noWrap/>
            <w:vAlign w:val="bottom"/>
          </w:tcPr>
          <w:p>
            <w:pPr>
              <w:widowControl/>
              <w:jc w:val="center"/>
              <w:textAlignment w:val="bottom"/>
              <w:rPr>
                <w:rFonts w:ascii="宋体" w:hAnsi="宋体" w:eastAsia="宋体"/>
                <w:color w:val="000000"/>
                <w:sz w:val="18"/>
                <w:szCs w:val="18"/>
                <w:lang w:bidi="ar"/>
              </w:rPr>
            </w:pPr>
            <w:r>
              <w:rPr>
                <w:rFonts w:ascii="Times New Roman" w:hAnsi="Times New Roman" w:eastAsia="宋体" w:cs="Times New Roman"/>
                <w:color w:val="000000"/>
                <w:sz w:val="18"/>
                <w:szCs w:val="18"/>
                <w:lang w:bidi="ar"/>
              </w:rPr>
              <w:t>202</w:t>
            </w:r>
            <w:r>
              <w:rPr>
                <w:rFonts w:hint="eastAsia" w:ascii="Times New Roman" w:hAnsi="Times New Roman" w:eastAsia="宋体" w:cs="Times New Roman"/>
                <w:color w:val="000000"/>
                <w:sz w:val="18"/>
                <w:szCs w:val="18"/>
                <w:lang w:bidi="ar"/>
              </w:rPr>
              <w:t>5</w:t>
            </w:r>
            <w:r>
              <w:rPr>
                <w:rFonts w:hint="eastAsia" w:ascii="方正仿宋_GB2312" w:hAnsi="方正仿宋_GB2312" w:eastAsia="方正仿宋_GB2312" w:cs="方正仿宋_GB2312"/>
                <w:color w:val="000000"/>
                <w:sz w:val="18"/>
                <w:szCs w:val="18"/>
                <w:lang w:bidi="ar"/>
              </w:rPr>
              <w:t>年度</w:t>
            </w:r>
          </w:p>
        </w:tc>
        <w:tc>
          <w:tcPr>
            <w:tcW w:w="2128" w:type="pct"/>
            <w:gridSpan w:val="5"/>
            <w:tcBorders>
              <w:top w:val="nil"/>
              <w:left w:val="nil"/>
              <w:bottom w:val="single" w:color="000000" w:themeColor="text1" w:sz="8" w:space="0"/>
              <w:right w:val="nil"/>
            </w:tcBorders>
            <w:noWrap/>
            <w:vAlign w:val="bottom"/>
          </w:tcPr>
          <w:p>
            <w:pPr>
              <w:widowControl/>
              <w:jc w:val="right"/>
              <w:textAlignment w:val="bottom"/>
              <w:rPr>
                <w:rFonts w:ascii="宋体" w:hAnsi="宋体" w:eastAsia="宋体"/>
                <w:color w:val="000000"/>
                <w:sz w:val="18"/>
                <w:szCs w:val="18"/>
                <w:lang w:bidi="ar"/>
              </w:rPr>
            </w:pPr>
            <w:r>
              <w:rPr>
                <w:rFonts w:hint="eastAsia" w:ascii="方正仿宋_GB2312" w:hAnsi="方正仿宋_GB2312" w:eastAsia="方正仿宋_GB2312" w:cs="方正仿宋_GB2312"/>
                <w:color w:val="000000"/>
                <w:sz w:val="18"/>
                <w:szCs w:val="18"/>
                <w:lang w:bidi="ar"/>
              </w:rPr>
              <w:t>金额单位：万元</w:t>
            </w:r>
          </w:p>
        </w:tc>
      </w:tr>
      <w:tr>
        <w:tblPrEx>
          <w:tblCellMar>
            <w:top w:w="0" w:type="dxa"/>
            <w:left w:w="108" w:type="dxa"/>
            <w:bottom w:w="0" w:type="dxa"/>
            <w:right w:w="108" w:type="dxa"/>
          </w:tblCellMar>
        </w:tblPrEx>
        <w:trPr>
          <w:trHeight w:val="431" w:hRule="atLeast"/>
          <w:jc w:val="center"/>
        </w:trPr>
        <w:tc>
          <w:tcPr>
            <w:tcW w:w="2505"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预算数</w:t>
            </w:r>
          </w:p>
        </w:tc>
        <w:tc>
          <w:tcPr>
            <w:tcW w:w="2494" w:type="pct"/>
            <w:gridSpan w:val="6"/>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决算数</w:t>
            </w:r>
          </w:p>
        </w:tc>
      </w:tr>
      <w:tr>
        <w:tblPrEx>
          <w:tblCellMar>
            <w:top w:w="0" w:type="dxa"/>
            <w:left w:w="108" w:type="dxa"/>
            <w:bottom w:w="0" w:type="dxa"/>
            <w:right w:w="108" w:type="dxa"/>
          </w:tblCellMar>
        </w:tblPrEx>
        <w:trPr>
          <w:trHeight w:val="431" w:hRule="atLeast"/>
          <w:jc w:val="center"/>
        </w:trPr>
        <w:tc>
          <w:tcPr>
            <w:tcW w:w="424"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合计</w:t>
            </w:r>
          </w:p>
        </w:tc>
        <w:tc>
          <w:tcPr>
            <w:tcW w:w="52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公务接待费</w:t>
            </w:r>
          </w:p>
        </w:tc>
        <w:tc>
          <w:tcPr>
            <w:tcW w:w="3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合计</w:t>
            </w:r>
          </w:p>
        </w:tc>
        <w:tc>
          <w:tcPr>
            <w:tcW w:w="4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因公出国（境）费</w:t>
            </w:r>
          </w:p>
        </w:tc>
        <w:tc>
          <w:tcPr>
            <w:tcW w:w="1125"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公务用车购置及运行维护费</w:t>
            </w:r>
          </w:p>
        </w:tc>
        <w:tc>
          <w:tcPr>
            <w:tcW w:w="51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公务接待费</w:t>
            </w:r>
          </w:p>
        </w:tc>
      </w:tr>
      <w:tr>
        <w:tblPrEx>
          <w:tblCellMar>
            <w:top w:w="0" w:type="dxa"/>
            <w:left w:w="108" w:type="dxa"/>
            <w:bottom w:w="0" w:type="dxa"/>
            <w:right w:w="108" w:type="dxa"/>
          </w:tblCellMar>
        </w:tblPrEx>
        <w:trPr>
          <w:trHeight w:val="431" w:hRule="atLeast"/>
          <w:jc w:val="center"/>
        </w:trPr>
        <w:tc>
          <w:tcPr>
            <w:tcW w:w="424"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方正仿宋_GB2312" w:hAnsi="方正仿宋_GB2312" w:eastAsia="方正仿宋_GB2312" w:cs="方正仿宋_GB2312"/>
                <w:color w:val="000000"/>
                <w:sz w:val="18"/>
                <w:szCs w:val="18"/>
              </w:rPr>
            </w:pPr>
          </w:p>
        </w:tc>
        <w:tc>
          <w:tcPr>
            <w:tcW w:w="52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方正仿宋_GB2312" w:hAnsi="方正仿宋_GB2312" w:eastAsia="方正仿宋_GB2312" w:cs="方正仿宋_GB2312"/>
                <w:color w:val="000000"/>
                <w:sz w:val="18"/>
                <w:szCs w:val="18"/>
              </w:rPr>
            </w:pPr>
          </w:p>
        </w:tc>
        <w:tc>
          <w:tcPr>
            <w:tcW w:w="34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小计</w:t>
            </w:r>
          </w:p>
        </w:tc>
        <w:tc>
          <w:tcPr>
            <w:tcW w:w="4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公务用车购置费</w:t>
            </w:r>
          </w:p>
        </w:tc>
        <w:tc>
          <w:tcPr>
            <w:tcW w:w="4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方正仿宋_GB2312" w:hAnsi="方正仿宋_GB2312" w:eastAsia="方正仿宋_GB2312" w:cs="方正仿宋_GB2312"/>
                <w:color w:val="000000"/>
                <w:sz w:val="18"/>
                <w:szCs w:val="18"/>
              </w:rPr>
            </w:pPr>
          </w:p>
        </w:tc>
        <w:tc>
          <w:tcPr>
            <w:tcW w:w="3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方正仿宋_GB2312" w:hAnsi="方正仿宋_GB2312" w:eastAsia="方正仿宋_GB2312" w:cs="方正仿宋_GB2312"/>
                <w:color w:val="000000"/>
                <w:sz w:val="18"/>
                <w:szCs w:val="18"/>
              </w:rPr>
            </w:pPr>
          </w:p>
        </w:tc>
        <w:tc>
          <w:tcPr>
            <w:tcW w:w="4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方正仿宋_GB2312" w:hAnsi="方正仿宋_GB2312" w:eastAsia="方正仿宋_GB2312" w:cs="方正仿宋_GB2312"/>
                <w:color w:val="000000"/>
                <w:sz w:val="18"/>
                <w:szCs w:val="18"/>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小计</w:t>
            </w:r>
          </w:p>
        </w:tc>
        <w:tc>
          <w:tcPr>
            <w:tcW w:w="44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公务用车购置费</w:t>
            </w:r>
          </w:p>
        </w:tc>
        <w:tc>
          <w:tcPr>
            <w:tcW w:w="4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公务用车运行维护费</w:t>
            </w:r>
          </w:p>
        </w:tc>
        <w:tc>
          <w:tcPr>
            <w:tcW w:w="51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方正仿宋_GB2312" w:hAnsi="方正仿宋_GB2312" w:eastAsia="方正仿宋_GB2312" w:cs="方正仿宋_GB2312"/>
                <w:color w:val="000000"/>
                <w:sz w:val="18"/>
                <w:szCs w:val="18"/>
              </w:rPr>
            </w:pPr>
          </w:p>
        </w:tc>
      </w:tr>
      <w:tr>
        <w:tblPrEx>
          <w:tblCellMar>
            <w:top w:w="0" w:type="dxa"/>
            <w:left w:w="108" w:type="dxa"/>
            <w:bottom w:w="0" w:type="dxa"/>
            <w:right w:w="108" w:type="dxa"/>
          </w:tblCellMar>
        </w:tblPrEx>
        <w:trPr>
          <w:trHeight w:val="431" w:hRule="atLeast"/>
          <w:jc w:val="center"/>
        </w:trPr>
        <w:tc>
          <w:tcPr>
            <w:tcW w:w="4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1</w:t>
            </w:r>
          </w:p>
        </w:tc>
        <w:tc>
          <w:tcPr>
            <w:tcW w:w="52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2</w:t>
            </w:r>
          </w:p>
        </w:tc>
        <w:tc>
          <w:tcPr>
            <w:tcW w:w="34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3</w:t>
            </w:r>
          </w:p>
        </w:tc>
        <w:tc>
          <w:tcPr>
            <w:tcW w:w="4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4</w:t>
            </w:r>
          </w:p>
        </w:tc>
        <w:tc>
          <w:tcPr>
            <w:tcW w:w="4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6</w:t>
            </w:r>
          </w:p>
        </w:tc>
        <w:tc>
          <w:tcPr>
            <w:tcW w:w="3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7</w:t>
            </w:r>
          </w:p>
        </w:tc>
        <w:tc>
          <w:tcPr>
            <w:tcW w:w="48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9</w:t>
            </w:r>
          </w:p>
        </w:tc>
        <w:tc>
          <w:tcPr>
            <w:tcW w:w="44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10</w:t>
            </w:r>
          </w:p>
        </w:tc>
        <w:tc>
          <w:tcPr>
            <w:tcW w:w="4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11</w:t>
            </w:r>
          </w:p>
        </w:tc>
        <w:tc>
          <w:tcPr>
            <w:tcW w:w="51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12</w:t>
            </w:r>
          </w:p>
        </w:tc>
      </w:tr>
      <w:tr>
        <w:tblPrEx>
          <w:tblCellMar>
            <w:top w:w="0" w:type="dxa"/>
            <w:left w:w="108" w:type="dxa"/>
            <w:bottom w:w="0" w:type="dxa"/>
            <w:right w:w="108" w:type="dxa"/>
          </w:tblCellMar>
        </w:tblPrEx>
        <w:trPr>
          <w:trHeight w:val="431" w:hRule="atLeast"/>
          <w:jc w:val="center"/>
        </w:trPr>
        <w:tc>
          <w:tcPr>
            <w:tcW w:w="4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3.99</w:t>
            </w:r>
          </w:p>
        </w:tc>
        <w:tc>
          <w:tcPr>
            <w:tcW w:w="52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1.21</w:t>
            </w:r>
          </w:p>
        </w:tc>
        <w:tc>
          <w:tcPr>
            <w:tcW w:w="34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2.30</w:t>
            </w:r>
          </w:p>
        </w:tc>
        <w:tc>
          <w:tcPr>
            <w:tcW w:w="4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方正仿宋_GB2312" w:cs="Times New Roman"/>
                <w:color w:val="000000"/>
                <w:sz w:val="18"/>
                <w:szCs w:val="18"/>
              </w:rPr>
            </w:pPr>
          </w:p>
        </w:tc>
        <w:tc>
          <w:tcPr>
            <w:tcW w:w="4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2.30</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0.48</w:t>
            </w:r>
          </w:p>
        </w:tc>
        <w:tc>
          <w:tcPr>
            <w:tcW w:w="3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3.51</w:t>
            </w:r>
          </w:p>
        </w:tc>
        <w:tc>
          <w:tcPr>
            <w:tcW w:w="48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1.21</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2.30</w:t>
            </w:r>
          </w:p>
        </w:tc>
        <w:tc>
          <w:tcPr>
            <w:tcW w:w="44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方正仿宋_GB2312" w:cs="Times New Roman"/>
                <w:color w:val="000000"/>
                <w:sz w:val="18"/>
                <w:szCs w:val="18"/>
              </w:rPr>
            </w:pPr>
          </w:p>
        </w:tc>
        <w:tc>
          <w:tcPr>
            <w:tcW w:w="4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2.30</w:t>
            </w:r>
          </w:p>
        </w:tc>
        <w:tc>
          <w:tcPr>
            <w:tcW w:w="51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方正仿宋_GB2312" w:cs="Times New Roman"/>
                <w:color w:val="000000"/>
                <w:sz w:val="18"/>
                <w:szCs w:val="18"/>
              </w:rPr>
            </w:pPr>
          </w:p>
        </w:tc>
      </w:tr>
      <w:tr>
        <w:tblPrEx>
          <w:tblCellMar>
            <w:top w:w="0" w:type="dxa"/>
            <w:left w:w="108" w:type="dxa"/>
            <w:bottom w:w="0" w:type="dxa"/>
            <w:right w:w="108" w:type="dxa"/>
          </w:tblCellMar>
        </w:tblPrEx>
        <w:trPr>
          <w:trHeight w:val="431" w:hRule="atLeast"/>
          <w:jc w:val="center"/>
        </w:trPr>
        <w:tc>
          <w:tcPr>
            <w:tcW w:w="5000" w:type="pct"/>
            <w:gridSpan w:val="13"/>
            <w:tcBorders>
              <w:top w:val="single" w:color="000000" w:themeColor="text1" w:sz="8" w:space="0"/>
              <w:left w:val="nil"/>
              <w:bottom w:val="nil"/>
              <w:right w:val="nil"/>
            </w:tcBorders>
            <w:noWrap/>
            <w:vAlign w:val="center"/>
          </w:tcPr>
          <w:p>
            <w:pPr>
              <w:widowControl/>
              <w:jc w:val="left"/>
              <w:textAlignment w:val="center"/>
              <w:rPr>
                <w:rFonts w:ascii="宋体" w:hAnsi="宋体" w:eastAsia="宋体"/>
                <w:color w:val="000000"/>
                <w:sz w:val="18"/>
                <w:szCs w:val="18"/>
              </w:rPr>
            </w:pPr>
            <w:r>
              <w:rPr>
                <w:rFonts w:hint="eastAsia" w:ascii="方正仿宋_GB2312" w:hAnsi="方正仿宋_GB2312" w:eastAsia="方正仿宋_GB2312" w:cs="方正仿宋_GB2312"/>
                <w:color w:val="000000"/>
                <w:sz w:val="18"/>
                <w:szCs w:val="18"/>
                <w:lang w:bidi="ar"/>
              </w:rPr>
              <w:t>注：本表反映</w:t>
            </w:r>
            <w:r>
              <w:rPr>
                <w:rFonts w:hint="eastAsia" w:ascii="方正仿宋_GB2312" w:hAnsi="方正仿宋_GB2312" w:eastAsia="方正仿宋_GB2312" w:cs="方正仿宋_GB2312"/>
                <w:color w:val="000000"/>
                <w:sz w:val="18"/>
                <w:szCs w:val="18"/>
                <w:lang w:eastAsia="zh-CN" w:bidi="ar"/>
              </w:rPr>
              <w:t>单位</w:t>
            </w:r>
            <w:r>
              <w:rPr>
                <w:rFonts w:hint="eastAsia" w:ascii="方正仿宋_GB2312" w:hAnsi="方正仿宋_GB2312" w:eastAsia="方正仿宋_GB2312" w:cs="方正仿宋_GB2312"/>
                <w:color w:val="000000"/>
                <w:sz w:val="18"/>
                <w:szCs w:val="18"/>
                <w:lang w:bidi="ar"/>
              </w:rPr>
              <w:t>本年度财政拨款“三公”经费支出预决算情况。其中：预算数为“三公”经费全年预算数，反映按规定程序调整后的预算数；决算数是包括当年财政拨款和以前年度结转资金安排的实际支出。</w:t>
            </w:r>
          </w:p>
        </w:tc>
      </w:tr>
    </w:tbl>
    <w:p>
      <w:pPr>
        <w:rPr>
          <w:rFonts w:ascii="仿宋_GB2312" w:hAnsi="宋体" w:eastAsia="仿宋_GB2312"/>
          <w:b/>
          <w:sz w:val="32"/>
          <w:szCs w:val="32"/>
        </w:rPr>
      </w:pPr>
    </w:p>
    <w:p>
      <w:pPr>
        <w:rPr>
          <w:rFonts w:ascii="仿宋_GB2312" w:hAnsi="宋体" w:eastAsia="仿宋_GB2312"/>
          <w:b/>
          <w:sz w:val="32"/>
          <w:szCs w:val="32"/>
        </w:rPr>
      </w:pPr>
      <w:r>
        <w:rPr>
          <w:rFonts w:hint="eastAsia" w:ascii="仿宋_GB2312" w:hAnsi="宋体" w:eastAsia="仿宋_GB2312"/>
          <w:b/>
          <w:sz w:val="32"/>
          <w:szCs w:val="32"/>
        </w:rPr>
        <w:br w:type="page"/>
      </w:r>
    </w:p>
    <w:p>
      <w:pPr>
        <w:pStyle w:val="10"/>
        <w:widowControl/>
        <w:spacing w:beforeAutospacing="0" w:afterAutospacing="0"/>
        <w:jc w:val="both"/>
        <w:rPr>
          <w:rFonts w:ascii="黑体" w:hAnsi="宋体" w:eastAsia="黑体" w:cs="黑体"/>
          <w:color w:val="000000"/>
          <w:spacing w:val="-20"/>
          <w:sz w:val="72"/>
          <w:szCs w:val="72"/>
          <w:shd w:val="clear" w:color="auto" w:fill="FFFFFF"/>
        </w:rPr>
      </w:pPr>
    </w:p>
    <w:p>
      <w:pPr>
        <w:pStyle w:val="10"/>
        <w:widowControl/>
        <w:spacing w:beforeAutospacing="0" w:afterAutospacing="0"/>
        <w:jc w:val="both"/>
        <w:rPr>
          <w:rFonts w:ascii="黑体" w:hAnsi="宋体" w:eastAsia="黑体" w:cs="黑体"/>
          <w:color w:val="000000"/>
          <w:spacing w:val="-20"/>
          <w:sz w:val="72"/>
          <w:szCs w:val="72"/>
          <w:shd w:val="clear" w:color="auto" w:fill="FFFFFF"/>
        </w:rPr>
      </w:pPr>
    </w:p>
    <w:p>
      <w:pPr>
        <w:pStyle w:val="10"/>
        <w:widowControl/>
        <w:spacing w:beforeAutospacing="0" w:afterAutospacing="0"/>
        <w:jc w:val="both"/>
        <w:rPr>
          <w:rFonts w:ascii="黑体" w:hAnsi="宋体" w:eastAsia="黑体" w:cs="黑体"/>
          <w:color w:val="000000"/>
          <w:spacing w:val="-20"/>
          <w:sz w:val="72"/>
          <w:szCs w:val="72"/>
          <w:shd w:val="clear" w:color="auto" w:fill="FFFFFF"/>
        </w:rPr>
      </w:pPr>
    </w:p>
    <w:p>
      <w:pPr>
        <w:pStyle w:val="10"/>
        <w:widowControl/>
        <w:spacing w:beforeAutospacing="0" w:afterAutospacing="0"/>
        <w:jc w:val="both"/>
        <w:rPr>
          <w:rFonts w:ascii="黑体" w:hAnsi="宋体" w:eastAsia="黑体" w:cs="黑体"/>
          <w:color w:val="000000"/>
          <w:spacing w:val="-20"/>
          <w:sz w:val="72"/>
          <w:szCs w:val="72"/>
          <w:shd w:val="clear" w:color="auto" w:fill="FFFFFF"/>
        </w:rPr>
      </w:pPr>
    </w:p>
    <w:p>
      <w:pPr>
        <w:widowControl/>
        <w:spacing w:line="360" w:lineRule="auto"/>
        <w:jc w:val="center"/>
        <w:outlineLvl w:val="0"/>
        <w:rPr>
          <w:rFonts w:ascii="Times New Roman" w:eastAsia="黑体"/>
          <w:sz w:val="44"/>
          <w:szCs w:val="44"/>
        </w:rPr>
      </w:pPr>
      <w:r>
        <w:rPr>
          <w:rFonts w:ascii="Times New Roman" w:eastAsia="黑体"/>
          <w:sz w:val="44"/>
          <w:szCs w:val="44"/>
        </w:rPr>
        <w:t>第三部分</w:t>
      </w:r>
    </w:p>
    <w:p>
      <w:pPr>
        <w:widowControl/>
        <w:spacing w:line="360" w:lineRule="auto"/>
        <w:jc w:val="center"/>
        <w:outlineLvl w:val="0"/>
        <w:rPr>
          <w:rFonts w:ascii="Times New Roman" w:eastAsia="黑体"/>
          <w:sz w:val="44"/>
          <w:szCs w:val="44"/>
        </w:rPr>
      </w:pPr>
      <w:r>
        <w:rPr>
          <w:rFonts w:ascii="Times New Roman" w:eastAsia="仿宋_GB2312"/>
          <w:sz w:val="44"/>
          <w:szCs w:val="44"/>
        </w:rPr>
        <w:t>2025</w:t>
      </w:r>
      <w:r>
        <w:rPr>
          <w:rFonts w:ascii="Times New Roman" w:eastAsia="黑体"/>
          <w:sz w:val="44"/>
          <w:szCs w:val="44"/>
        </w:rPr>
        <w:t>年度</w:t>
      </w:r>
      <w:r>
        <w:rPr>
          <w:rFonts w:hint="eastAsia" w:ascii="Times New Roman" w:eastAsia="黑体"/>
          <w:sz w:val="44"/>
          <w:szCs w:val="44"/>
          <w:lang w:eastAsia="zh-CN"/>
        </w:rPr>
        <w:t>单位</w:t>
      </w:r>
      <w:r>
        <w:rPr>
          <w:rFonts w:ascii="Times New Roman" w:eastAsia="黑体"/>
          <w:sz w:val="44"/>
          <w:szCs w:val="44"/>
        </w:rPr>
        <w:t>决算情况说明</w:t>
      </w:r>
    </w:p>
    <w:p>
      <w:pPr>
        <w:pStyle w:val="10"/>
        <w:widowControl/>
        <w:spacing w:beforeAutospacing="0" w:afterAutospacing="0"/>
        <w:jc w:val="both"/>
        <w:outlineLvl w:val="1"/>
        <w:rPr>
          <w:rFonts w:ascii="黑体" w:hAnsi="Calibri" w:eastAsia="黑体"/>
          <w:kern w:val="2"/>
          <w:sz w:val="32"/>
          <w:szCs w:val="32"/>
        </w:rPr>
      </w:pPr>
    </w:p>
    <w:p>
      <w:pPr>
        <w:pStyle w:val="10"/>
        <w:widowControl/>
        <w:spacing w:beforeAutospacing="0" w:afterAutospacing="0"/>
        <w:jc w:val="both"/>
        <w:outlineLvl w:val="1"/>
        <w:rPr>
          <w:rFonts w:ascii="黑体" w:hAnsi="Calibri" w:eastAsia="黑体"/>
          <w:kern w:val="2"/>
          <w:sz w:val="32"/>
          <w:szCs w:val="32"/>
        </w:rPr>
      </w:pPr>
    </w:p>
    <w:p>
      <w:pPr>
        <w:pStyle w:val="10"/>
        <w:widowControl/>
        <w:spacing w:beforeAutospacing="0" w:afterAutospacing="0"/>
        <w:jc w:val="both"/>
        <w:outlineLvl w:val="1"/>
        <w:rPr>
          <w:rFonts w:ascii="黑体" w:hAnsi="Calibri" w:eastAsia="黑体"/>
          <w:kern w:val="2"/>
          <w:sz w:val="32"/>
          <w:szCs w:val="32"/>
        </w:rPr>
      </w:pPr>
    </w:p>
    <w:p>
      <w:pPr>
        <w:pStyle w:val="10"/>
        <w:widowControl/>
        <w:spacing w:beforeAutospacing="0" w:afterAutospacing="0"/>
        <w:jc w:val="both"/>
        <w:outlineLvl w:val="1"/>
        <w:rPr>
          <w:rFonts w:ascii="黑体" w:hAnsi="Calibri" w:eastAsia="黑体"/>
          <w:kern w:val="2"/>
          <w:sz w:val="32"/>
          <w:szCs w:val="32"/>
        </w:rPr>
      </w:pPr>
    </w:p>
    <w:p>
      <w:pPr>
        <w:pStyle w:val="10"/>
        <w:widowControl/>
        <w:spacing w:beforeAutospacing="0" w:afterAutospacing="0"/>
        <w:jc w:val="both"/>
        <w:outlineLvl w:val="1"/>
        <w:rPr>
          <w:rFonts w:ascii="黑体" w:hAnsi="Calibri" w:eastAsia="黑体"/>
          <w:kern w:val="2"/>
          <w:sz w:val="32"/>
          <w:szCs w:val="32"/>
        </w:rPr>
      </w:pPr>
    </w:p>
    <w:p>
      <w:pPr>
        <w:pStyle w:val="10"/>
        <w:widowControl/>
        <w:spacing w:beforeAutospacing="0" w:afterAutospacing="0"/>
        <w:jc w:val="both"/>
        <w:outlineLvl w:val="1"/>
        <w:rPr>
          <w:rFonts w:ascii="黑体" w:hAnsi="Calibri" w:eastAsia="黑体"/>
          <w:kern w:val="2"/>
          <w:sz w:val="32"/>
          <w:szCs w:val="32"/>
        </w:rPr>
      </w:pPr>
    </w:p>
    <w:p>
      <w:pPr>
        <w:pStyle w:val="10"/>
        <w:widowControl/>
        <w:spacing w:beforeAutospacing="0" w:afterAutospacing="0"/>
        <w:jc w:val="both"/>
        <w:outlineLvl w:val="1"/>
        <w:rPr>
          <w:rFonts w:ascii="黑体" w:hAnsi="Calibri" w:eastAsia="黑体"/>
          <w:kern w:val="2"/>
          <w:sz w:val="32"/>
          <w:szCs w:val="32"/>
        </w:rPr>
      </w:pPr>
    </w:p>
    <w:p>
      <w:pPr>
        <w:pStyle w:val="10"/>
        <w:widowControl/>
        <w:spacing w:beforeAutospacing="0" w:afterAutospacing="0"/>
        <w:jc w:val="both"/>
        <w:outlineLvl w:val="1"/>
        <w:rPr>
          <w:rFonts w:ascii="黑体" w:hAnsi="Calibri" w:eastAsia="黑体"/>
          <w:kern w:val="2"/>
          <w:sz w:val="32"/>
          <w:szCs w:val="32"/>
        </w:rPr>
      </w:pPr>
    </w:p>
    <w:p>
      <w:pPr>
        <w:pStyle w:val="10"/>
        <w:widowControl/>
        <w:spacing w:beforeAutospacing="0" w:afterAutospacing="0"/>
        <w:jc w:val="both"/>
        <w:outlineLvl w:val="1"/>
        <w:rPr>
          <w:rFonts w:ascii="黑体" w:hAnsi="Calibri" w:eastAsia="黑体"/>
          <w:kern w:val="2"/>
          <w:sz w:val="32"/>
          <w:szCs w:val="32"/>
        </w:rPr>
      </w:pPr>
    </w:p>
    <w:p>
      <w:pPr>
        <w:pStyle w:val="10"/>
        <w:widowControl/>
        <w:spacing w:beforeAutospacing="0" w:afterAutospacing="0"/>
        <w:jc w:val="both"/>
        <w:outlineLvl w:val="1"/>
        <w:rPr>
          <w:rFonts w:ascii="黑体" w:hAnsi="Calibri" w:eastAsia="黑体"/>
          <w:kern w:val="2"/>
          <w:sz w:val="32"/>
          <w:szCs w:val="32"/>
        </w:rPr>
        <w:sectPr>
          <w:headerReference r:id="rId7" w:type="default"/>
          <w:footerReference r:id="rId8" w:type="default"/>
          <w:pgSz w:w="11906" w:h="16838"/>
          <w:pgMar w:top="2098" w:right="1417" w:bottom="1871" w:left="1417" w:header="851" w:footer="992" w:gutter="0"/>
          <w:cols w:space="0" w:num="1"/>
          <w:docGrid w:type="lines" w:linePitch="329" w:charSpace="0"/>
        </w:sectPr>
      </w:pPr>
    </w:p>
    <w:p>
      <w:pPr>
        <w:widowControl/>
        <w:spacing w:line="360" w:lineRule="auto"/>
        <w:jc w:val="left"/>
        <w:outlineLvl w:val="1"/>
        <w:rPr>
          <w:rFonts w:ascii="Times New Roman" w:eastAsia="黑体"/>
          <w:sz w:val="32"/>
          <w:szCs w:val="32"/>
        </w:rPr>
      </w:pPr>
      <w:r>
        <w:rPr>
          <w:rFonts w:ascii="Times New Roman" w:eastAsia="黑体"/>
          <w:sz w:val="32"/>
          <w:szCs w:val="32"/>
        </w:rPr>
        <w:t>一、收入支出决算总体情况说明</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w:t>
      </w:r>
      <w:r>
        <w:rPr>
          <w:rFonts w:hint="eastAsia" w:ascii="Times New Roman" w:eastAsia="仿宋_GB2312"/>
          <w:sz w:val="32"/>
          <w:szCs w:val="32"/>
          <w:lang w:eastAsia="zh-CN"/>
        </w:rPr>
        <w:t>单位</w:t>
      </w:r>
      <w:r>
        <w:rPr>
          <w:rFonts w:ascii="Times New Roman" w:eastAsia="仿宋_GB2312"/>
          <w:sz w:val="32"/>
          <w:szCs w:val="32"/>
        </w:rPr>
        <w:t>2025年度收、支总计（含结转和结余）均为2,699.2</w:t>
      </w:r>
      <w:r>
        <w:rPr>
          <w:rFonts w:hint="default" w:ascii="Times New Roman" w:eastAsia="仿宋_GB2312"/>
          <w:sz w:val="32"/>
          <w:szCs w:val="32"/>
          <w:lang w:val="en"/>
        </w:rPr>
        <w:t>0</w:t>
      </w:r>
      <w:r>
        <w:rPr>
          <w:rFonts w:ascii="Times New Roman" w:eastAsia="仿宋_GB2312"/>
          <w:sz w:val="32"/>
          <w:szCs w:val="32"/>
        </w:rPr>
        <w:t>万元。与2024年度决算相比，收支各减少4,084.58万元，下降60.2%，主要原因是</w:t>
      </w:r>
      <w:r>
        <w:rPr>
          <w:rFonts w:hint="eastAsia" w:ascii="Times New Roman" w:eastAsia="仿宋_GB2312"/>
          <w:sz w:val="32"/>
          <w:szCs w:val="32"/>
          <w:lang w:eastAsia="zh-CN"/>
        </w:rPr>
        <w:t>政策原因，“金十条”政策奖补资金发放减少</w:t>
      </w:r>
      <w:r>
        <w:rPr>
          <w:rFonts w:ascii="Times New Roman" w:eastAsia="仿宋_GB2312"/>
          <w:sz w:val="32"/>
          <w:szCs w:val="32"/>
        </w:rPr>
        <w:t>。</w:t>
      </w:r>
    </w:p>
    <w:p>
      <w:pPr>
        <w:pStyle w:val="10"/>
        <w:widowControl/>
        <w:spacing w:beforeAutospacing="0" w:afterAutospacing="0"/>
        <w:jc w:val="center"/>
        <w:rPr>
          <w:rFonts w:ascii="Times New Roman" w:hAnsi="Times New Roman" w:eastAsia="Arial"/>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Pr>
          <w:rFonts w:ascii="Times New Roman" w:hAnsi="Times New Roman" w:eastAsia="Arial"/>
          <w:color w:val="000000"/>
          <w:sz w:val="18"/>
          <w:szCs w:val="18"/>
          <w:shd w:val="clear" w:color="auto" w:fill="FFFFFF"/>
        </w:rPr>
        <w:t> </w:t>
      </w:r>
    </w:p>
    <w:p>
      <w:pPr>
        <w:widowControl/>
        <w:spacing w:line="360" w:lineRule="auto"/>
        <w:jc w:val="left"/>
        <w:outlineLvl w:val="1"/>
        <w:rPr>
          <w:rFonts w:ascii="Times New Roman" w:eastAsia="黑体"/>
          <w:sz w:val="32"/>
          <w:szCs w:val="32"/>
        </w:rPr>
      </w:pPr>
      <w:r>
        <w:rPr>
          <w:rFonts w:ascii="Times New Roman" w:eastAsia="黑体"/>
          <w:sz w:val="32"/>
          <w:szCs w:val="32"/>
        </w:rPr>
        <w:t>二、收入决算情况说明</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本单位2025年度本年收入合计2,699.2</w:t>
      </w:r>
      <w:r>
        <w:rPr>
          <w:rFonts w:hint="default" w:ascii="Times New Roman" w:eastAsia="仿宋_GB2312"/>
          <w:sz w:val="32"/>
          <w:szCs w:val="32"/>
          <w:lang w:val="en"/>
        </w:rPr>
        <w:t>0</w:t>
      </w:r>
      <w:r>
        <w:rPr>
          <w:rFonts w:ascii="Times New Roman" w:eastAsia="仿宋_GB2312"/>
          <w:sz w:val="32"/>
          <w:szCs w:val="32"/>
        </w:rPr>
        <w:t>万元，其中：财政拨款收入2,699.2</w:t>
      </w:r>
      <w:r>
        <w:rPr>
          <w:rFonts w:hint="default" w:ascii="Times New Roman" w:eastAsia="仿宋_GB2312"/>
          <w:sz w:val="32"/>
          <w:szCs w:val="32"/>
          <w:lang w:val="en"/>
        </w:rPr>
        <w:t>0</w:t>
      </w:r>
      <w:r>
        <w:rPr>
          <w:rFonts w:ascii="Times New Roman" w:eastAsia="仿宋_GB2312"/>
          <w:sz w:val="32"/>
          <w:szCs w:val="32"/>
        </w:rPr>
        <w:t>万元，占100</w:t>
      </w:r>
      <w:r>
        <w:rPr>
          <w:rFonts w:hint="default" w:ascii="Times New Roman" w:eastAsia="仿宋_GB2312"/>
          <w:sz w:val="32"/>
          <w:szCs w:val="32"/>
          <w:lang w:val="en"/>
        </w:rPr>
        <w:t>.0</w:t>
      </w:r>
      <w:r>
        <w:rPr>
          <w:rFonts w:ascii="Times New Roman" w:eastAsia="仿宋_GB2312"/>
          <w:sz w:val="32"/>
          <w:szCs w:val="32"/>
        </w:rPr>
        <w:t>%；上级补助收入0万元，占0</w:t>
      </w:r>
      <w:r>
        <w:rPr>
          <w:rFonts w:hint="default" w:ascii="Times New Roman" w:eastAsia="仿宋_GB2312"/>
          <w:sz w:val="32"/>
          <w:szCs w:val="32"/>
          <w:lang w:val="en"/>
        </w:rPr>
        <w:t>.0</w:t>
      </w:r>
      <w:r>
        <w:rPr>
          <w:rFonts w:ascii="Times New Roman" w:eastAsia="仿宋_GB2312"/>
          <w:sz w:val="32"/>
          <w:szCs w:val="32"/>
        </w:rPr>
        <w:t>%；事业收入0万元，占0</w:t>
      </w:r>
      <w:r>
        <w:rPr>
          <w:rFonts w:hint="default" w:ascii="Times New Roman" w:eastAsia="仿宋_GB2312"/>
          <w:sz w:val="32"/>
          <w:szCs w:val="32"/>
          <w:lang w:val="en"/>
        </w:rPr>
        <w:t>.0</w:t>
      </w:r>
      <w:r>
        <w:rPr>
          <w:rFonts w:ascii="Times New Roman" w:eastAsia="仿宋_GB2312"/>
          <w:sz w:val="32"/>
          <w:szCs w:val="32"/>
        </w:rPr>
        <w:t>%；经营收入0万元，占0</w:t>
      </w:r>
      <w:r>
        <w:rPr>
          <w:rFonts w:hint="default" w:ascii="Times New Roman" w:eastAsia="仿宋_GB2312"/>
          <w:sz w:val="32"/>
          <w:szCs w:val="32"/>
          <w:lang w:val="en"/>
        </w:rPr>
        <w:t>.0</w:t>
      </w:r>
      <w:r>
        <w:rPr>
          <w:rFonts w:ascii="Times New Roman" w:eastAsia="仿宋_GB2312"/>
          <w:sz w:val="32"/>
          <w:szCs w:val="32"/>
        </w:rPr>
        <w:t>%；附属单位上缴收入0万元，占0</w:t>
      </w:r>
      <w:r>
        <w:rPr>
          <w:rFonts w:hint="default" w:ascii="Times New Roman" w:eastAsia="仿宋_GB2312"/>
          <w:sz w:val="32"/>
          <w:szCs w:val="32"/>
          <w:lang w:val="en"/>
        </w:rPr>
        <w:t>.0</w:t>
      </w:r>
      <w:r>
        <w:rPr>
          <w:rFonts w:ascii="Times New Roman" w:eastAsia="仿宋_GB2312"/>
          <w:sz w:val="32"/>
          <w:szCs w:val="32"/>
        </w:rPr>
        <w:t>%；其他收入0万元，占0</w:t>
      </w:r>
      <w:r>
        <w:rPr>
          <w:rFonts w:hint="default" w:ascii="Times New Roman" w:eastAsia="仿宋_GB2312"/>
          <w:sz w:val="32"/>
          <w:szCs w:val="32"/>
          <w:lang w:val="en"/>
        </w:rPr>
        <w:t>.0</w:t>
      </w:r>
      <w:r>
        <w:rPr>
          <w:rFonts w:ascii="Times New Roman" w:eastAsia="仿宋_GB2312"/>
          <w:sz w:val="32"/>
          <w:szCs w:val="32"/>
        </w:rPr>
        <w:t>%。</w:t>
      </w:r>
    </w:p>
    <w:p>
      <w:pPr>
        <w:adjustRightInd w:val="0"/>
        <w:snapToGrid w:val="0"/>
        <w:spacing w:line="580" w:lineRule="exact"/>
        <w:rPr>
          <w:rFonts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pPr>
        <w:widowControl/>
        <w:spacing w:line="360" w:lineRule="auto"/>
        <w:jc w:val="left"/>
        <w:outlineLvl w:val="1"/>
        <w:rPr>
          <w:rFonts w:ascii="Times New Roman" w:eastAsia="黑体"/>
          <w:sz w:val="32"/>
          <w:szCs w:val="32"/>
        </w:rPr>
      </w:pPr>
      <w:r>
        <w:rPr>
          <w:rFonts w:ascii="Times New Roman" w:eastAsia="黑体"/>
          <w:sz w:val="32"/>
          <w:szCs w:val="32"/>
        </w:rPr>
        <w:t>三、支出决算情况说明</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w:t>
      </w:r>
      <w:r>
        <w:rPr>
          <w:rFonts w:hint="eastAsia" w:ascii="Times New Roman" w:eastAsia="仿宋_GB2312"/>
          <w:sz w:val="32"/>
          <w:szCs w:val="32"/>
          <w:lang w:eastAsia="zh-CN"/>
        </w:rPr>
        <w:t>单位</w:t>
      </w:r>
      <w:r>
        <w:rPr>
          <w:rFonts w:ascii="Times New Roman" w:eastAsia="仿宋_GB2312"/>
          <w:sz w:val="32"/>
          <w:szCs w:val="32"/>
        </w:rPr>
        <w:t>2025年度本年支出合计2,699.2</w:t>
      </w:r>
      <w:r>
        <w:rPr>
          <w:rFonts w:hint="default" w:ascii="Times New Roman" w:eastAsia="仿宋_GB2312"/>
          <w:sz w:val="32"/>
          <w:szCs w:val="32"/>
          <w:lang w:val="en"/>
        </w:rPr>
        <w:t>0</w:t>
      </w:r>
      <w:r>
        <w:rPr>
          <w:rFonts w:ascii="Times New Roman" w:eastAsia="仿宋_GB2312"/>
          <w:sz w:val="32"/>
          <w:szCs w:val="32"/>
        </w:rPr>
        <w:t>万元，其中：基本支出1,063.03万元，占39.4%；项目支出1,636.18万元，占60.6%；经营支出0万元，占0</w:t>
      </w:r>
      <w:r>
        <w:rPr>
          <w:rFonts w:hint="default" w:ascii="Times New Roman" w:eastAsia="仿宋_GB2312"/>
          <w:sz w:val="32"/>
          <w:szCs w:val="32"/>
          <w:lang w:val="en"/>
        </w:rPr>
        <w:t>.0</w:t>
      </w:r>
      <w:r>
        <w:rPr>
          <w:rFonts w:ascii="Times New Roman" w:eastAsia="仿宋_GB2312"/>
          <w:sz w:val="32"/>
          <w:szCs w:val="32"/>
        </w:rPr>
        <w:t>%；上缴上级支出0万元，占0</w:t>
      </w:r>
      <w:r>
        <w:rPr>
          <w:rFonts w:hint="default" w:ascii="Times New Roman" w:eastAsia="仿宋_GB2312"/>
          <w:sz w:val="32"/>
          <w:szCs w:val="32"/>
          <w:lang w:val="en"/>
        </w:rPr>
        <w:t>.0</w:t>
      </w:r>
      <w:r>
        <w:rPr>
          <w:rFonts w:ascii="Times New Roman" w:eastAsia="仿宋_GB2312"/>
          <w:sz w:val="32"/>
          <w:szCs w:val="32"/>
        </w:rPr>
        <w:t>%；对附属单位补助支出0万元，占0</w:t>
      </w:r>
      <w:r>
        <w:rPr>
          <w:rFonts w:hint="default" w:ascii="Times New Roman" w:eastAsia="仿宋_GB2312"/>
          <w:sz w:val="32"/>
          <w:szCs w:val="32"/>
          <w:lang w:val="en"/>
        </w:rPr>
        <w:t>.0</w:t>
      </w:r>
      <w:r>
        <w:rPr>
          <w:rFonts w:ascii="Times New Roman" w:eastAsia="仿宋_GB2312"/>
          <w:sz w:val="32"/>
          <w:szCs w:val="32"/>
        </w:rPr>
        <w:t>%。</w:t>
      </w:r>
    </w:p>
    <w:p>
      <w:pPr>
        <w:autoSpaceDE w:val="0"/>
        <w:autoSpaceDN w:val="0"/>
        <w:adjustRightInd w:val="0"/>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四、财政拨款收入支出决算总体情况说明</w:t>
      </w:r>
    </w:p>
    <w:p>
      <w:pPr>
        <w:widowControl/>
        <w:spacing w:line="360" w:lineRule="auto"/>
        <w:ind w:firstLine="642"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w:t>
      </w:r>
      <w:r>
        <w:rPr>
          <w:rFonts w:hint="eastAsia" w:ascii="Times New Roman" w:eastAsia="仿宋_GB2312"/>
          <w:sz w:val="32"/>
          <w:szCs w:val="32"/>
          <w:lang w:eastAsia="zh-CN"/>
        </w:rPr>
        <w:t>单位</w:t>
      </w:r>
      <w:r>
        <w:rPr>
          <w:rFonts w:ascii="Times New Roman" w:eastAsia="仿宋_GB2312"/>
          <w:sz w:val="32"/>
          <w:szCs w:val="32"/>
        </w:rPr>
        <w:t>2025年度财政拨款收、支总计（含结转和结余）均为2,699.2</w:t>
      </w:r>
      <w:r>
        <w:rPr>
          <w:rFonts w:hint="default" w:ascii="Times New Roman" w:eastAsia="仿宋_GB2312"/>
          <w:sz w:val="32"/>
          <w:szCs w:val="32"/>
          <w:lang w:val="en"/>
        </w:rPr>
        <w:t>0</w:t>
      </w:r>
      <w:r>
        <w:rPr>
          <w:rFonts w:ascii="Times New Roman" w:eastAsia="仿宋_GB2312"/>
          <w:sz w:val="32"/>
          <w:szCs w:val="32"/>
        </w:rPr>
        <w:t>万元。与2024年度相比，财政拨款收支各减少4,084.58万元，降低60.2%，主要原因是</w:t>
      </w:r>
      <w:r>
        <w:rPr>
          <w:rFonts w:hint="eastAsia" w:ascii="Times New Roman" w:eastAsia="仿宋_GB2312"/>
          <w:sz w:val="32"/>
          <w:szCs w:val="32"/>
        </w:rPr>
        <w:t>政策原因，“金十条”政策奖补资金发放减少</w:t>
      </w:r>
      <w:r>
        <w:rPr>
          <w:rFonts w:ascii="Times New Roman" w:eastAsia="仿宋_GB2312"/>
          <w:sz w:val="32"/>
          <w:szCs w:val="32"/>
        </w:rPr>
        <w:t>。</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w:t>
      </w:r>
      <w:r>
        <w:rPr>
          <w:rFonts w:hint="eastAsia" w:ascii="Times New Roman" w:eastAsia="仿宋_GB2312"/>
          <w:sz w:val="32"/>
          <w:szCs w:val="32"/>
          <w:lang w:eastAsia="zh-CN"/>
        </w:rPr>
        <w:t>单位</w:t>
      </w:r>
      <w:r>
        <w:rPr>
          <w:rFonts w:ascii="Times New Roman" w:eastAsia="仿宋_GB2312"/>
          <w:sz w:val="32"/>
          <w:szCs w:val="32"/>
        </w:rPr>
        <w:t>2025年度财政拨款本年收入2,699.20万元,比上年减少4,084.58万元，降低60.2%，主要原因是</w:t>
      </w:r>
      <w:r>
        <w:rPr>
          <w:rFonts w:hint="eastAsia" w:ascii="Times New Roman" w:eastAsia="仿宋_GB2312"/>
          <w:sz w:val="32"/>
          <w:szCs w:val="32"/>
        </w:rPr>
        <w:t>政策原因，“金十条”政策奖补资金发放减少</w:t>
      </w:r>
      <w:r>
        <w:rPr>
          <w:rFonts w:ascii="Times New Roman" w:eastAsia="仿宋_GB2312"/>
          <w:sz w:val="32"/>
          <w:szCs w:val="32"/>
        </w:rPr>
        <w:t>；本年支出2,699.2</w:t>
      </w:r>
      <w:r>
        <w:rPr>
          <w:rFonts w:hint="default" w:ascii="Times New Roman" w:eastAsia="仿宋_GB2312"/>
          <w:sz w:val="32"/>
          <w:szCs w:val="32"/>
          <w:lang w:val="en"/>
        </w:rPr>
        <w:t>0</w:t>
      </w:r>
      <w:r>
        <w:rPr>
          <w:rFonts w:ascii="Times New Roman" w:eastAsia="仿宋_GB2312"/>
          <w:sz w:val="32"/>
          <w:szCs w:val="32"/>
        </w:rPr>
        <w:t>万元，比上年减少4,084.58万元，降低60.2%，主要原因是</w:t>
      </w:r>
      <w:r>
        <w:rPr>
          <w:rFonts w:hint="eastAsia" w:ascii="Times New Roman" w:eastAsia="仿宋_GB2312"/>
          <w:sz w:val="32"/>
          <w:szCs w:val="32"/>
        </w:rPr>
        <w:t>政策原因，“金十条”政策奖补资金发放减少</w:t>
      </w:r>
      <w:r>
        <w:rPr>
          <w:rFonts w:ascii="Times New Roman" w:eastAsia="仿宋_GB2312"/>
          <w:sz w:val="32"/>
          <w:szCs w:val="32"/>
        </w:rPr>
        <w:t>。具体情况如下：</w:t>
      </w:r>
    </w:p>
    <w:p>
      <w:pPr>
        <w:widowControl/>
        <w:spacing w:line="360" w:lineRule="auto"/>
        <w:ind w:firstLine="640" w:firstLineChars="200"/>
        <w:jc w:val="left"/>
        <w:outlineLvl w:val="1"/>
        <w:rPr>
          <w:rFonts w:ascii="Times New Roman" w:eastAsia="仿宋_GB2312"/>
          <w:sz w:val="32"/>
          <w:szCs w:val="32"/>
        </w:rPr>
      </w:pPr>
      <w:r>
        <w:rPr>
          <w:rFonts w:ascii="Times New Roman" w:eastAsia="仿宋_GB2312"/>
          <w:sz w:val="32"/>
          <w:szCs w:val="32"/>
        </w:rPr>
        <w:t>1. 一般公共预算财政拨款本年收入2,699.2</w:t>
      </w:r>
      <w:r>
        <w:rPr>
          <w:rFonts w:hint="default" w:ascii="Times New Roman" w:eastAsia="仿宋_GB2312"/>
          <w:sz w:val="32"/>
          <w:szCs w:val="32"/>
          <w:lang w:val="en"/>
        </w:rPr>
        <w:t>0</w:t>
      </w:r>
      <w:r>
        <w:rPr>
          <w:rFonts w:ascii="Times New Roman" w:eastAsia="仿宋_GB2312"/>
          <w:sz w:val="32"/>
          <w:szCs w:val="32"/>
        </w:rPr>
        <w:t>万元,比上年减少4,084.58万元，降低60.2%，主要原因是</w:t>
      </w:r>
      <w:r>
        <w:rPr>
          <w:rFonts w:hint="eastAsia" w:ascii="Times New Roman" w:eastAsia="仿宋_GB2312"/>
          <w:sz w:val="32"/>
          <w:szCs w:val="32"/>
        </w:rPr>
        <w:t>政策原因</w:t>
      </w:r>
      <w:r>
        <w:rPr>
          <w:rFonts w:hint="eastAsia" w:ascii="Times New Roman" w:eastAsia="仿宋_GB2312"/>
          <w:sz w:val="32"/>
          <w:szCs w:val="32"/>
          <w:lang w:eastAsia="zh-CN"/>
        </w:rPr>
        <w:t>，</w:t>
      </w:r>
      <w:r>
        <w:rPr>
          <w:rFonts w:hint="eastAsia" w:ascii="Times New Roman" w:eastAsia="仿宋_GB2312"/>
          <w:sz w:val="32"/>
          <w:szCs w:val="32"/>
        </w:rPr>
        <w:t>“金十条”政策奖补资金发放减少</w:t>
      </w:r>
      <w:r>
        <w:rPr>
          <w:rFonts w:ascii="Times New Roman" w:eastAsia="仿宋_GB2312"/>
          <w:sz w:val="32"/>
          <w:szCs w:val="32"/>
        </w:rPr>
        <w:t>；本年支出2,699.2</w:t>
      </w:r>
      <w:r>
        <w:rPr>
          <w:rFonts w:hint="default" w:ascii="Times New Roman" w:eastAsia="仿宋_GB2312"/>
          <w:sz w:val="32"/>
          <w:szCs w:val="32"/>
          <w:lang w:val="en"/>
        </w:rPr>
        <w:t>0</w:t>
      </w:r>
      <w:r>
        <w:rPr>
          <w:rFonts w:ascii="Times New Roman" w:eastAsia="仿宋_GB2312"/>
          <w:sz w:val="32"/>
          <w:szCs w:val="32"/>
        </w:rPr>
        <w:t>万元，比上年减少4,084.58万元，降低60.2%，主要原因是</w:t>
      </w:r>
      <w:r>
        <w:rPr>
          <w:rFonts w:hint="eastAsia" w:ascii="Times New Roman" w:eastAsia="仿宋_GB2312"/>
          <w:sz w:val="32"/>
          <w:szCs w:val="32"/>
        </w:rPr>
        <w:t>政策原因，“金十条”政策奖补资金发放减少</w:t>
      </w:r>
      <w:r>
        <w:rPr>
          <w:rFonts w:ascii="Times New Roman" w:eastAsia="仿宋_GB2312"/>
          <w:sz w:val="32"/>
          <w:szCs w:val="32"/>
        </w:rPr>
        <w:t>。</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 政府性基金预算财政拨款本年收入0万元，比上年增加0万元，增长0</w:t>
      </w:r>
      <w:r>
        <w:rPr>
          <w:rFonts w:hint="default" w:ascii="Times New Roman" w:eastAsia="仿宋_GB2312"/>
          <w:sz w:val="32"/>
          <w:szCs w:val="32"/>
          <w:lang w:val="en"/>
        </w:rPr>
        <w:t>.0</w:t>
      </w:r>
      <w:r>
        <w:rPr>
          <w:rFonts w:ascii="Times New Roman" w:eastAsia="仿宋_GB2312"/>
          <w:sz w:val="32"/>
          <w:szCs w:val="32"/>
        </w:rPr>
        <w:t>%，主要原因是</w:t>
      </w:r>
      <w:r>
        <w:rPr>
          <w:rFonts w:hint="eastAsia" w:ascii="Times New Roman" w:eastAsia="仿宋_GB2312"/>
          <w:sz w:val="32"/>
          <w:szCs w:val="32"/>
        </w:rPr>
        <w:t>本年度无政府性基金预算财政拨款收入</w:t>
      </w:r>
      <w:r>
        <w:rPr>
          <w:rFonts w:ascii="Times New Roman" w:eastAsia="仿宋_GB2312"/>
          <w:sz w:val="32"/>
          <w:szCs w:val="32"/>
        </w:rPr>
        <w:t>；本年支出0万元，比上年增加0万元，增长0</w:t>
      </w:r>
      <w:r>
        <w:rPr>
          <w:rFonts w:hint="default" w:ascii="Times New Roman" w:eastAsia="仿宋_GB2312"/>
          <w:sz w:val="32"/>
          <w:szCs w:val="32"/>
          <w:lang w:val="en"/>
        </w:rPr>
        <w:t>.0</w:t>
      </w:r>
      <w:r>
        <w:rPr>
          <w:rFonts w:ascii="Times New Roman" w:eastAsia="仿宋_GB2312"/>
          <w:sz w:val="32"/>
          <w:szCs w:val="32"/>
        </w:rPr>
        <w:t>%，主要原因是</w:t>
      </w:r>
      <w:r>
        <w:rPr>
          <w:rFonts w:hint="eastAsia" w:ascii="Times New Roman" w:eastAsia="仿宋_GB2312"/>
          <w:sz w:val="32"/>
          <w:szCs w:val="32"/>
        </w:rPr>
        <w:t>本年度无政府性基金预算财政拨款支出</w:t>
      </w:r>
      <w:r>
        <w:rPr>
          <w:rFonts w:ascii="Times New Roman" w:eastAsia="仿宋_GB2312"/>
          <w:sz w:val="32"/>
          <w:szCs w:val="32"/>
        </w:rPr>
        <w:t>。</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3. 国有资本经营预算财政拨款本年收入0万元，比上年增加0万元，增长0</w:t>
      </w:r>
      <w:r>
        <w:rPr>
          <w:rFonts w:hint="default" w:ascii="Times New Roman" w:eastAsia="仿宋_GB2312"/>
          <w:sz w:val="32"/>
          <w:szCs w:val="32"/>
          <w:lang w:val="en"/>
        </w:rPr>
        <w:t>.0</w:t>
      </w:r>
      <w:r>
        <w:rPr>
          <w:rFonts w:ascii="Times New Roman" w:eastAsia="仿宋_GB2312"/>
          <w:sz w:val="32"/>
          <w:szCs w:val="32"/>
        </w:rPr>
        <w:t>%，主要原因是</w:t>
      </w:r>
      <w:r>
        <w:rPr>
          <w:rFonts w:hint="eastAsia" w:ascii="Times New Roman" w:eastAsia="仿宋_GB2312"/>
          <w:sz w:val="32"/>
          <w:szCs w:val="32"/>
        </w:rPr>
        <w:t>本年度无国有资本经营预算财政拨款收入</w:t>
      </w:r>
      <w:r>
        <w:rPr>
          <w:rFonts w:ascii="Times New Roman" w:eastAsia="仿宋_GB2312"/>
          <w:sz w:val="32"/>
          <w:szCs w:val="32"/>
        </w:rPr>
        <w:t>；本年支出0万元，比上年增加0万元，增长0</w:t>
      </w:r>
      <w:r>
        <w:rPr>
          <w:rFonts w:hint="default" w:ascii="Times New Roman" w:eastAsia="仿宋_GB2312"/>
          <w:sz w:val="32"/>
          <w:szCs w:val="32"/>
          <w:lang w:val="en"/>
        </w:rPr>
        <w:t>.0</w:t>
      </w:r>
      <w:r>
        <w:rPr>
          <w:rFonts w:ascii="Times New Roman" w:eastAsia="仿宋_GB2312"/>
          <w:sz w:val="32"/>
          <w:szCs w:val="32"/>
        </w:rPr>
        <w:t>%，主要原因是</w:t>
      </w:r>
      <w:r>
        <w:rPr>
          <w:rFonts w:hint="eastAsia" w:ascii="Times New Roman" w:eastAsia="仿宋_GB2312"/>
          <w:sz w:val="32"/>
          <w:szCs w:val="32"/>
        </w:rPr>
        <w:t>本年度无国有资本经营预算财政拨款支出</w:t>
      </w:r>
      <w:r>
        <w:rPr>
          <w:rFonts w:ascii="Times New Roman" w:eastAsia="仿宋_GB2312"/>
          <w:sz w:val="32"/>
          <w:szCs w:val="32"/>
        </w:rPr>
        <w:t>。</w:t>
      </w:r>
    </w:p>
    <w:p>
      <w:pPr>
        <w:pStyle w:val="10"/>
        <w:widowControl/>
        <w:spacing w:beforeAutospacing="0" w:afterAutospacing="0"/>
        <w:jc w:val="center"/>
        <w:rPr>
          <w:rFonts w:ascii="Times New Roman" w:hAnsi="Times New Roman" w:eastAsia="仿宋_GB2312"/>
          <w:sz w:val="32"/>
          <w:szCs w:val="32"/>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pPr>
        <w:widowControl/>
        <w:spacing w:line="360" w:lineRule="auto"/>
        <w:ind w:firstLine="642"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w:t>
      </w:r>
      <w:r>
        <w:rPr>
          <w:rFonts w:hint="eastAsia" w:ascii="Times New Roman" w:eastAsia="仿宋_GB2312"/>
          <w:sz w:val="32"/>
          <w:szCs w:val="32"/>
          <w:lang w:eastAsia="zh-CN"/>
        </w:rPr>
        <w:t>单位</w:t>
      </w:r>
      <w:r>
        <w:rPr>
          <w:rFonts w:ascii="Times New Roman" w:eastAsia="仿宋_GB2312"/>
          <w:sz w:val="32"/>
          <w:szCs w:val="32"/>
        </w:rPr>
        <w:t>2025年度财政拨款本年收入2,699.2</w:t>
      </w:r>
      <w:r>
        <w:rPr>
          <w:rFonts w:hint="default" w:ascii="Times New Roman" w:eastAsia="仿宋_GB2312"/>
          <w:sz w:val="32"/>
          <w:szCs w:val="32"/>
          <w:lang w:val="en"/>
        </w:rPr>
        <w:t>0</w:t>
      </w:r>
      <w:r>
        <w:rPr>
          <w:rFonts w:ascii="Times New Roman" w:eastAsia="仿宋_GB2312"/>
          <w:sz w:val="32"/>
          <w:szCs w:val="32"/>
        </w:rPr>
        <w:t>万元，完成年初预算的170</w:t>
      </w:r>
      <w:r>
        <w:rPr>
          <w:rFonts w:hint="default" w:ascii="Times New Roman" w:eastAsia="仿宋_GB2312"/>
          <w:sz w:val="32"/>
          <w:szCs w:val="32"/>
          <w:lang w:val="en"/>
        </w:rPr>
        <w:t>.0</w:t>
      </w:r>
      <w:r>
        <w:rPr>
          <w:rFonts w:ascii="Times New Roman" w:eastAsia="仿宋_GB2312"/>
          <w:sz w:val="32"/>
          <w:szCs w:val="32"/>
        </w:rPr>
        <w:t>%，比年初预算增加1,111.89万元，决算数大于预算数主要原因是</w:t>
      </w:r>
      <w:r>
        <w:rPr>
          <w:rFonts w:hint="eastAsia" w:ascii="Times New Roman" w:eastAsia="仿宋_GB2312"/>
          <w:sz w:val="32"/>
          <w:szCs w:val="32"/>
          <w:lang w:eastAsia="zh-CN"/>
        </w:rPr>
        <w:t>项目增加</w:t>
      </w:r>
      <w:r>
        <w:rPr>
          <w:rFonts w:ascii="Times New Roman" w:eastAsia="仿宋_GB2312"/>
          <w:sz w:val="32"/>
          <w:szCs w:val="32"/>
        </w:rPr>
        <w:t>；本年支出2,699.2</w:t>
      </w:r>
      <w:r>
        <w:rPr>
          <w:rFonts w:hint="default" w:ascii="Times New Roman" w:eastAsia="仿宋_GB2312"/>
          <w:sz w:val="32"/>
          <w:szCs w:val="32"/>
          <w:lang w:val="en"/>
        </w:rPr>
        <w:t>0</w:t>
      </w:r>
      <w:r>
        <w:rPr>
          <w:rFonts w:ascii="Times New Roman" w:eastAsia="仿宋_GB2312"/>
          <w:sz w:val="32"/>
          <w:szCs w:val="32"/>
        </w:rPr>
        <w:t>万元，完成年初预算的170</w:t>
      </w:r>
      <w:r>
        <w:rPr>
          <w:rFonts w:hint="default" w:ascii="Times New Roman" w:eastAsia="仿宋_GB2312"/>
          <w:sz w:val="32"/>
          <w:szCs w:val="32"/>
          <w:lang w:val="en"/>
        </w:rPr>
        <w:t>.0</w:t>
      </w:r>
      <w:r>
        <w:rPr>
          <w:rFonts w:ascii="Times New Roman" w:eastAsia="仿宋_GB2312"/>
          <w:sz w:val="32"/>
          <w:szCs w:val="32"/>
        </w:rPr>
        <w:t>%，比年初预算增加1,111.89万元，决算数大于预算数主要原因是</w:t>
      </w:r>
      <w:r>
        <w:rPr>
          <w:rFonts w:hint="eastAsia" w:ascii="Times New Roman" w:eastAsia="仿宋_GB2312"/>
          <w:sz w:val="32"/>
          <w:szCs w:val="32"/>
          <w:lang w:eastAsia="zh-CN"/>
        </w:rPr>
        <w:t>项目增加</w:t>
      </w:r>
      <w:r>
        <w:rPr>
          <w:rFonts w:ascii="Times New Roman" w:eastAsia="仿宋_GB2312"/>
          <w:sz w:val="32"/>
          <w:szCs w:val="32"/>
        </w:rPr>
        <w:t>。具体情况如下：</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1. 一般公共预算财政拨款本年收入完成年初预算的170</w:t>
      </w:r>
      <w:r>
        <w:rPr>
          <w:rFonts w:hint="default" w:ascii="Times New Roman" w:eastAsia="仿宋_GB2312"/>
          <w:sz w:val="32"/>
          <w:szCs w:val="32"/>
          <w:lang w:val="en"/>
        </w:rPr>
        <w:t>.0</w:t>
      </w:r>
      <w:r>
        <w:rPr>
          <w:rFonts w:ascii="Times New Roman" w:eastAsia="仿宋_GB2312"/>
          <w:sz w:val="32"/>
          <w:szCs w:val="32"/>
        </w:rPr>
        <w:t>%，比年初预算增加1,111.89万元，主要原因是</w:t>
      </w:r>
      <w:r>
        <w:rPr>
          <w:rFonts w:hint="eastAsia" w:ascii="Times New Roman" w:eastAsia="仿宋_GB2312"/>
          <w:sz w:val="32"/>
          <w:szCs w:val="32"/>
          <w:lang w:eastAsia="zh-CN"/>
        </w:rPr>
        <w:t>项目增加</w:t>
      </w:r>
      <w:r>
        <w:rPr>
          <w:rFonts w:ascii="Times New Roman" w:eastAsia="仿宋_GB2312"/>
          <w:sz w:val="32"/>
          <w:szCs w:val="32"/>
        </w:rPr>
        <w:t>；支出完成年初预算的170</w:t>
      </w:r>
      <w:r>
        <w:rPr>
          <w:rFonts w:hint="default" w:ascii="Times New Roman" w:eastAsia="仿宋_GB2312"/>
          <w:sz w:val="32"/>
          <w:szCs w:val="32"/>
          <w:lang w:val="en"/>
        </w:rPr>
        <w:t>.0</w:t>
      </w:r>
      <w:r>
        <w:rPr>
          <w:rFonts w:ascii="Times New Roman" w:eastAsia="仿宋_GB2312"/>
          <w:sz w:val="32"/>
          <w:szCs w:val="32"/>
        </w:rPr>
        <w:t>%，比年初预算增加1,111.89万元，主要原因是</w:t>
      </w:r>
      <w:r>
        <w:rPr>
          <w:rFonts w:hint="eastAsia" w:ascii="Times New Roman" w:eastAsia="仿宋_GB2312"/>
          <w:sz w:val="32"/>
          <w:szCs w:val="32"/>
          <w:lang w:eastAsia="zh-CN"/>
        </w:rPr>
        <w:t>项目增加</w:t>
      </w:r>
      <w:r>
        <w:rPr>
          <w:rFonts w:ascii="Times New Roman" w:eastAsia="仿宋_GB2312"/>
          <w:sz w:val="32"/>
          <w:szCs w:val="32"/>
        </w:rPr>
        <w:t>。</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 政府性基金预算财政拨款本年收入完成年初预算的0</w:t>
      </w:r>
      <w:r>
        <w:rPr>
          <w:rFonts w:hint="default" w:ascii="Times New Roman" w:eastAsia="仿宋_GB2312"/>
          <w:sz w:val="32"/>
          <w:szCs w:val="32"/>
          <w:lang w:val="en"/>
        </w:rPr>
        <w:t>.0</w:t>
      </w:r>
      <w:r>
        <w:rPr>
          <w:rFonts w:ascii="Times New Roman" w:eastAsia="仿宋_GB2312"/>
          <w:sz w:val="32"/>
          <w:szCs w:val="32"/>
        </w:rPr>
        <w:t>%，比年初预算增加0万元，主要原因是</w:t>
      </w:r>
      <w:r>
        <w:rPr>
          <w:rFonts w:hint="eastAsia" w:ascii="Times New Roman" w:eastAsia="仿宋_GB2312"/>
          <w:sz w:val="32"/>
          <w:szCs w:val="32"/>
        </w:rPr>
        <w:t>本年度无政府性基金预算财政拨款收入</w:t>
      </w:r>
      <w:r>
        <w:rPr>
          <w:rFonts w:ascii="Times New Roman" w:eastAsia="仿宋_GB2312"/>
          <w:sz w:val="32"/>
          <w:szCs w:val="32"/>
        </w:rPr>
        <w:t>；支出完成年初预算的0</w:t>
      </w:r>
      <w:r>
        <w:rPr>
          <w:rFonts w:hint="default" w:ascii="Times New Roman" w:eastAsia="仿宋_GB2312"/>
          <w:sz w:val="32"/>
          <w:szCs w:val="32"/>
          <w:lang w:val="en"/>
        </w:rPr>
        <w:t>.0</w:t>
      </w:r>
      <w:r>
        <w:rPr>
          <w:rFonts w:ascii="Times New Roman" w:eastAsia="仿宋_GB2312"/>
          <w:sz w:val="32"/>
          <w:szCs w:val="32"/>
        </w:rPr>
        <w:t>%，比年初预算增加0万元，主要原因是</w:t>
      </w:r>
      <w:r>
        <w:rPr>
          <w:rFonts w:hint="eastAsia" w:ascii="Times New Roman" w:eastAsia="仿宋_GB2312"/>
          <w:sz w:val="32"/>
          <w:szCs w:val="32"/>
        </w:rPr>
        <w:t>本年度无政府性基金预算财政拨款支出</w:t>
      </w:r>
      <w:r>
        <w:rPr>
          <w:rFonts w:ascii="Times New Roman" w:eastAsia="仿宋_GB2312"/>
          <w:sz w:val="32"/>
          <w:szCs w:val="32"/>
        </w:rPr>
        <w:t>。</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3. 国有资本经营预算财政拨款本年收入完成年初预算的0</w:t>
      </w:r>
      <w:r>
        <w:rPr>
          <w:rFonts w:hint="default" w:ascii="Times New Roman" w:eastAsia="仿宋_GB2312"/>
          <w:sz w:val="32"/>
          <w:szCs w:val="32"/>
          <w:lang w:val="en"/>
        </w:rPr>
        <w:t>.0</w:t>
      </w:r>
      <w:r>
        <w:rPr>
          <w:rFonts w:ascii="Times New Roman" w:eastAsia="仿宋_GB2312"/>
          <w:sz w:val="32"/>
          <w:szCs w:val="32"/>
        </w:rPr>
        <w:t>%，比年初预算增加0万元，主要原因是</w:t>
      </w:r>
      <w:r>
        <w:rPr>
          <w:rFonts w:hint="eastAsia" w:ascii="Times New Roman" w:eastAsia="仿宋_GB2312"/>
          <w:sz w:val="32"/>
          <w:szCs w:val="32"/>
        </w:rPr>
        <w:t>本年度无国有资本经营预算财政拨款收入</w:t>
      </w:r>
      <w:r>
        <w:rPr>
          <w:rFonts w:ascii="Times New Roman" w:eastAsia="仿宋_GB2312"/>
          <w:sz w:val="32"/>
          <w:szCs w:val="32"/>
        </w:rPr>
        <w:t>；支出完成年初预算的0</w:t>
      </w:r>
      <w:r>
        <w:rPr>
          <w:rFonts w:hint="default" w:ascii="Times New Roman" w:eastAsia="仿宋_GB2312"/>
          <w:sz w:val="32"/>
          <w:szCs w:val="32"/>
          <w:lang w:val="en"/>
        </w:rPr>
        <w:t>.0</w:t>
      </w:r>
      <w:r>
        <w:rPr>
          <w:rFonts w:ascii="Times New Roman" w:eastAsia="仿宋_GB2312"/>
          <w:sz w:val="32"/>
          <w:szCs w:val="32"/>
        </w:rPr>
        <w:t>%，比年初预算增加0万元，主要原因是</w:t>
      </w:r>
      <w:r>
        <w:rPr>
          <w:rFonts w:hint="eastAsia" w:ascii="Times New Roman" w:eastAsia="仿宋_GB2312"/>
          <w:sz w:val="32"/>
          <w:szCs w:val="32"/>
        </w:rPr>
        <w:t>本年度无国有资本经营预算财政拨款支出</w:t>
      </w:r>
      <w:r>
        <w:rPr>
          <w:rFonts w:ascii="Times New Roman" w:eastAsia="仿宋_GB2312"/>
          <w:sz w:val="32"/>
          <w:szCs w:val="32"/>
        </w:rPr>
        <w:t>。</w:t>
      </w:r>
    </w:p>
    <w:p>
      <w:pPr>
        <w:pStyle w:val="10"/>
        <w:widowControl/>
        <w:spacing w:beforeAutospacing="0" w:afterAutospacing="0"/>
        <w:jc w:val="center"/>
        <w:rPr>
          <w:rFonts w:ascii="Times New Roman" w:hAnsi="Times New Roman" w:eastAsia="仿宋_GB2312"/>
          <w:sz w:val="32"/>
          <w:szCs w:val="32"/>
        </w:rPr>
      </w:pPr>
      <w:r>
        <w:rPr>
          <w:rFonts w:ascii="Times New Roman" w:hAnsi="Times New Roman" w:eastAsia="仿宋_GB2312"/>
          <w:sz w:val="32"/>
          <w:szCs w:val="32"/>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pPr>
        <w:widowControl/>
        <w:spacing w:line="360" w:lineRule="auto"/>
        <w:ind w:firstLine="642" w:firstLineChars="200"/>
        <w:jc w:val="left"/>
        <w:rPr>
          <w:rFonts w:ascii="Times New Roman" w:eastAsia="楷体_GB2312"/>
          <w:sz w:val="32"/>
          <w:szCs w:val="32"/>
        </w:rPr>
      </w:pPr>
      <w:r>
        <w:rPr>
          <w:rFonts w:ascii="Times New Roman" w:eastAsia="楷体_GB2312"/>
          <w:b/>
          <w:sz w:val="32"/>
          <w:szCs w:val="32"/>
        </w:rPr>
        <w:t>（三）财政拨款支出决算结构情况</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2025年度财政拨款支出2,699.2</w:t>
      </w:r>
      <w:r>
        <w:rPr>
          <w:rFonts w:hint="default" w:ascii="Times New Roman" w:eastAsia="仿宋_GB2312"/>
          <w:sz w:val="32"/>
          <w:szCs w:val="32"/>
          <w:lang w:val="en"/>
        </w:rPr>
        <w:t>0</w:t>
      </w:r>
      <w:r>
        <w:rPr>
          <w:rFonts w:ascii="Times New Roman" w:eastAsia="仿宋_GB2312"/>
          <w:sz w:val="32"/>
          <w:szCs w:val="32"/>
        </w:rPr>
        <w:t>万元，主要用于以下方面：</w:t>
      </w:r>
    </w:p>
    <w:p>
      <w:pPr>
        <w:widowControl/>
        <w:spacing w:line="360" w:lineRule="auto"/>
        <w:ind w:firstLine="642" w:firstLineChars="200"/>
        <w:jc w:val="left"/>
        <w:rPr>
          <w:rFonts w:ascii="Times New Roman" w:eastAsia="仿宋_GB2312"/>
          <w:sz w:val="32"/>
          <w:szCs w:val="32"/>
        </w:rPr>
      </w:pPr>
      <w:r>
        <w:rPr>
          <w:rFonts w:ascii="Times New Roman" w:eastAsia="仿宋_GB2312"/>
          <w:b/>
          <w:sz w:val="32"/>
          <w:szCs w:val="32"/>
        </w:rPr>
        <w:t>一般公共预算财政拨款支出：</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社会保障和就业 （类）支出100.01万元，占3.7%；卫生健康（类）支出43</w:t>
      </w:r>
      <w:r>
        <w:rPr>
          <w:rFonts w:hint="default" w:ascii="Times New Roman" w:eastAsia="仿宋_GB2312"/>
          <w:sz w:val="32"/>
          <w:szCs w:val="32"/>
          <w:lang w:val="en"/>
        </w:rPr>
        <w:t>.00</w:t>
      </w:r>
      <w:r>
        <w:rPr>
          <w:rFonts w:ascii="Times New Roman" w:eastAsia="仿宋_GB2312"/>
          <w:sz w:val="32"/>
          <w:szCs w:val="32"/>
        </w:rPr>
        <w:t>万元，占1.6%；金融（类）支出2,473.64万元，占</w:t>
      </w:r>
      <w:r>
        <w:rPr>
          <w:rFonts w:hint="eastAsia" w:ascii="Times New Roman" w:eastAsia="仿宋_GB2312"/>
          <w:sz w:val="32"/>
          <w:szCs w:val="32"/>
          <w:lang w:val="en-US" w:eastAsia="zh-CN"/>
        </w:rPr>
        <w:t>92.67</w:t>
      </w:r>
      <w:r>
        <w:rPr>
          <w:rFonts w:ascii="Times New Roman" w:eastAsia="仿宋_GB2312"/>
          <w:sz w:val="32"/>
          <w:szCs w:val="32"/>
        </w:rPr>
        <w:t>%；住房保障（类）支出82.55万元，占3.1%。</w:t>
      </w:r>
    </w:p>
    <w:p>
      <w:pPr>
        <w:widowControl/>
        <w:spacing w:line="360" w:lineRule="auto"/>
        <w:ind w:firstLine="642" w:firstLineChars="200"/>
        <w:jc w:val="left"/>
        <w:rPr>
          <w:rFonts w:hint="eastAsia" w:ascii="Times New Roman" w:eastAsia="仿宋_GB2312"/>
          <w:sz w:val="32"/>
          <w:szCs w:val="32"/>
          <w:lang w:eastAsia="zh-CN"/>
        </w:rPr>
      </w:pPr>
      <w:r>
        <w:rPr>
          <w:rFonts w:ascii="Times New Roman" w:eastAsia="仿宋_GB2312"/>
          <w:b/>
          <w:sz w:val="32"/>
          <w:szCs w:val="32"/>
        </w:rPr>
        <w:t>政府性基金预算财政拨款支出：</w:t>
      </w:r>
      <w:r>
        <w:rPr>
          <w:rFonts w:hint="eastAsia" w:ascii="Times New Roman" w:eastAsia="仿宋_GB2312"/>
          <w:b/>
          <w:sz w:val="32"/>
          <w:szCs w:val="32"/>
          <w:lang w:eastAsia="zh-CN"/>
        </w:rPr>
        <w:t>无</w:t>
      </w:r>
    </w:p>
    <w:p>
      <w:pPr>
        <w:widowControl/>
        <w:spacing w:line="360" w:lineRule="auto"/>
        <w:ind w:firstLine="642" w:firstLineChars="200"/>
        <w:jc w:val="left"/>
        <w:rPr>
          <w:rFonts w:hint="eastAsia" w:ascii="Times New Roman" w:eastAsia="仿宋_GB2312"/>
          <w:sz w:val="32"/>
          <w:szCs w:val="32"/>
          <w:lang w:eastAsia="zh-CN"/>
        </w:rPr>
      </w:pPr>
      <w:r>
        <w:rPr>
          <w:rFonts w:ascii="Times New Roman" w:eastAsia="仿宋_GB2312"/>
          <w:b/>
          <w:sz w:val="32"/>
          <w:szCs w:val="32"/>
        </w:rPr>
        <w:t>国有资本经营预算财政拨款支出：</w:t>
      </w:r>
      <w:r>
        <w:rPr>
          <w:rFonts w:hint="eastAsia" w:ascii="Times New Roman" w:eastAsia="仿宋_GB2312"/>
          <w:b/>
          <w:sz w:val="32"/>
          <w:szCs w:val="32"/>
          <w:lang w:eastAsia="zh-CN"/>
        </w:rPr>
        <w:t>无</w:t>
      </w:r>
    </w:p>
    <w:p>
      <w:pPr>
        <w:widowControl/>
        <w:spacing w:line="360" w:lineRule="auto"/>
        <w:ind w:firstLine="642"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2025年度财政拨款基本支出1,063.03万元，其中：</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人员经费949.80万元，主要包括基本工资、津贴补贴、奖金、机关事业</w:t>
      </w:r>
      <w:r>
        <w:rPr>
          <w:rFonts w:hint="eastAsia" w:ascii="Times New Roman" w:eastAsia="仿宋_GB2312"/>
          <w:sz w:val="32"/>
          <w:szCs w:val="32"/>
          <w:lang w:eastAsia="zh-CN"/>
        </w:rPr>
        <w:t>单位</w:t>
      </w:r>
      <w:r>
        <w:rPr>
          <w:rFonts w:ascii="Times New Roman" w:eastAsia="仿宋_GB2312"/>
          <w:sz w:val="32"/>
          <w:szCs w:val="32"/>
        </w:rPr>
        <w:t>基本养老保险缴费、职业年金缴费、职工基本医疗保险缴费、公务员医疗补助缴费、住房公积金、退休费支出。</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公用经费113.23万元，主要包括办公费</w:t>
      </w:r>
      <w:r>
        <w:rPr>
          <w:rFonts w:hint="eastAsia" w:ascii="Times New Roman" w:eastAsia="仿宋_GB2312"/>
          <w:sz w:val="32"/>
          <w:szCs w:val="32"/>
          <w:lang w:eastAsia="zh-CN"/>
        </w:rPr>
        <w:t>、</w:t>
      </w:r>
      <w:r>
        <w:rPr>
          <w:rFonts w:ascii="Times New Roman" w:eastAsia="仿宋_GB2312"/>
          <w:sz w:val="32"/>
          <w:szCs w:val="32"/>
        </w:rPr>
        <w:t>邮电费、差旅费、会议费、培训费、工会经费、福利费、公务用车运行维护费、其他交通费用、其他商品和服务支出。</w:t>
      </w:r>
    </w:p>
    <w:p>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五、财政拨款“三公” 经费支出决算情况说明</w:t>
      </w:r>
    </w:p>
    <w:p>
      <w:pPr>
        <w:widowControl/>
        <w:spacing w:line="360" w:lineRule="auto"/>
        <w:ind w:firstLine="642" w:firstLineChars="200"/>
        <w:jc w:val="left"/>
        <w:rPr>
          <w:rFonts w:ascii="Times New Roman" w:eastAsia="楷体_GB2312"/>
          <w:sz w:val="32"/>
          <w:szCs w:val="32"/>
          <w:highlight w:val="none"/>
        </w:rPr>
      </w:pPr>
      <w:r>
        <w:rPr>
          <w:rFonts w:ascii="Times New Roman" w:eastAsia="楷体_GB2312"/>
          <w:b/>
          <w:sz w:val="32"/>
          <w:szCs w:val="32"/>
          <w:highlight w:val="none"/>
        </w:rPr>
        <w:t>（一）“三公”经费财政拨款支出决算总体情况说明</w:t>
      </w:r>
    </w:p>
    <w:p>
      <w:pPr>
        <w:widowControl/>
        <w:spacing w:line="360" w:lineRule="auto"/>
        <w:ind w:firstLine="640" w:firstLineChars="200"/>
        <w:jc w:val="left"/>
        <w:rPr>
          <w:rFonts w:ascii="Times New Roman" w:eastAsia="仿宋_GB2312"/>
          <w:sz w:val="32"/>
          <w:szCs w:val="32"/>
          <w:highlight w:val="none"/>
        </w:rPr>
      </w:pPr>
      <w:r>
        <w:rPr>
          <w:rFonts w:ascii="Times New Roman" w:eastAsia="仿宋_GB2312"/>
          <w:sz w:val="32"/>
          <w:szCs w:val="32"/>
        </w:rPr>
        <w:t>本</w:t>
      </w:r>
      <w:r>
        <w:rPr>
          <w:rFonts w:hint="eastAsia" w:ascii="Times New Roman" w:eastAsia="仿宋_GB2312"/>
          <w:sz w:val="32"/>
          <w:szCs w:val="32"/>
          <w:lang w:eastAsia="zh-CN"/>
        </w:rPr>
        <w:t>单位</w:t>
      </w:r>
      <w:r>
        <w:rPr>
          <w:rFonts w:ascii="Times New Roman" w:eastAsia="仿宋_GB2312"/>
          <w:sz w:val="32"/>
          <w:szCs w:val="32"/>
        </w:rPr>
        <w:t>2025年度“三公”经费财政拨款支出预算为3.99万元，支出决算为3.51万元，完成预算的88</w:t>
      </w:r>
      <w:r>
        <w:rPr>
          <w:rFonts w:hint="default" w:ascii="Times New Roman" w:eastAsia="仿宋_GB2312"/>
          <w:sz w:val="32"/>
          <w:szCs w:val="32"/>
          <w:lang w:val="en"/>
        </w:rPr>
        <w:t>.0</w:t>
      </w:r>
      <w:r>
        <w:rPr>
          <w:rFonts w:ascii="Times New Roman" w:eastAsia="仿宋_GB2312"/>
          <w:sz w:val="32"/>
          <w:szCs w:val="32"/>
        </w:rPr>
        <w:t>%，较预算减少0.48万元，降低12.0%，主要原因是</w:t>
      </w:r>
      <w:r>
        <w:rPr>
          <w:rFonts w:hint="eastAsia" w:ascii="Times New Roman" w:eastAsia="仿宋_GB2312"/>
          <w:sz w:val="32"/>
          <w:szCs w:val="32"/>
        </w:rPr>
        <w:t>从严控制“三公”经费开支</w:t>
      </w:r>
      <w:r>
        <w:rPr>
          <w:rFonts w:ascii="Times New Roman" w:eastAsia="仿宋_GB2312"/>
          <w:sz w:val="32"/>
          <w:szCs w:val="32"/>
        </w:rPr>
        <w:t>；</w:t>
      </w:r>
      <w:r>
        <w:rPr>
          <w:rFonts w:ascii="Times New Roman" w:eastAsia="仿宋_GB2312"/>
          <w:sz w:val="32"/>
          <w:szCs w:val="32"/>
          <w:highlight w:val="none"/>
        </w:rPr>
        <w:t>较2024年度决算增加1.01万元，增长40.4%，主要原因是</w:t>
      </w:r>
      <w:r>
        <w:rPr>
          <w:rFonts w:hint="eastAsia" w:ascii="Times New Roman" w:eastAsia="仿宋_GB2312"/>
          <w:sz w:val="32"/>
          <w:szCs w:val="32"/>
          <w:highlight w:val="none"/>
          <w:lang w:eastAsia="zh-CN"/>
        </w:rPr>
        <w:t>增加了2025年度因公出国（境）经费</w:t>
      </w:r>
      <w:r>
        <w:rPr>
          <w:rFonts w:ascii="Times New Roman" w:eastAsia="仿宋_GB2312"/>
          <w:sz w:val="32"/>
          <w:szCs w:val="32"/>
          <w:highlight w:val="none"/>
        </w:rPr>
        <w:t>。</w:t>
      </w:r>
    </w:p>
    <w:p>
      <w:pPr>
        <w:widowControl/>
        <w:spacing w:line="360" w:lineRule="auto"/>
        <w:ind w:firstLine="642"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pPr>
        <w:widowControl/>
        <w:spacing w:line="360" w:lineRule="auto"/>
        <w:ind w:firstLine="642"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sz w:val="32"/>
          <w:szCs w:val="32"/>
        </w:rPr>
        <w:t>本</w:t>
      </w:r>
      <w:r>
        <w:rPr>
          <w:rFonts w:hint="eastAsia" w:ascii="Times New Roman" w:eastAsia="仿宋_GB2312"/>
          <w:sz w:val="32"/>
          <w:szCs w:val="32"/>
          <w:lang w:eastAsia="zh-CN"/>
        </w:rPr>
        <w:t>单位</w:t>
      </w:r>
      <w:r>
        <w:rPr>
          <w:rFonts w:ascii="Times New Roman" w:eastAsia="仿宋_GB2312"/>
          <w:sz w:val="32"/>
          <w:szCs w:val="32"/>
        </w:rPr>
        <w:t>2025年度因公出国（境）费支出预算为1.21万元,支出决算1.21万元。完成预算的100.0%。因公出国（境）费支出较预算增加0万元，增长0</w:t>
      </w:r>
      <w:r>
        <w:rPr>
          <w:rFonts w:hint="default" w:ascii="Times New Roman" w:eastAsia="仿宋_GB2312"/>
          <w:sz w:val="32"/>
          <w:szCs w:val="32"/>
          <w:lang w:val="en"/>
        </w:rPr>
        <w:t>.0</w:t>
      </w:r>
      <w:r>
        <w:rPr>
          <w:rFonts w:ascii="Times New Roman" w:eastAsia="仿宋_GB2312"/>
          <w:sz w:val="32"/>
          <w:szCs w:val="32"/>
        </w:rPr>
        <w:t>%,主要原因是</w:t>
      </w:r>
      <w:r>
        <w:rPr>
          <w:rFonts w:hint="eastAsia" w:ascii="Times New Roman" w:eastAsia="仿宋_GB2312"/>
          <w:sz w:val="32"/>
          <w:szCs w:val="32"/>
          <w:lang w:eastAsia="zh-CN"/>
        </w:rPr>
        <w:t>工作需要</w:t>
      </w:r>
      <w:r>
        <w:rPr>
          <w:rFonts w:ascii="Times New Roman" w:eastAsia="仿宋_GB2312"/>
          <w:sz w:val="32"/>
          <w:szCs w:val="32"/>
        </w:rPr>
        <w:t>；较上年增加1.21万元，增长100</w:t>
      </w:r>
      <w:r>
        <w:rPr>
          <w:rFonts w:hint="default" w:ascii="Times New Roman" w:eastAsia="仿宋_GB2312"/>
          <w:sz w:val="32"/>
          <w:szCs w:val="32"/>
          <w:lang w:val="en"/>
        </w:rPr>
        <w:t>.0</w:t>
      </w:r>
      <w:r>
        <w:rPr>
          <w:rFonts w:ascii="Times New Roman" w:eastAsia="仿宋_GB2312"/>
          <w:sz w:val="32"/>
          <w:szCs w:val="32"/>
        </w:rPr>
        <w:t>%,主要原因是</w:t>
      </w:r>
      <w:r>
        <w:rPr>
          <w:rFonts w:hint="eastAsia" w:ascii="Times New Roman" w:eastAsia="仿宋_GB2312"/>
          <w:sz w:val="32"/>
          <w:szCs w:val="32"/>
          <w:lang w:eastAsia="zh-CN"/>
        </w:rPr>
        <w:t>工作需要</w:t>
      </w:r>
      <w:r>
        <w:rPr>
          <w:rFonts w:ascii="Times New Roman" w:eastAsia="仿宋_GB2312"/>
          <w:sz w:val="32"/>
          <w:szCs w:val="32"/>
        </w:rPr>
        <w:t>。因公出国（境）团组1个、共1人、参加其他单位组织的因公出国（境）团组</w:t>
      </w:r>
      <w:r>
        <w:rPr>
          <w:rFonts w:hint="eastAsia" w:ascii="Times New Roman" w:eastAsia="仿宋_GB2312"/>
          <w:sz w:val="32"/>
          <w:szCs w:val="32"/>
          <w:lang w:val="en-US" w:eastAsia="zh-CN"/>
        </w:rPr>
        <w:t>1</w:t>
      </w:r>
      <w:r>
        <w:rPr>
          <w:rFonts w:ascii="Times New Roman" w:eastAsia="仿宋_GB2312"/>
          <w:sz w:val="32"/>
          <w:szCs w:val="32"/>
        </w:rPr>
        <w:t>个、共</w:t>
      </w:r>
      <w:r>
        <w:rPr>
          <w:rFonts w:hint="eastAsia" w:ascii="Times New Roman" w:eastAsia="仿宋_GB2312"/>
          <w:sz w:val="32"/>
          <w:szCs w:val="32"/>
          <w:lang w:val="en-US" w:eastAsia="zh-CN"/>
        </w:rPr>
        <w:t>1</w:t>
      </w:r>
      <w:r>
        <w:rPr>
          <w:rFonts w:ascii="Times New Roman" w:eastAsia="仿宋_GB2312"/>
          <w:sz w:val="32"/>
          <w:szCs w:val="32"/>
        </w:rPr>
        <w:t>人。</w:t>
      </w:r>
    </w:p>
    <w:p>
      <w:pPr>
        <w:widowControl/>
        <w:spacing w:line="360" w:lineRule="auto"/>
        <w:ind w:firstLine="642"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sz w:val="32"/>
          <w:szCs w:val="32"/>
        </w:rPr>
        <w:t>本</w:t>
      </w:r>
      <w:r>
        <w:rPr>
          <w:rFonts w:hint="eastAsia" w:ascii="Times New Roman" w:eastAsia="仿宋_GB2312"/>
          <w:sz w:val="32"/>
          <w:szCs w:val="32"/>
          <w:lang w:eastAsia="zh-CN"/>
        </w:rPr>
        <w:t>单位</w:t>
      </w:r>
      <w:r>
        <w:rPr>
          <w:rFonts w:ascii="Times New Roman" w:eastAsia="仿宋_GB2312"/>
          <w:sz w:val="32"/>
          <w:szCs w:val="32"/>
        </w:rPr>
        <w:t>2025年度公务用车购置及运行维护费预算为2.3</w:t>
      </w:r>
      <w:r>
        <w:rPr>
          <w:rFonts w:hint="default" w:ascii="Times New Roman" w:eastAsia="仿宋_GB2312"/>
          <w:sz w:val="32"/>
          <w:szCs w:val="32"/>
          <w:lang w:val="en"/>
        </w:rPr>
        <w:t>0</w:t>
      </w:r>
      <w:r>
        <w:rPr>
          <w:rFonts w:ascii="Times New Roman" w:eastAsia="仿宋_GB2312"/>
          <w:sz w:val="32"/>
          <w:szCs w:val="32"/>
        </w:rPr>
        <w:t>万元，支出决算2.3</w:t>
      </w:r>
      <w:r>
        <w:rPr>
          <w:rFonts w:hint="default" w:ascii="Times New Roman" w:eastAsia="仿宋_GB2312"/>
          <w:sz w:val="32"/>
          <w:szCs w:val="32"/>
          <w:lang w:val="en"/>
        </w:rPr>
        <w:t>0</w:t>
      </w:r>
      <w:r>
        <w:rPr>
          <w:rFonts w:ascii="Times New Roman" w:eastAsia="仿宋_GB2312"/>
          <w:sz w:val="32"/>
          <w:szCs w:val="32"/>
        </w:rPr>
        <w:t>万元，完成预算的100</w:t>
      </w:r>
      <w:r>
        <w:rPr>
          <w:rFonts w:hint="default" w:ascii="Times New Roman" w:eastAsia="仿宋_GB2312"/>
          <w:sz w:val="32"/>
          <w:szCs w:val="32"/>
          <w:lang w:val="en"/>
        </w:rPr>
        <w:t>.0</w:t>
      </w:r>
      <w:r>
        <w:rPr>
          <w:rFonts w:ascii="Times New Roman" w:eastAsia="仿宋_GB2312"/>
          <w:sz w:val="32"/>
          <w:szCs w:val="32"/>
        </w:rPr>
        <w:t>%,</w:t>
      </w:r>
      <w:r>
        <w:rPr>
          <w:rFonts w:hint="eastAsia" w:ascii="Times New Roman" w:eastAsia="仿宋_GB2312"/>
          <w:sz w:val="32"/>
          <w:szCs w:val="32"/>
        </w:rPr>
        <w:t>与预算持平,无增减变化，主要原因是合理预计支出；</w:t>
      </w:r>
      <w:r>
        <w:rPr>
          <w:rFonts w:ascii="Times New Roman" w:eastAsia="仿宋_GB2312"/>
          <w:sz w:val="32"/>
          <w:szCs w:val="32"/>
        </w:rPr>
        <w:t>较上年减少0.2</w:t>
      </w:r>
      <w:r>
        <w:rPr>
          <w:rFonts w:hint="default" w:ascii="Times New Roman" w:eastAsia="仿宋_GB2312"/>
          <w:sz w:val="32"/>
          <w:szCs w:val="32"/>
          <w:lang w:val="en"/>
        </w:rPr>
        <w:t>0</w:t>
      </w:r>
      <w:r>
        <w:rPr>
          <w:rFonts w:ascii="Times New Roman" w:eastAsia="仿宋_GB2312"/>
          <w:sz w:val="32"/>
          <w:szCs w:val="32"/>
        </w:rPr>
        <w:t>万元，降低8</w:t>
      </w:r>
      <w:r>
        <w:rPr>
          <w:rFonts w:hint="default" w:ascii="Times New Roman" w:eastAsia="仿宋_GB2312"/>
          <w:sz w:val="32"/>
          <w:szCs w:val="32"/>
          <w:lang w:val="en"/>
        </w:rPr>
        <w:t>.0</w:t>
      </w:r>
      <w:r>
        <w:rPr>
          <w:rFonts w:ascii="Times New Roman" w:eastAsia="仿宋_GB2312"/>
          <w:sz w:val="32"/>
          <w:szCs w:val="32"/>
        </w:rPr>
        <w:t>%,主要原因是</w:t>
      </w:r>
      <w:r>
        <w:rPr>
          <w:rFonts w:hint="eastAsia" w:ascii="Times New Roman" w:eastAsia="仿宋_GB2312"/>
          <w:b w:val="0"/>
          <w:sz w:val="32"/>
          <w:szCs w:val="32"/>
          <w:lang w:eastAsia="zh-CN"/>
        </w:rPr>
        <w:t>厉行勤俭节约</w:t>
      </w:r>
      <w:r>
        <w:rPr>
          <w:rFonts w:ascii="Times New Roman" w:eastAsia="仿宋_GB2312"/>
          <w:sz w:val="32"/>
          <w:szCs w:val="32"/>
        </w:rPr>
        <w:t>。其中：</w:t>
      </w:r>
    </w:p>
    <w:p>
      <w:pPr>
        <w:widowControl/>
        <w:spacing w:line="360" w:lineRule="auto"/>
        <w:ind w:firstLine="642" w:firstLineChars="200"/>
        <w:jc w:val="left"/>
        <w:rPr>
          <w:rFonts w:ascii="Times New Roman" w:eastAsia="仿宋_GB2312"/>
          <w:sz w:val="32"/>
          <w:szCs w:val="32"/>
        </w:rPr>
      </w:pPr>
      <w:r>
        <w:rPr>
          <w:rFonts w:ascii="Times New Roman" w:eastAsia="仿宋_GB2312"/>
          <w:b/>
          <w:sz w:val="32"/>
          <w:szCs w:val="32"/>
        </w:rPr>
        <w:t>公务用车购置费支出0万元：</w:t>
      </w:r>
      <w:r>
        <w:rPr>
          <w:rFonts w:ascii="Times New Roman" w:eastAsia="仿宋_GB2312"/>
          <w:sz w:val="32"/>
          <w:szCs w:val="32"/>
        </w:rPr>
        <w:t>本</w:t>
      </w:r>
      <w:r>
        <w:rPr>
          <w:rFonts w:hint="eastAsia" w:ascii="Times New Roman" w:eastAsia="仿宋_GB2312"/>
          <w:sz w:val="32"/>
          <w:szCs w:val="32"/>
          <w:lang w:eastAsia="zh-CN"/>
        </w:rPr>
        <w:t>单位</w:t>
      </w:r>
      <w:r>
        <w:rPr>
          <w:rFonts w:ascii="Times New Roman" w:eastAsia="仿宋_GB2312"/>
          <w:sz w:val="32"/>
          <w:szCs w:val="32"/>
        </w:rPr>
        <w:t>2025年度公务用车购置量0辆。</w:t>
      </w:r>
      <w:r>
        <w:rPr>
          <w:rFonts w:hint="eastAsia" w:ascii="Times New Roman" w:eastAsia="仿宋_GB2312"/>
          <w:sz w:val="32"/>
          <w:szCs w:val="32"/>
        </w:rPr>
        <w:t>公务用车购置费支出与年初预算持平,主要是严格落实了过紧日子的要求</w:t>
      </w:r>
      <w:r>
        <w:rPr>
          <w:rFonts w:ascii="Times New Roman" w:eastAsia="仿宋_GB2312"/>
          <w:sz w:val="32"/>
          <w:szCs w:val="32"/>
        </w:rPr>
        <w:t>；</w:t>
      </w:r>
      <w:r>
        <w:rPr>
          <w:rFonts w:hint="eastAsia" w:ascii="Times New Roman" w:eastAsia="仿宋_GB2312"/>
          <w:sz w:val="32"/>
          <w:szCs w:val="32"/>
        </w:rPr>
        <w:t>202</w:t>
      </w:r>
      <w:r>
        <w:rPr>
          <w:rFonts w:hint="eastAsia" w:ascii="Times New Roman" w:eastAsia="仿宋_GB2312"/>
          <w:sz w:val="32"/>
          <w:szCs w:val="32"/>
          <w:lang w:val="en-US" w:eastAsia="zh-CN"/>
        </w:rPr>
        <w:t>5</w:t>
      </w:r>
      <w:r>
        <w:rPr>
          <w:rFonts w:hint="eastAsia" w:ascii="Times New Roman" w:eastAsia="仿宋_GB2312"/>
          <w:sz w:val="32"/>
          <w:szCs w:val="32"/>
        </w:rPr>
        <w:t>年度未购置公务用车；与202</w:t>
      </w:r>
      <w:r>
        <w:rPr>
          <w:rFonts w:hint="eastAsia" w:ascii="Times New Roman" w:eastAsia="仿宋_GB2312"/>
          <w:sz w:val="32"/>
          <w:szCs w:val="32"/>
          <w:lang w:val="en-US" w:eastAsia="zh-CN"/>
        </w:rPr>
        <w:t>4</w:t>
      </w:r>
      <w:r>
        <w:rPr>
          <w:rFonts w:hint="eastAsia" w:ascii="Times New Roman" w:eastAsia="仿宋_GB2312"/>
          <w:sz w:val="32"/>
          <w:szCs w:val="32"/>
        </w:rPr>
        <w:t>年度决算支出持平，主要是严格落实了过紧日子的要求，202</w:t>
      </w:r>
      <w:r>
        <w:rPr>
          <w:rFonts w:hint="eastAsia" w:ascii="Times New Roman" w:eastAsia="仿宋_GB2312"/>
          <w:sz w:val="32"/>
          <w:szCs w:val="32"/>
          <w:lang w:val="en-US" w:eastAsia="zh-CN"/>
        </w:rPr>
        <w:t>5</w:t>
      </w:r>
      <w:r>
        <w:rPr>
          <w:rFonts w:hint="eastAsia" w:ascii="Times New Roman" w:eastAsia="仿宋_GB2312"/>
          <w:sz w:val="32"/>
          <w:szCs w:val="32"/>
        </w:rPr>
        <w:t>年度未购置公务用车。</w:t>
      </w:r>
    </w:p>
    <w:p>
      <w:pPr>
        <w:widowControl/>
        <w:spacing w:line="360" w:lineRule="auto"/>
        <w:ind w:firstLine="642" w:firstLineChars="200"/>
        <w:jc w:val="left"/>
        <w:rPr>
          <w:rFonts w:ascii="Times New Roman" w:eastAsia="仿宋_GB2312"/>
          <w:sz w:val="32"/>
          <w:szCs w:val="32"/>
        </w:rPr>
      </w:pPr>
      <w:r>
        <w:rPr>
          <w:rFonts w:ascii="Times New Roman" w:eastAsia="仿宋_GB2312"/>
          <w:b/>
          <w:sz w:val="32"/>
          <w:szCs w:val="32"/>
        </w:rPr>
        <w:t>公务用车运行维护费支出2.30万元：</w:t>
      </w:r>
      <w:r>
        <w:rPr>
          <w:rFonts w:ascii="Times New Roman" w:eastAsia="仿宋_GB2312"/>
          <w:sz w:val="32"/>
          <w:szCs w:val="32"/>
        </w:rPr>
        <w:t>本</w:t>
      </w:r>
      <w:r>
        <w:rPr>
          <w:rFonts w:hint="eastAsia" w:ascii="Times New Roman" w:eastAsia="仿宋_GB2312"/>
          <w:sz w:val="32"/>
          <w:szCs w:val="32"/>
          <w:lang w:eastAsia="zh-CN"/>
        </w:rPr>
        <w:t>单位</w:t>
      </w:r>
      <w:r>
        <w:rPr>
          <w:rFonts w:ascii="Times New Roman" w:eastAsia="仿宋_GB2312"/>
          <w:sz w:val="32"/>
          <w:szCs w:val="32"/>
        </w:rPr>
        <w:t>2025年度</w:t>
      </w:r>
      <w:r>
        <w:rPr>
          <w:rFonts w:hint="eastAsia" w:ascii="Times New Roman" w:eastAsia="仿宋_GB2312"/>
          <w:sz w:val="32"/>
          <w:szCs w:val="32"/>
          <w:lang w:eastAsia="zh-CN"/>
        </w:rPr>
        <w:t>单位</w:t>
      </w:r>
      <w:r>
        <w:rPr>
          <w:rFonts w:ascii="Times New Roman" w:eastAsia="仿宋_GB2312"/>
          <w:sz w:val="32"/>
          <w:szCs w:val="32"/>
        </w:rPr>
        <w:t>公务用车保有量1辆，发生运行维护费支出2.3</w:t>
      </w:r>
      <w:r>
        <w:rPr>
          <w:rFonts w:hint="default" w:ascii="Times New Roman" w:eastAsia="仿宋_GB2312"/>
          <w:sz w:val="32"/>
          <w:szCs w:val="32"/>
          <w:lang w:val="en"/>
        </w:rPr>
        <w:t>0</w:t>
      </w:r>
      <w:r>
        <w:rPr>
          <w:rFonts w:ascii="Times New Roman" w:eastAsia="仿宋_GB2312"/>
          <w:sz w:val="32"/>
          <w:szCs w:val="32"/>
        </w:rPr>
        <w:t>万元。</w:t>
      </w:r>
      <w:r>
        <w:rPr>
          <w:rFonts w:hint="eastAsia" w:ascii="Times New Roman" w:eastAsia="仿宋_GB2312"/>
          <w:sz w:val="32"/>
          <w:szCs w:val="32"/>
        </w:rPr>
        <w:t>公车运行维护费支出与年初持平,无增减变化。主要原因是合理预计支出</w:t>
      </w:r>
      <w:r>
        <w:rPr>
          <w:rFonts w:ascii="Times New Roman" w:eastAsia="仿宋_GB2312"/>
          <w:sz w:val="32"/>
          <w:szCs w:val="32"/>
        </w:rPr>
        <w:t>；较上年减少0.2</w:t>
      </w:r>
      <w:r>
        <w:rPr>
          <w:rFonts w:hint="default" w:ascii="Times New Roman" w:eastAsia="仿宋_GB2312"/>
          <w:sz w:val="32"/>
          <w:szCs w:val="32"/>
          <w:lang w:val="en"/>
        </w:rPr>
        <w:t>0</w:t>
      </w:r>
      <w:r>
        <w:rPr>
          <w:rFonts w:ascii="Times New Roman" w:eastAsia="仿宋_GB2312"/>
          <w:sz w:val="32"/>
          <w:szCs w:val="32"/>
        </w:rPr>
        <w:t>万元，降低8</w:t>
      </w:r>
      <w:r>
        <w:rPr>
          <w:rFonts w:hint="default" w:ascii="Times New Roman" w:eastAsia="仿宋_GB2312"/>
          <w:sz w:val="32"/>
          <w:szCs w:val="32"/>
          <w:lang w:val="en"/>
        </w:rPr>
        <w:t>.0</w:t>
      </w:r>
      <w:r>
        <w:rPr>
          <w:rFonts w:ascii="Times New Roman" w:eastAsia="仿宋_GB2312"/>
          <w:sz w:val="32"/>
          <w:szCs w:val="32"/>
        </w:rPr>
        <w:t>%，主要原因是</w:t>
      </w:r>
      <w:r>
        <w:rPr>
          <w:rFonts w:hint="eastAsia" w:ascii="Times New Roman" w:eastAsia="仿宋_GB2312"/>
          <w:sz w:val="32"/>
          <w:szCs w:val="32"/>
        </w:rPr>
        <w:t>是厉行勤俭节约</w:t>
      </w:r>
      <w:r>
        <w:rPr>
          <w:rFonts w:ascii="Times New Roman" w:eastAsia="仿宋_GB2312"/>
          <w:sz w:val="32"/>
          <w:szCs w:val="32"/>
        </w:rPr>
        <w:t>。</w:t>
      </w:r>
    </w:p>
    <w:p>
      <w:pPr>
        <w:widowControl/>
        <w:spacing w:line="360" w:lineRule="auto"/>
        <w:ind w:firstLine="642"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sz w:val="32"/>
          <w:szCs w:val="32"/>
        </w:rPr>
        <w:t>本</w:t>
      </w:r>
      <w:r>
        <w:rPr>
          <w:rFonts w:hint="eastAsia" w:ascii="Times New Roman" w:eastAsia="仿宋_GB2312"/>
          <w:sz w:val="32"/>
          <w:szCs w:val="32"/>
          <w:lang w:eastAsia="zh-CN"/>
        </w:rPr>
        <w:t>单位</w:t>
      </w:r>
      <w:r>
        <w:rPr>
          <w:rFonts w:ascii="Times New Roman" w:eastAsia="仿宋_GB2312"/>
          <w:sz w:val="32"/>
          <w:szCs w:val="32"/>
        </w:rPr>
        <w:t>2025年度公务接待费支出预算为0.48万元，支出决算0万元，完成预算的0</w:t>
      </w:r>
      <w:r>
        <w:rPr>
          <w:rFonts w:hint="default" w:ascii="Times New Roman" w:eastAsia="仿宋_GB2312"/>
          <w:sz w:val="32"/>
          <w:szCs w:val="32"/>
          <w:lang w:val="en"/>
        </w:rPr>
        <w:t>.0</w:t>
      </w:r>
      <w:r>
        <w:rPr>
          <w:rFonts w:ascii="Times New Roman" w:eastAsia="仿宋_GB2312"/>
          <w:sz w:val="32"/>
          <w:szCs w:val="32"/>
        </w:rPr>
        <w:t>%。公务接待费支出较预算减少0.48万元，降低100</w:t>
      </w:r>
      <w:r>
        <w:rPr>
          <w:rFonts w:hint="default" w:ascii="Times New Roman" w:eastAsia="仿宋_GB2312"/>
          <w:sz w:val="32"/>
          <w:szCs w:val="32"/>
          <w:lang w:val="en"/>
        </w:rPr>
        <w:t>.0</w:t>
      </w:r>
      <w:r>
        <w:rPr>
          <w:rFonts w:ascii="Times New Roman" w:eastAsia="仿宋_GB2312"/>
          <w:sz w:val="32"/>
          <w:szCs w:val="32"/>
        </w:rPr>
        <w:t>%,主要原因是</w:t>
      </w:r>
      <w:r>
        <w:rPr>
          <w:rFonts w:hint="eastAsia" w:ascii="Times New Roman" w:eastAsia="仿宋_GB2312"/>
          <w:sz w:val="32"/>
          <w:szCs w:val="32"/>
        </w:rPr>
        <w:t>从严控制公务接待费用，未发生“公务接待费支出”经费</w:t>
      </w:r>
      <w:r>
        <w:rPr>
          <w:rFonts w:ascii="Times New Roman" w:eastAsia="仿宋_GB2312"/>
          <w:sz w:val="32"/>
          <w:szCs w:val="32"/>
        </w:rPr>
        <w:t>；</w:t>
      </w:r>
      <w:r>
        <w:rPr>
          <w:rFonts w:hint="eastAsia" w:ascii="Times New Roman" w:eastAsia="仿宋_GB2312"/>
          <w:b w:val="0"/>
          <w:sz w:val="32"/>
          <w:szCs w:val="32"/>
        </w:rPr>
        <w:t>较上年度持平,主要是</w:t>
      </w:r>
      <w:r>
        <w:rPr>
          <w:rFonts w:hint="eastAsia" w:ascii="Times New Roman" w:eastAsia="仿宋_GB2312"/>
          <w:b w:val="0"/>
          <w:sz w:val="32"/>
          <w:szCs w:val="32"/>
          <w:lang w:val="en-US" w:eastAsia="zh-CN"/>
        </w:rPr>
        <w:t>2025</w:t>
      </w:r>
      <w:r>
        <w:rPr>
          <w:rFonts w:hint="eastAsia" w:ascii="Times New Roman" w:eastAsia="仿宋_GB2312"/>
          <w:b w:val="0"/>
          <w:sz w:val="32"/>
          <w:szCs w:val="32"/>
        </w:rPr>
        <w:t>年度从严控制公务接待费用，未发生“公务接待费支出”经费</w:t>
      </w:r>
      <w:r>
        <w:rPr>
          <w:rFonts w:ascii="Times New Roman" w:eastAsia="仿宋_GB2312"/>
          <w:b w:val="0"/>
          <w:sz w:val="32"/>
          <w:szCs w:val="32"/>
        </w:rPr>
        <w:t>。</w:t>
      </w:r>
      <w:r>
        <w:rPr>
          <w:rFonts w:hint="eastAsia" w:ascii="Times New Roman" w:eastAsia="仿宋_GB2312"/>
          <w:b w:val="0"/>
          <w:sz w:val="32"/>
          <w:szCs w:val="32"/>
        </w:rPr>
        <w:t>本年度共发生公务接待</w:t>
      </w:r>
      <w:r>
        <w:rPr>
          <w:rFonts w:hint="eastAsia" w:ascii="Times New Roman" w:eastAsia="仿宋_GB2312"/>
          <w:b w:val="0"/>
          <w:sz w:val="32"/>
          <w:szCs w:val="32"/>
          <w:lang w:val="en-US" w:eastAsia="zh-CN"/>
        </w:rPr>
        <w:t>0</w:t>
      </w:r>
      <w:r>
        <w:rPr>
          <w:rFonts w:hint="eastAsia" w:ascii="Times New Roman" w:eastAsia="仿宋_GB2312"/>
          <w:b w:val="0"/>
          <w:sz w:val="32"/>
          <w:szCs w:val="32"/>
        </w:rPr>
        <w:t>批次、</w:t>
      </w:r>
      <w:r>
        <w:rPr>
          <w:rFonts w:hint="eastAsia" w:ascii="Times New Roman" w:eastAsia="仿宋_GB2312"/>
          <w:b w:val="0"/>
          <w:sz w:val="32"/>
          <w:szCs w:val="32"/>
          <w:lang w:val="en-US" w:eastAsia="zh-CN"/>
        </w:rPr>
        <w:t>0</w:t>
      </w:r>
      <w:r>
        <w:rPr>
          <w:rFonts w:hint="eastAsia" w:ascii="Times New Roman" w:eastAsia="仿宋_GB2312"/>
          <w:b w:val="0"/>
          <w:sz w:val="32"/>
          <w:szCs w:val="32"/>
        </w:rPr>
        <w:t>人次。</w:t>
      </w:r>
    </w:p>
    <w:p>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六、机关运行经费支出说明</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w:t>
      </w:r>
      <w:r>
        <w:rPr>
          <w:rFonts w:hint="eastAsia" w:ascii="Times New Roman" w:eastAsia="仿宋_GB2312"/>
          <w:sz w:val="32"/>
          <w:szCs w:val="32"/>
          <w:lang w:eastAsia="zh-CN"/>
        </w:rPr>
        <w:t>单位</w:t>
      </w:r>
      <w:r>
        <w:rPr>
          <w:rFonts w:ascii="Times New Roman" w:eastAsia="仿宋_GB2312"/>
          <w:sz w:val="32"/>
          <w:szCs w:val="32"/>
        </w:rPr>
        <w:t>2025年度机关运行经费支出113.23万元，较2024年度减少2.63万元，降低2.3%。主要原因是</w:t>
      </w:r>
      <w:r>
        <w:rPr>
          <w:rFonts w:hint="eastAsia" w:ascii="Times New Roman" w:eastAsia="仿宋_GB2312"/>
          <w:sz w:val="32"/>
          <w:szCs w:val="32"/>
          <w:lang w:eastAsia="zh-CN"/>
        </w:rPr>
        <w:t>厉行勤俭节约</w:t>
      </w:r>
      <w:r>
        <w:rPr>
          <w:rFonts w:ascii="Times New Roman" w:eastAsia="仿宋_GB2312"/>
          <w:sz w:val="32"/>
          <w:szCs w:val="32"/>
        </w:rPr>
        <w:t>。</w:t>
      </w:r>
    </w:p>
    <w:p>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七、政府采购支出说明</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w:t>
      </w:r>
      <w:r>
        <w:rPr>
          <w:rFonts w:hint="eastAsia" w:ascii="Times New Roman" w:eastAsia="仿宋_GB2312"/>
          <w:sz w:val="32"/>
          <w:szCs w:val="32"/>
          <w:lang w:eastAsia="zh-CN"/>
        </w:rPr>
        <w:t>单位</w:t>
      </w:r>
      <w:r>
        <w:rPr>
          <w:rFonts w:ascii="Times New Roman" w:eastAsia="仿宋_GB2312"/>
          <w:sz w:val="32"/>
          <w:szCs w:val="32"/>
        </w:rPr>
        <w:t>2025年度政府采购支出总额3.6</w:t>
      </w:r>
      <w:r>
        <w:rPr>
          <w:rFonts w:hint="default" w:ascii="Times New Roman" w:eastAsia="仿宋_GB2312"/>
          <w:sz w:val="32"/>
          <w:szCs w:val="32"/>
          <w:lang w:val="en"/>
        </w:rPr>
        <w:t>0</w:t>
      </w:r>
      <w:r>
        <w:rPr>
          <w:rFonts w:ascii="Times New Roman" w:eastAsia="仿宋_GB2312"/>
          <w:sz w:val="32"/>
          <w:szCs w:val="32"/>
        </w:rPr>
        <w:t>万元，从采购类型来看，政府采购货物支出3.6</w:t>
      </w:r>
      <w:r>
        <w:rPr>
          <w:rFonts w:hint="default" w:ascii="Times New Roman" w:eastAsia="仿宋_GB2312"/>
          <w:sz w:val="32"/>
          <w:szCs w:val="32"/>
          <w:lang w:val="en"/>
        </w:rPr>
        <w:t>0</w:t>
      </w:r>
      <w:r>
        <w:rPr>
          <w:rFonts w:ascii="Times New Roman" w:eastAsia="仿宋_GB2312"/>
          <w:sz w:val="32"/>
          <w:szCs w:val="32"/>
        </w:rPr>
        <w:t>万元、政府采购工程支出0万元、政府采购服务支出0万元。授予中小企业合同金额3.6</w:t>
      </w:r>
      <w:r>
        <w:rPr>
          <w:rFonts w:hint="default" w:ascii="Times New Roman" w:eastAsia="仿宋_GB2312"/>
          <w:sz w:val="32"/>
          <w:szCs w:val="32"/>
          <w:lang w:val="en"/>
        </w:rPr>
        <w:t>0</w:t>
      </w:r>
      <w:r>
        <w:rPr>
          <w:rFonts w:ascii="Times New Roman" w:eastAsia="仿宋_GB2312"/>
          <w:sz w:val="32"/>
          <w:szCs w:val="32"/>
        </w:rPr>
        <w:t>万元，占政府采购支出总额的100</w:t>
      </w:r>
      <w:r>
        <w:rPr>
          <w:rFonts w:hint="default" w:ascii="Times New Roman" w:eastAsia="仿宋_GB2312"/>
          <w:sz w:val="32"/>
          <w:szCs w:val="32"/>
          <w:lang w:val="en"/>
        </w:rPr>
        <w:t>.0</w:t>
      </w:r>
      <w:r>
        <w:rPr>
          <w:rFonts w:ascii="Times New Roman" w:eastAsia="仿宋_GB2312"/>
          <w:sz w:val="32"/>
          <w:szCs w:val="32"/>
        </w:rPr>
        <w:t>%，其中授予小微企业合同金额3.6</w:t>
      </w:r>
      <w:r>
        <w:rPr>
          <w:rFonts w:hint="default" w:ascii="Times New Roman" w:eastAsia="仿宋_GB2312"/>
          <w:sz w:val="32"/>
          <w:szCs w:val="32"/>
          <w:lang w:val="en"/>
        </w:rPr>
        <w:t>0</w:t>
      </w:r>
      <w:r>
        <w:rPr>
          <w:rFonts w:ascii="Times New Roman" w:eastAsia="仿宋_GB2312"/>
          <w:sz w:val="32"/>
          <w:szCs w:val="32"/>
        </w:rPr>
        <w:t>万元，占政府采购支出总额的100</w:t>
      </w:r>
      <w:r>
        <w:rPr>
          <w:rFonts w:hint="default" w:ascii="Times New Roman" w:eastAsia="仿宋_GB2312"/>
          <w:sz w:val="32"/>
          <w:szCs w:val="32"/>
          <w:lang w:val="en"/>
        </w:rPr>
        <w:t>.0</w:t>
      </w:r>
      <w:r>
        <w:rPr>
          <w:rFonts w:ascii="Times New Roman" w:eastAsia="仿宋_GB2312"/>
          <w:sz w:val="32"/>
          <w:szCs w:val="32"/>
        </w:rPr>
        <w:t>%。</w:t>
      </w:r>
    </w:p>
    <w:p>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八、国有资产占用情况说明</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截至2025年12月31日，本</w:t>
      </w:r>
      <w:r>
        <w:rPr>
          <w:rFonts w:hint="eastAsia" w:ascii="Times New Roman" w:eastAsia="仿宋_GB2312"/>
          <w:sz w:val="32"/>
          <w:szCs w:val="32"/>
          <w:lang w:eastAsia="zh-CN"/>
        </w:rPr>
        <w:t>单位</w:t>
      </w:r>
      <w:r>
        <w:rPr>
          <w:rFonts w:ascii="Times New Roman" w:eastAsia="仿宋_GB2312"/>
          <w:sz w:val="32"/>
          <w:szCs w:val="32"/>
        </w:rPr>
        <w:t>共有车辆1辆，</w:t>
      </w:r>
      <w:r>
        <w:rPr>
          <w:rFonts w:hint="eastAsia" w:ascii="Times New Roman" w:eastAsia="仿宋_GB2312"/>
          <w:sz w:val="32"/>
          <w:szCs w:val="32"/>
        </w:rPr>
        <w:t>与上年持平，主要原因是未购置公务用车</w:t>
      </w:r>
      <w:r>
        <w:rPr>
          <w:rFonts w:ascii="Times New Roman" w:eastAsia="仿宋_GB2312"/>
          <w:sz w:val="32"/>
          <w:szCs w:val="32"/>
        </w:rPr>
        <w:t>。其中，副部（省）级及以上领导用车0辆，主要负责人用车0辆，机要通信用车1辆，应急保障用车0辆，执法执勤用车0辆，特种专业技术用车0辆，离退休干部用车0辆，其他用车0辆，其他用车主要是。单位价值100万元（含）以上设备（不含车辆）0台（套）。</w:t>
      </w:r>
    </w:p>
    <w:p>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九、关于2025年度绩效评价情况的说明</w:t>
      </w:r>
    </w:p>
    <w:p>
      <w:pPr>
        <w:widowControl/>
        <w:spacing w:line="360" w:lineRule="auto"/>
        <w:ind w:firstLine="642" w:firstLineChars="200"/>
        <w:jc w:val="left"/>
        <w:rPr>
          <w:rFonts w:ascii="Times New Roman" w:eastAsia="仿宋_GB2312"/>
          <w:sz w:val="32"/>
          <w:szCs w:val="32"/>
        </w:rPr>
      </w:pPr>
      <w:r>
        <w:rPr>
          <w:rFonts w:ascii="Times New Roman" w:eastAsia="仿宋_GB2312"/>
          <w:b/>
          <w:sz w:val="32"/>
          <w:szCs w:val="32"/>
        </w:rPr>
        <w:t>（一）绩效评价工作开展情况</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根据预算绩效管理要求，本</w:t>
      </w:r>
      <w:r>
        <w:rPr>
          <w:rFonts w:hint="eastAsia" w:ascii="Times New Roman" w:eastAsia="仿宋_GB2312"/>
          <w:sz w:val="32"/>
          <w:szCs w:val="32"/>
          <w:lang w:eastAsia="zh-CN"/>
        </w:rPr>
        <w:t>单位</w:t>
      </w:r>
      <w:r>
        <w:rPr>
          <w:rFonts w:ascii="Times New Roman" w:eastAsia="仿宋_GB2312"/>
          <w:sz w:val="32"/>
          <w:szCs w:val="32"/>
        </w:rPr>
        <w:t>组织对2025年度本级预算项目支出全面开展绩效自评，共涉及资金</w:t>
      </w:r>
      <w:r>
        <w:rPr>
          <w:rFonts w:hint="eastAsia" w:ascii="Times New Roman" w:eastAsia="仿宋_GB2312"/>
          <w:sz w:val="32"/>
          <w:szCs w:val="32"/>
          <w:lang w:val="en-US" w:eastAsia="zh-CN"/>
        </w:rPr>
        <w:t>1636.18</w:t>
      </w:r>
      <w:r>
        <w:rPr>
          <w:rFonts w:ascii="Times New Roman" w:eastAsia="仿宋_GB2312"/>
          <w:sz w:val="32"/>
          <w:szCs w:val="32"/>
        </w:rPr>
        <w:t>万元。其中，一般公共预算项目</w:t>
      </w:r>
      <w:r>
        <w:rPr>
          <w:rFonts w:hint="eastAsia" w:ascii="Times New Roman" w:eastAsia="仿宋_GB2312"/>
          <w:sz w:val="32"/>
          <w:szCs w:val="32"/>
          <w:lang w:val="en-US" w:eastAsia="zh-CN"/>
        </w:rPr>
        <w:t>15</w:t>
      </w:r>
      <w:r>
        <w:rPr>
          <w:rFonts w:ascii="Times New Roman" w:eastAsia="仿宋_GB2312"/>
          <w:sz w:val="32"/>
          <w:szCs w:val="32"/>
        </w:rPr>
        <w:t>个，涉及资金</w:t>
      </w:r>
      <w:r>
        <w:rPr>
          <w:rFonts w:hint="eastAsia" w:ascii="Times New Roman" w:eastAsia="仿宋_GB2312"/>
          <w:sz w:val="32"/>
          <w:szCs w:val="32"/>
          <w:lang w:val="en-US" w:eastAsia="zh-CN"/>
        </w:rPr>
        <w:t>1636.18</w:t>
      </w:r>
      <w:r>
        <w:rPr>
          <w:rFonts w:ascii="Times New Roman" w:eastAsia="仿宋_GB2312"/>
          <w:sz w:val="32"/>
          <w:szCs w:val="32"/>
        </w:rPr>
        <w:t>万元，占一般公共预算项目支出总额的</w:t>
      </w:r>
      <w:r>
        <w:rPr>
          <w:rFonts w:hint="eastAsia" w:ascii="Times New Roman" w:eastAsia="仿宋_GB2312"/>
          <w:sz w:val="32"/>
          <w:szCs w:val="32"/>
          <w:lang w:val="en-US" w:eastAsia="zh-CN"/>
        </w:rPr>
        <w:t>100</w:t>
      </w:r>
      <w:r>
        <w:rPr>
          <w:rFonts w:hint="default" w:ascii="Times New Roman" w:eastAsia="仿宋_GB2312"/>
          <w:sz w:val="32"/>
          <w:szCs w:val="32"/>
          <w:lang w:val="en" w:eastAsia="zh-CN"/>
        </w:rPr>
        <w:t>.0</w:t>
      </w:r>
      <w:r>
        <w:rPr>
          <w:rFonts w:ascii="Times New Roman" w:eastAsia="仿宋_GB2312"/>
          <w:sz w:val="32"/>
          <w:szCs w:val="32"/>
        </w:rPr>
        <w:t>%；政府性基金预算项目</w:t>
      </w:r>
      <w:r>
        <w:rPr>
          <w:rFonts w:hint="eastAsia" w:ascii="Times New Roman" w:eastAsia="仿宋_GB2312"/>
          <w:sz w:val="32"/>
          <w:szCs w:val="32"/>
          <w:lang w:val="en-US" w:eastAsia="zh-CN"/>
        </w:rPr>
        <w:t>0</w:t>
      </w:r>
      <w:r>
        <w:rPr>
          <w:rFonts w:ascii="Times New Roman" w:eastAsia="仿宋_GB2312"/>
          <w:sz w:val="32"/>
          <w:szCs w:val="32"/>
        </w:rPr>
        <w:t>个，涉及资金</w:t>
      </w:r>
      <w:r>
        <w:rPr>
          <w:rFonts w:hint="eastAsia" w:ascii="Times New Roman" w:eastAsia="仿宋_GB2312"/>
          <w:sz w:val="32"/>
          <w:szCs w:val="32"/>
          <w:lang w:val="en-US" w:eastAsia="zh-CN"/>
        </w:rPr>
        <w:t>0</w:t>
      </w:r>
      <w:r>
        <w:rPr>
          <w:rFonts w:ascii="Times New Roman" w:eastAsia="仿宋_GB2312"/>
          <w:sz w:val="32"/>
          <w:szCs w:val="32"/>
        </w:rPr>
        <w:t>万元；国有资本经营预算项目</w:t>
      </w:r>
      <w:r>
        <w:rPr>
          <w:rFonts w:hint="eastAsia" w:ascii="Times New Roman" w:eastAsia="仿宋_GB2312"/>
          <w:sz w:val="32"/>
          <w:szCs w:val="32"/>
          <w:lang w:val="en-US" w:eastAsia="zh-CN"/>
        </w:rPr>
        <w:t>0</w:t>
      </w:r>
      <w:r>
        <w:rPr>
          <w:rFonts w:ascii="Times New Roman" w:eastAsia="仿宋_GB2312"/>
          <w:sz w:val="32"/>
          <w:szCs w:val="32"/>
        </w:rPr>
        <w:t>个，涉及资金</w:t>
      </w:r>
      <w:r>
        <w:rPr>
          <w:rFonts w:hint="eastAsia" w:ascii="Times New Roman" w:eastAsia="仿宋_GB2312"/>
          <w:sz w:val="32"/>
          <w:szCs w:val="32"/>
          <w:lang w:val="en-US" w:eastAsia="zh-CN"/>
        </w:rPr>
        <w:t>0</w:t>
      </w:r>
      <w:r>
        <w:rPr>
          <w:rFonts w:ascii="Times New Roman" w:eastAsia="仿宋_GB2312"/>
          <w:sz w:val="32"/>
          <w:szCs w:val="32"/>
        </w:rPr>
        <w:t>万元。</w:t>
      </w:r>
    </w:p>
    <w:p>
      <w:pPr>
        <w:widowControl/>
        <w:spacing w:line="360" w:lineRule="auto"/>
        <w:ind w:firstLine="642" w:firstLineChars="200"/>
        <w:jc w:val="left"/>
        <w:rPr>
          <w:rFonts w:ascii="Times New Roman" w:eastAsia="仿宋_GB2312"/>
          <w:sz w:val="32"/>
          <w:szCs w:val="32"/>
        </w:rPr>
      </w:pPr>
      <w:r>
        <w:rPr>
          <w:rFonts w:ascii="Times New Roman" w:eastAsia="仿宋_GB2312"/>
          <w:b/>
          <w:sz w:val="32"/>
          <w:szCs w:val="32"/>
        </w:rPr>
        <w:t>（二）</w:t>
      </w:r>
      <w:r>
        <w:rPr>
          <w:rFonts w:hint="eastAsia" w:ascii="Times New Roman" w:eastAsia="仿宋_GB2312"/>
          <w:b/>
          <w:sz w:val="32"/>
          <w:szCs w:val="32"/>
          <w:lang w:eastAsia="zh-CN"/>
        </w:rPr>
        <w:t>单位</w:t>
      </w:r>
      <w:r>
        <w:rPr>
          <w:rFonts w:ascii="Times New Roman" w:eastAsia="仿宋_GB2312"/>
          <w:b/>
          <w:sz w:val="32"/>
          <w:szCs w:val="32"/>
        </w:rPr>
        <w:t>决算中项目绩效自评结果</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本单</w:t>
      </w:r>
      <w:r>
        <w:rPr>
          <w:rFonts w:hint="eastAsia" w:ascii="Times New Roman" w:eastAsia="仿宋_GB2312"/>
          <w:sz w:val="32"/>
          <w:szCs w:val="32"/>
          <w:lang w:eastAsia="zh-CN"/>
        </w:rPr>
        <w:t>单位</w:t>
      </w:r>
      <w:r>
        <w:rPr>
          <w:rFonts w:ascii="Times New Roman" w:eastAsia="仿宋_GB2312"/>
          <w:sz w:val="32"/>
          <w:szCs w:val="32"/>
        </w:rPr>
        <w:t>在今年</w:t>
      </w:r>
      <w:r>
        <w:rPr>
          <w:rFonts w:hint="eastAsia" w:ascii="Times New Roman" w:eastAsia="仿宋_GB2312"/>
          <w:sz w:val="32"/>
          <w:szCs w:val="32"/>
          <w:lang w:eastAsia="zh-CN"/>
        </w:rPr>
        <w:t>单位</w:t>
      </w:r>
      <w:r>
        <w:rPr>
          <w:rFonts w:ascii="Times New Roman" w:eastAsia="仿宋_GB2312"/>
          <w:sz w:val="32"/>
          <w:szCs w:val="32"/>
        </w:rPr>
        <w:t>决算公开中反映</w:t>
      </w:r>
      <w:r>
        <w:rPr>
          <w:rFonts w:hint="eastAsia" w:ascii="Times New Roman" w:eastAsia="仿宋_GB2312"/>
          <w:sz w:val="32"/>
          <w:szCs w:val="32"/>
        </w:rPr>
        <w:t>“金十条”政策奖补资金</w:t>
      </w:r>
      <w:r>
        <w:rPr>
          <w:rFonts w:hint="eastAsia" w:ascii="Times New Roman" w:eastAsia="仿宋_GB2312"/>
          <w:sz w:val="32"/>
          <w:szCs w:val="32"/>
          <w:lang w:eastAsia="zh-CN"/>
        </w:rPr>
        <w:t>、《金融界》及融媒体提升金融影响力专项经费</w:t>
      </w:r>
      <w:r>
        <w:rPr>
          <w:rFonts w:ascii="Times New Roman" w:eastAsia="仿宋_GB2312"/>
          <w:sz w:val="32"/>
          <w:szCs w:val="32"/>
        </w:rPr>
        <w:t>等</w:t>
      </w:r>
      <w:r>
        <w:rPr>
          <w:rFonts w:hint="eastAsia" w:ascii="Times New Roman" w:eastAsia="仿宋_GB2312"/>
          <w:sz w:val="32"/>
          <w:szCs w:val="32"/>
          <w:lang w:val="en-US" w:eastAsia="zh-CN"/>
        </w:rPr>
        <w:t>15</w:t>
      </w:r>
      <w:r>
        <w:rPr>
          <w:rFonts w:ascii="Times New Roman" w:eastAsia="仿宋_GB2312"/>
          <w:sz w:val="32"/>
          <w:szCs w:val="32"/>
        </w:rPr>
        <w:t>个项目绩效自评结果。</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项目绩效自评情况：根据年初设定的绩效目标，项目绩效自评得分为分（绩效自评表附后）。全年预算数为</w:t>
      </w:r>
      <w:r>
        <w:rPr>
          <w:rFonts w:hint="eastAsia" w:ascii="Times New Roman" w:eastAsia="仿宋_GB2312"/>
          <w:sz w:val="32"/>
          <w:szCs w:val="32"/>
          <w:lang w:val="en-US" w:eastAsia="zh-CN"/>
        </w:rPr>
        <w:t>1639.76</w:t>
      </w:r>
      <w:r>
        <w:rPr>
          <w:rFonts w:ascii="Times New Roman" w:eastAsia="仿宋_GB2312"/>
          <w:sz w:val="32"/>
          <w:szCs w:val="32"/>
        </w:rPr>
        <w:t>万元，执行数为</w:t>
      </w:r>
      <w:r>
        <w:rPr>
          <w:rFonts w:hint="eastAsia" w:ascii="Times New Roman" w:eastAsia="仿宋_GB2312"/>
          <w:sz w:val="32"/>
          <w:szCs w:val="32"/>
          <w:lang w:val="en-US" w:eastAsia="zh-CN"/>
        </w:rPr>
        <w:t>1636.18</w:t>
      </w:r>
      <w:r>
        <w:rPr>
          <w:rFonts w:ascii="Times New Roman" w:eastAsia="仿宋_GB2312"/>
          <w:sz w:val="32"/>
          <w:szCs w:val="32"/>
        </w:rPr>
        <w:t>万元，完成预算的</w:t>
      </w:r>
      <w:r>
        <w:rPr>
          <w:rFonts w:hint="eastAsia" w:ascii="Times New Roman" w:eastAsia="仿宋_GB2312"/>
          <w:sz w:val="32"/>
          <w:szCs w:val="32"/>
          <w:lang w:val="en-US" w:eastAsia="zh-CN"/>
        </w:rPr>
        <w:t>99.78</w:t>
      </w:r>
      <w:r>
        <w:rPr>
          <w:rFonts w:ascii="Times New Roman" w:eastAsia="仿宋_GB2312"/>
          <w:sz w:val="32"/>
          <w:szCs w:val="32"/>
        </w:rPr>
        <w:t>%。项目绩效目标完成情况：</w:t>
      </w:r>
    </w:p>
    <w:p>
      <w:pPr>
        <w:widowControl/>
        <w:spacing w:line="360" w:lineRule="auto"/>
        <w:ind w:firstLine="640" w:firstLineChars="200"/>
        <w:jc w:val="left"/>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党组织活动经费绩效自评情况：根据年初设定的绩效目标，党组织活动经费项目绩效自评得分为</w:t>
      </w:r>
      <w:r>
        <w:rPr>
          <w:rFonts w:hint="eastAsia" w:ascii="CESI仿宋-GB2312" w:hAnsi="CESI仿宋-GB2312" w:eastAsia="CESI仿宋-GB2312" w:cs="CESI仿宋-GB2312"/>
          <w:sz w:val="32"/>
          <w:szCs w:val="32"/>
          <w:lang w:val="en-US" w:eastAsia="zh-CN"/>
        </w:rPr>
        <w:t>99</w:t>
      </w:r>
      <w:r>
        <w:rPr>
          <w:rFonts w:hint="eastAsia" w:ascii="CESI仿宋-GB2312" w:hAnsi="CESI仿宋-GB2312" w:eastAsia="CESI仿宋-GB2312" w:cs="CESI仿宋-GB2312"/>
          <w:sz w:val="32"/>
          <w:szCs w:val="32"/>
        </w:rPr>
        <w:t>分。全年预算数为</w:t>
      </w:r>
      <w:r>
        <w:rPr>
          <w:rFonts w:hint="eastAsia" w:ascii="CESI仿宋-GB2312" w:hAnsi="CESI仿宋-GB2312" w:eastAsia="CESI仿宋-GB2312" w:cs="CESI仿宋-GB2312"/>
          <w:sz w:val="32"/>
          <w:szCs w:val="32"/>
          <w:lang w:val="en-US" w:eastAsia="zh-CN"/>
        </w:rPr>
        <w:t>4.24</w:t>
      </w:r>
      <w:r>
        <w:rPr>
          <w:rFonts w:hint="eastAsia" w:ascii="CESI仿宋-GB2312" w:hAnsi="CESI仿宋-GB2312" w:eastAsia="CESI仿宋-GB2312" w:cs="CESI仿宋-GB2312"/>
          <w:sz w:val="32"/>
          <w:szCs w:val="32"/>
        </w:rPr>
        <w:t>万元，执行数为</w:t>
      </w:r>
      <w:r>
        <w:rPr>
          <w:rFonts w:hint="eastAsia" w:ascii="CESI仿宋-GB2312" w:hAnsi="CESI仿宋-GB2312" w:eastAsia="CESI仿宋-GB2312" w:cs="CESI仿宋-GB2312"/>
          <w:sz w:val="32"/>
          <w:szCs w:val="32"/>
          <w:lang w:val="en-US" w:eastAsia="zh-CN"/>
        </w:rPr>
        <w:t>3.81</w:t>
      </w:r>
      <w:r>
        <w:rPr>
          <w:rFonts w:hint="eastAsia" w:ascii="CESI仿宋-GB2312" w:hAnsi="CESI仿宋-GB2312" w:eastAsia="CESI仿宋-GB2312" w:cs="CESI仿宋-GB2312"/>
          <w:sz w:val="32"/>
          <w:szCs w:val="32"/>
        </w:rPr>
        <w:t>万元，完成预算的</w:t>
      </w:r>
      <w:r>
        <w:rPr>
          <w:rFonts w:hint="eastAsia" w:ascii="CESI仿宋-GB2312" w:hAnsi="CESI仿宋-GB2312" w:eastAsia="CESI仿宋-GB2312" w:cs="CESI仿宋-GB2312"/>
          <w:sz w:val="32"/>
          <w:szCs w:val="32"/>
          <w:lang w:val="en-US" w:eastAsia="zh-CN"/>
        </w:rPr>
        <w:t>89.98</w:t>
      </w:r>
      <w:r>
        <w:rPr>
          <w:rFonts w:hint="eastAsia" w:ascii="CESI仿宋-GB2312" w:hAnsi="CESI仿宋-GB2312" w:eastAsia="CESI仿宋-GB2312" w:cs="CESI仿宋-GB2312"/>
          <w:sz w:val="32"/>
          <w:szCs w:val="32"/>
        </w:rPr>
        <w:t>%。项目绩效目标完成情况：本项目开展党组织活动</w:t>
      </w:r>
      <w:r>
        <w:rPr>
          <w:rFonts w:hint="eastAsia" w:ascii="CESI仿宋-GB2312" w:hAnsi="CESI仿宋-GB2312" w:eastAsia="CESI仿宋-GB2312" w:cs="CESI仿宋-GB2312"/>
          <w:sz w:val="32"/>
          <w:szCs w:val="32"/>
          <w:lang w:eastAsia="zh-CN"/>
        </w:rPr>
        <w:t>次数</w:t>
      </w:r>
      <w:r>
        <w:rPr>
          <w:rFonts w:hint="eastAsia" w:ascii="CESI仿宋-GB2312" w:hAnsi="CESI仿宋-GB2312" w:eastAsia="CESI仿宋-GB2312" w:cs="CESI仿宋-GB2312"/>
          <w:sz w:val="32"/>
          <w:szCs w:val="32"/>
          <w:lang w:val="en-US" w:eastAsia="zh-CN"/>
        </w:rPr>
        <w:t>12</w:t>
      </w:r>
      <w:r>
        <w:rPr>
          <w:rFonts w:hint="eastAsia" w:ascii="CESI仿宋-GB2312" w:hAnsi="CESI仿宋-GB2312" w:eastAsia="CESI仿宋-GB2312" w:cs="CESI仿宋-GB2312"/>
          <w:sz w:val="32"/>
          <w:szCs w:val="32"/>
        </w:rPr>
        <w:t>次，加强</w:t>
      </w:r>
      <w:r>
        <w:rPr>
          <w:rFonts w:hint="eastAsia" w:ascii="CESI仿宋-GB2312" w:hAnsi="CESI仿宋-GB2312" w:eastAsia="CESI仿宋-GB2312" w:cs="CESI仿宋-GB2312"/>
          <w:sz w:val="32"/>
          <w:szCs w:val="32"/>
          <w:lang w:eastAsia="zh-CN"/>
        </w:rPr>
        <w:t>了</w:t>
      </w:r>
      <w:r>
        <w:rPr>
          <w:rFonts w:hint="eastAsia" w:ascii="CESI仿宋-GB2312" w:hAnsi="CESI仿宋-GB2312" w:eastAsia="CESI仿宋-GB2312" w:cs="CESI仿宋-GB2312"/>
          <w:sz w:val="32"/>
          <w:szCs w:val="32"/>
        </w:rPr>
        <w:t>基层党组织和党员队伍建设，不断提高我单位党建工作水平，通过对党员的教育、管理和监督，党员思想水平和党性修养不断提升，实际完成预期目标。未发现问题。</w:t>
      </w:r>
    </w:p>
    <w:p>
      <w:pPr>
        <w:widowControl/>
        <w:spacing w:line="360" w:lineRule="auto"/>
        <w:ind w:firstLine="640" w:firstLineChars="200"/>
        <w:jc w:val="left"/>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办公设备购置费项目绩效自评情况：根据年初设定的绩效目标，办公设备购置费项目绩效自评得分为</w:t>
      </w:r>
      <w:r>
        <w:rPr>
          <w:rFonts w:hint="eastAsia" w:ascii="CESI仿宋-GB2312" w:hAnsi="CESI仿宋-GB2312" w:eastAsia="CESI仿宋-GB2312" w:cs="CESI仿宋-GB2312"/>
          <w:sz w:val="32"/>
          <w:szCs w:val="32"/>
          <w:lang w:val="en-US" w:eastAsia="zh-CN"/>
        </w:rPr>
        <w:t>100</w:t>
      </w:r>
      <w:r>
        <w:rPr>
          <w:rFonts w:hint="eastAsia" w:ascii="CESI仿宋-GB2312" w:hAnsi="CESI仿宋-GB2312" w:eastAsia="CESI仿宋-GB2312" w:cs="CESI仿宋-GB2312"/>
          <w:sz w:val="32"/>
          <w:szCs w:val="32"/>
        </w:rPr>
        <w:t>分</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rPr>
        <w:t>全年预算数为</w:t>
      </w:r>
      <w:r>
        <w:rPr>
          <w:rFonts w:hint="eastAsia" w:ascii="CESI仿宋-GB2312" w:hAnsi="CESI仿宋-GB2312" w:eastAsia="CESI仿宋-GB2312" w:cs="CESI仿宋-GB2312"/>
          <w:sz w:val="32"/>
          <w:szCs w:val="32"/>
          <w:lang w:val="en-US" w:eastAsia="zh-CN"/>
        </w:rPr>
        <w:t>0.57</w:t>
      </w:r>
      <w:r>
        <w:rPr>
          <w:rFonts w:hint="eastAsia" w:ascii="CESI仿宋-GB2312" w:hAnsi="CESI仿宋-GB2312" w:eastAsia="CESI仿宋-GB2312" w:cs="CESI仿宋-GB2312"/>
          <w:sz w:val="32"/>
          <w:szCs w:val="32"/>
        </w:rPr>
        <w:t>万元，执行数为</w:t>
      </w:r>
      <w:r>
        <w:rPr>
          <w:rFonts w:hint="eastAsia" w:ascii="CESI仿宋-GB2312" w:hAnsi="CESI仿宋-GB2312" w:eastAsia="CESI仿宋-GB2312" w:cs="CESI仿宋-GB2312"/>
          <w:sz w:val="32"/>
          <w:szCs w:val="32"/>
          <w:lang w:val="en-US" w:eastAsia="zh-CN"/>
        </w:rPr>
        <w:t>0.57</w:t>
      </w:r>
      <w:r>
        <w:rPr>
          <w:rFonts w:hint="eastAsia" w:ascii="CESI仿宋-GB2312" w:hAnsi="CESI仿宋-GB2312" w:eastAsia="CESI仿宋-GB2312" w:cs="CESI仿宋-GB2312"/>
          <w:sz w:val="32"/>
          <w:szCs w:val="32"/>
        </w:rPr>
        <w:t>万元，完成预算的</w:t>
      </w:r>
      <w:r>
        <w:rPr>
          <w:rFonts w:hint="eastAsia" w:ascii="CESI仿宋-GB2312" w:hAnsi="CESI仿宋-GB2312" w:eastAsia="CESI仿宋-GB2312" w:cs="CESI仿宋-GB2312"/>
          <w:sz w:val="32"/>
          <w:szCs w:val="32"/>
          <w:lang w:val="en-US" w:eastAsia="zh-CN"/>
        </w:rPr>
        <w:t>100</w:t>
      </w:r>
      <w:r>
        <w:rPr>
          <w:rFonts w:hint="default" w:ascii="CESI仿宋-GB2312" w:hAnsi="CESI仿宋-GB2312" w:eastAsia="CESI仿宋-GB2312" w:cs="CESI仿宋-GB2312"/>
          <w:sz w:val="32"/>
          <w:szCs w:val="32"/>
          <w:lang w:val="en" w:eastAsia="zh-CN"/>
        </w:rPr>
        <w:t>.0</w:t>
      </w:r>
      <w:r>
        <w:rPr>
          <w:rFonts w:hint="eastAsia" w:ascii="CESI仿宋-GB2312" w:hAnsi="CESI仿宋-GB2312" w:eastAsia="CESI仿宋-GB2312" w:cs="CESI仿宋-GB2312"/>
          <w:sz w:val="32"/>
          <w:szCs w:val="32"/>
        </w:rPr>
        <w:t>%。项目绩效目标完成情况：按计划实际完成设备购置</w:t>
      </w:r>
      <w:r>
        <w:rPr>
          <w:rFonts w:hint="eastAsia" w:ascii="CESI仿宋-GB2312" w:hAnsi="CESI仿宋-GB2312" w:eastAsia="CESI仿宋-GB2312" w:cs="CESI仿宋-GB2312"/>
          <w:sz w:val="32"/>
          <w:szCs w:val="32"/>
          <w:lang w:val="en-US" w:eastAsia="zh-CN"/>
        </w:rPr>
        <w:t>1</w:t>
      </w:r>
      <w:r>
        <w:rPr>
          <w:rFonts w:hint="eastAsia" w:ascii="CESI仿宋-GB2312" w:hAnsi="CESI仿宋-GB2312" w:eastAsia="CESI仿宋-GB2312" w:cs="CESI仿宋-GB2312"/>
          <w:sz w:val="32"/>
          <w:szCs w:val="32"/>
        </w:rPr>
        <w:t>台（套），设备处于良好运行状态，提高了工作效率，为单位干部职工提供了安全、快捷、细致、周到的工作环境，实际完成预期目标。未发现问题。</w:t>
      </w:r>
    </w:p>
    <w:p>
      <w:pPr>
        <w:widowControl/>
        <w:spacing w:line="360" w:lineRule="auto"/>
        <w:ind w:firstLine="640" w:firstLineChars="200"/>
        <w:jc w:val="left"/>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文件资料印刷费绩效自评情况：根据年初设定的绩效目标，文件资料印刷费项目绩效自评得分为</w:t>
      </w:r>
      <w:r>
        <w:rPr>
          <w:rFonts w:hint="eastAsia" w:ascii="CESI仿宋-GB2312" w:hAnsi="CESI仿宋-GB2312" w:eastAsia="CESI仿宋-GB2312" w:cs="CESI仿宋-GB2312"/>
          <w:sz w:val="32"/>
          <w:szCs w:val="32"/>
          <w:lang w:val="en-US" w:eastAsia="zh-CN"/>
        </w:rPr>
        <w:t>100</w:t>
      </w:r>
      <w:r>
        <w:rPr>
          <w:rFonts w:hint="eastAsia" w:ascii="CESI仿宋-GB2312" w:hAnsi="CESI仿宋-GB2312" w:eastAsia="CESI仿宋-GB2312" w:cs="CESI仿宋-GB2312"/>
          <w:sz w:val="32"/>
          <w:szCs w:val="32"/>
        </w:rPr>
        <w:t>分。全年预算数为</w:t>
      </w:r>
      <w:r>
        <w:rPr>
          <w:rFonts w:hint="eastAsia" w:ascii="CESI仿宋-GB2312" w:hAnsi="CESI仿宋-GB2312" w:eastAsia="CESI仿宋-GB2312" w:cs="CESI仿宋-GB2312"/>
          <w:sz w:val="32"/>
          <w:szCs w:val="32"/>
          <w:lang w:val="en-US" w:eastAsia="zh-CN"/>
        </w:rPr>
        <w:t>2.59</w:t>
      </w:r>
      <w:r>
        <w:rPr>
          <w:rFonts w:hint="eastAsia" w:ascii="CESI仿宋-GB2312" w:hAnsi="CESI仿宋-GB2312" w:eastAsia="CESI仿宋-GB2312" w:cs="CESI仿宋-GB2312"/>
          <w:sz w:val="32"/>
          <w:szCs w:val="32"/>
        </w:rPr>
        <w:t>万元，执行数为</w:t>
      </w:r>
      <w:r>
        <w:rPr>
          <w:rFonts w:hint="eastAsia" w:ascii="CESI仿宋-GB2312" w:hAnsi="CESI仿宋-GB2312" w:eastAsia="CESI仿宋-GB2312" w:cs="CESI仿宋-GB2312"/>
          <w:sz w:val="32"/>
          <w:szCs w:val="32"/>
          <w:lang w:val="en-US" w:eastAsia="zh-CN"/>
        </w:rPr>
        <w:t>2.59</w:t>
      </w:r>
      <w:r>
        <w:rPr>
          <w:rFonts w:hint="eastAsia" w:ascii="CESI仿宋-GB2312" w:hAnsi="CESI仿宋-GB2312" w:eastAsia="CESI仿宋-GB2312" w:cs="CESI仿宋-GB2312"/>
          <w:sz w:val="32"/>
          <w:szCs w:val="32"/>
        </w:rPr>
        <w:t>万元，完成预算的</w:t>
      </w:r>
      <w:r>
        <w:rPr>
          <w:rFonts w:hint="eastAsia" w:ascii="CESI仿宋-GB2312" w:hAnsi="CESI仿宋-GB2312" w:eastAsia="CESI仿宋-GB2312" w:cs="CESI仿宋-GB2312"/>
          <w:sz w:val="32"/>
          <w:szCs w:val="32"/>
          <w:lang w:val="en-US" w:eastAsia="zh-CN"/>
        </w:rPr>
        <w:t>100</w:t>
      </w:r>
      <w:r>
        <w:rPr>
          <w:rFonts w:hint="default" w:ascii="CESI仿宋-GB2312" w:hAnsi="CESI仿宋-GB2312" w:eastAsia="CESI仿宋-GB2312" w:cs="CESI仿宋-GB2312"/>
          <w:sz w:val="32"/>
          <w:szCs w:val="32"/>
          <w:lang w:val="en" w:eastAsia="zh-CN"/>
        </w:rPr>
        <w:t>.0</w:t>
      </w:r>
      <w:r>
        <w:rPr>
          <w:rFonts w:hint="eastAsia" w:ascii="CESI仿宋-GB2312" w:hAnsi="CESI仿宋-GB2312" w:eastAsia="CESI仿宋-GB2312" w:cs="CESI仿宋-GB2312"/>
          <w:sz w:val="32"/>
          <w:szCs w:val="32"/>
        </w:rPr>
        <w:t>%。项目绩效目标完成情况：针对</w:t>
      </w:r>
      <w:r>
        <w:rPr>
          <w:rFonts w:hint="eastAsia" w:ascii="CESI仿宋-GB2312" w:hAnsi="CESI仿宋-GB2312" w:eastAsia="CESI仿宋-GB2312" w:cs="CESI仿宋-GB2312"/>
          <w:sz w:val="32"/>
          <w:szCs w:val="32"/>
          <w:lang w:eastAsia="zh-CN"/>
        </w:rPr>
        <w:t>《金融动态》</w:t>
      </w:r>
      <w:r>
        <w:rPr>
          <w:rFonts w:hint="eastAsia" w:ascii="CESI仿宋-GB2312" w:hAnsi="CESI仿宋-GB2312" w:eastAsia="CESI仿宋-GB2312" w:cs="CESI仿宋-GB2312"/>
          <w:sz w:val="32"/>
          <w:szCs w:val="32"/>
        </w:rPr>
        <w:t>、</w:t>
      </w:r>
      <w:r>
        <w:rPr>
          <w:rFonts w:hint="eastAsia" w:ascii="CESI仿宋-GB2312" w:hAnsi="CESI仿宋-GB2312" w:eastAsia="CESI仿宋-GB2312" w:cs="CESI仿宋-GB2312"/>
          <w:sz w:val="32"/>
          <w:szCs w:val="32"/>
          <w:lang w:eastAsia="zh-CN"/>
        </w:rPr>
        <w:t>学习</w:t>
      </w:r>
      <w:r>
        <w:rPr>
          <w:rFonts w:hint="eastAsia" w:ascii="CESI仿宋-GB2312" w:hAnsi="CESI仿宋-GB2312" w:eastAsia="CESI仿宋-GB2312" w:cs="CESI仿宋-GB2312"/>
          <w:sz w:val="32"/>
          <w:szCs w:val="32"/>
        </w:rPr>
        <w:t>资料等的印刷，保证</w:t>
      </w:r>
      <w:r>
        <w:rPr>
          <w:rFonts w:hint="eastAsia" w:ascii="CESI仿宋-GB2312" w:hAnsi="CESI仿宋-GB2312" w:eastAsia="CESI仿宋-GB2312" w:cs="CESI仿宋-GB2312"/>
          <w:sz w:val="32"/>
          <w:szCs w:val="32"/>
          <w:lang w:eastAsia="zh-CN"/>
        </w:rPr>
        <w:t>了</w:t>
      </w:r>
      <w:r>
        <w:rPr>
          <w:rFonts w:hint="eastAsia" w:ascii="CESI仿宋-GB2312" w:hAnsi="CESI仿宋-GB2312" w:eastAsia="CESI仿宋-GB2312" w:cs="CESI仿宋-GB2312"/>
          <w:sz w:val="32"/>
          <w:szCs w:val="32"/>
        </w:rPr>
        <w:t>文件印发符合规定要求，做到及时</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rPr>
        <w:t>有效</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rPr>
        <w:t>节约，实现业务的正常办理及资料的档案留存，实际完成预期目标。未发现问题。</w:t>
      </w:r>
    </w:p>
    <w:p>
      <w:pPr>
        <w:widowControl/>
        <w:spacing w:line="360" w:lineRule="auto"/>
        <w:ind w:firstLine="640" w:firstLineChars="200"/>
        <w:jc w:val="left"/>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rPr>
        <w:t>业务培训费绩效自评情况：根据年初设定的绩效目标，文件资料印刷费项目绩效自评得分为</w:t>
      </w:r>
      <w:r>
        <w:rPr>
          <w:rFonts w:hint="eastAsia" w:ascii="CESI仿宋-GB2312" w:hAnsi="CESI仿宋-GB2312" w:eastAsia="CESI仿宋-GB2312" w:cs="CESI仿宋-GB2312"/>
          <w:sz w:val="32"/>
          <w:szCs w:val="32"/>
          <w:lang w:val="en-US" w:eastAsia="zh-CN"/>
        </w:rPr>
        <w:t>99</w:t>
      </w:r>
      <w:r>
        <w:rPr>
          <w:rFonts w:hint="eastAsia" w:ascii="CESI仿宋-GB2312" w:hAnsi="CESI仿宋-GB2312" w:eastAsia="CESI仿宋-GB2312" w:cs="CESI仿宋-GB2312"/>
          <w:sz w:val="32"/>
          <w:szCs w:val="32"/>
        </w:rPr>
        <w:t>分。全年预算数为</w:t>
      </w:r>
      <w:r>
        <w:rPr>
          <w:rFonts w:hint="eastAsia" w:ascii="CESI仿宋-GB2312" w:hAnsi="CESI仿宋-GB2312" w:eastAsia="CESI仿宋-GB2312" w:cs="CESI仿宋-GB2312"/>
          <w:sz w:val="32"/>
          <w:szCs w:val="32"/>
          <w:lang w:val="en-US" w:eastAsia="zh-CN"/>
        </w:rPr>
        <w:t>1.35</w:t>
      </w:r>
      <w:r>
        <w:rPr>
          <w:rFonts w:hint="eastAsia" w:ascii="CESI仿宋-GB2312" w:hAnsi="CESI仿宋-GB2312" w:eastAsia="CESI仿宋-GB2312" w:cs="CESI仿宋-GB2312"/>
          <w:sz w:val="32"/>
          <w:szCs w:val="32"/>
        </w:rPr>
        <w:t>元，执行数为</w:t>
      </w:r>
      <w:r>
        <w:rPr>
          <w:rFonts w:hint="eastAsia" w:ascii="CESI仿宋-GB2312" w:hAnsi="CESI仿宋-GB2312" w:eastAsia="CESI仿宋-GB2312" w:cs="CESI仿宋-GB2312"/>
          <w:sz w:val="32"/>
          <w:szCs w:val="32"/>
          <w:lang w:val="en-US" w:eastAsia="zh-CN"/>
        </w:rPr>
        <w:t>1.29</w:t>
      </w:r>
      <w:r>
        <w:rPr>
          <w:rFonts w:hint="eastAsia" w:ascii="CESI仿宋-GB2312" w:hAnsi="CESI仿宋-GB2312" w:eastAsia="CESI仿宋-GB2312" w:cs="CESI仿宋-GB2312"/>
          <w:sz w:val="32"/>
          <w:szCs w:val="32"/>
        </w:rPr>
        <w:t>万元，完成预算的</w:t>
      </w:r>
      <w:r>
        <w:rPr>
          <w:rFonts w:hint="eastAsia" w:ascii="CESI仿宋-GB2312" w:hAnsi="CESI仿宋-GB2312" w:eastAsia="CESI仿宋-GB2312" w:cs="CESI仿宋-GB2312"/>
          <w:sz w:val="32"/>
          <w:szCs w:val="32"/>
          <w:lang w:val="en-US" w:eastAsia="zh-CN"/>
        </w:rPr>
        <w:t>95.85</w:t>
      </w:r>
      <w:r>
        <w:rPr>
          <w:rFonts w:hint="eastAsia" w:ascii="CESI仿宋-GB2312" w:hAnsi="CESI仿宋-GB2312" w:eastAsia="CESI仿宋-GB2312" w:cs="CESI仿宋-GB2312"/>
          <w:sz w:val="32"/>
          <w:szCs w:val="32"/>
        </w:rPr>
        <w:t>%。项目绩效目标完成情况：</w:t>
      </w:r>
      <w:r>
        <w:rPr>
          <w:rFonts w:hint="eastAsia" w:ascii="CESI仿宋-GB2312" w:hAnsi="CESI仿宋-GB2312" w:eastAsia="CESI仿宋-GB2312" w:cs="CESI仿宋-GB2312"/>
          <w:sz w:val="32"/>
          <w:szCs w:val="32"/>
          <w:lang w:eastAsia="zh-CN"/>
        </w:rPr>
        <w:t>为了</w:t>
      </w:r>
      <w:r>
        <w:rPr>
          <w:rFonts w:hint="eastAsia" w:ascii="CESI仿宋-GB2312" w:hAnsi="CESI仿宋-GB2312" w:eastAsia="CESI仿宋-GB2312" w:cs="CESI仿宋-GB2312"/>
          <w:sz w:val="32"/>
          <w:szCs w:val="32"/>
        </w:rPr>
        <w:t>提升工作人员业务水平，促进金融工作发展</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rPr>
        <w:t>实际开展并完成</w:t>
      </w:r>
      <w:r>
        <w:rPr>
          <w:rFonts w:hint="eastAsia" w:ascii="CESI仿宋-GB2312" w:hAnsi="CESI仿宋-GB2312" w:eastAsia="CESI仿宋-GB2312" w:cs="CESI仿宋-GB2312"/>
          <w:sz w:val="32"/>
          <w:szCs w:val="32"/>
          <w:lang w:val="en-US" w:eastAsia="zh-CN"/>
        </w:rPr>
        <w:t>5</w:t>
      </w:r>
      <w:r>
        <w:rPr>
          <w:rFonts w:hint="eastAsia" w:ascii="CESI仿宋-GB2312" w:hAnsi="CESI仿宋-GB2312" w:eastAsia="CESI仿宋-GB2312" w:cs="CESI仿宋-GB2312"/>
          <w:sz w:val="32"/>
          <w:szCs w:val="32"/>
          <w:lang w:eastAsia="zh-CN"/>
        </w:rPr>
        <w:t>场</w:t>
      </w:r>
      <w:r>
        <w:rPr>
          <w:rFonts w:hint="eastAsia" w:ascii="CESI仿宋-GB2312" w:hAnsi="CESI仿宋-GB2312" w:eastAsia="CESI仿宋-GB2312" w:cs="CESI仿宋-GB2312"/>
          <w:sz w:val="32"/>
          <w:szCs w:val="32"/>
        </w:rPr>
        <w:t>相关业务能力培训，提升了参训人员的工作能力，实际完成预期目标。未发现问题</w:t>
      </w:r>
      <w:r>
        <w:rPr>
          <w:rFonts w:hint="eastAsia" w:ascii="CESI仿宋-GB2312" w:hAnsi="CESI仿宋-GB2312" w:eastAsia="CESI仿宋-GB2312" w:cs="CESI仿宋-GB2312"/>
          <w:sz w:val="32"/>
          <w:szCs w:val="32"/>
          <w:lang w:eastAsia="zh-CN"/>
        </w:rPr>
        <w:t>。</w:t>
      </w:r>
    </w:p>
    <w:p>
      <w:pPr>
        <w:widowControl/>
        <w:spacing w:line="360" w:lineRule="auto"/>
        <w:ind w:firstLine="640" w:firstLineChars="200"/>
        <w:jc w:val="left"/>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eastAsia="zh-CN"/>
        </w:rPr>
        <w:t>业务咨询委托费绩效自评情况：根据年初设定的绩效目标，业务咨询委托费项目绩效自评得分为</w:t>
      </w:r>
      <w:r>
        <w:rPr>
          <w:rFonts w:hint="eastAsia" w:ascii="CESI仿宋-GB2312" w:hAnsi="CESI仿宋-GB2312" w:eastAsia="CESI仿宋-GB2312" w:cs="CESI仿宋-GB2312"/>
          <w:sz w:val="32"/>
          <w:szCs w:val="32"/>
          <w:lang w:val="en-US" w:eastAsia="zh-CN"/>
        </w:rPr>
        <w:t>100</w:t>
      </w:r>
      <w:r>
        <w:rPr>
          <w:rFonts w:hint="eastAsia" w:ascii="CESI仿宋-GB2312" w:hAnsi="CESI仿宋-GB2312" w:eastAsia="CESI仿宋-GB2312" w:cs="CESI仿宋-GB2312"/>
          <w:sz w:val="32"/>
          <w:szCs w:val="32"/>
          <w:lang w:eastAsia="zh-CN"/>
        </w:rPr>
        <w:t>分。全年预算数为</w:t>
      </w:r>
      <w:r>
        <w:rPr>
          <w:rFonts w:hint="eastAsia" w:ascii="CESI仿宋-GB2312" w:hAnsi="CESI仿宋-GB2312" w:eastAsia="CESI仿宋-GB2312" w:cs="CESI仿宋-GB2312"/>
          <w:sz w:val="32"/>
          <w:szCs w:val="32"/>
          <w:lang w:val="en-US" w:eastAsia="zh-CN"/>
        </w:rPr>
        <w:t>11.1</w:t>
      </w:r>
      <w:r>
        <w:rPr>
          <w:rFonts w:hint="eastAsia" w:ascii="CESI仿宋-GB2312" w:hAnsi="CESI仿宋-GB2312" w:eastAsia="CESI仿宋-GB2312" w:cs="CESI仿宋-GB2312"/>
          <w:sz w:val="32"/>
          <w:szCs w:val="32"/>
          <w:lang w:eastAsia="zh-CN"/>
        </w:rPr>
        <w:t>万元，执行数为</w:t>
      </w:r>
      <w:r>
        <w:rPr>
          <w:rFonts w:hint="eastAsia" w:ascii="CESI仿宋-GB2312" w:hAnsi="CESI仿宋-GB2312" w:eastAsia="CESI仿宋-GB2312" w:cs="CESI仿宋-GB2312"/>
          <w:sz w:val="32"/>
          <w:szCs w:val="32"/>
          <w:lang w:val="en-US" w:eastAsia="zh-CN"/>
        </w:rPr>
        <w:t>11.1</w:t>
      </w:r>
      <w:r>
        <w:rPr>
          <w:rFonts w:hint="eastAsia" w:ascii="CESI仿宋-GB2312" w:hAnsi="CESI仿宋-GB2312" w:eastAsia="CESI仿宋-GB2312" w:cs="CESI仿宋-GB2312"/>
          <w:sz w:val="32"/>
          <w:szCs w:val="32"/>
          <w:lang w:eastAsia="zh-CN"/>
        </w:rPr>
        <w:t>万元，完成预算的</w:t>
      </w:r>
      <w:r>
        <w:rPr>
          <w:rFonts w:hint="eastAsia" w:ascii="CESI仿宋-GB2312" w:hAnsi="CESI仿宋-GB2312" w:eastAsia="CESI仿宋-GB2312" w:cs="CESI仿宋-GB2312"/>
          <w:sz w:val="32"/>
          <w:szCs w:val="32"/>
          <w:lang w:val="en-US" w:eastAsia="zh-CN"/>
        </w:rPr>
        <w:t>100</w:t>
      </w:r>
      <w:r>
        <w:rPr>
          <w:rFonts w:hint="default" w:ascii="CESI仿宋-GB2312" w:hAnsi="CESI仿宋-GB2312" w:eastAsia="CESI仿宋-GB2312" w:cs="CESI仿宋-GB2312"/>
          <w:sz w:val="32"/>
          <w:szCs w:val="32"/>
          <w:lang w:val="en" w:eastAsia="zh-CN"/>
        </w:rPr>
        <w:t>.0</w:t>
      </w:r>
      <w:r>
        <w:rPr>
          <w:rFonts w:hint="eastAsia" w:ascii="CESI仿宋-GB2312" w:hAnsi="CESI仿宋-GB2312" w:eastAsia="CESI仿宋-GB2312" w:cs="CESI仿宋-GB2312"/>
          <w:sz w:val="32"/>
          <w:szCs w:val="32"/>
          <w:lang w:eastAsia="zh-CN"/>
        </w:rPr>
        <w:t>%。项目绩效目标完成情况：通过咨询内控体系建设、档案管理等业务，提升机关工作水平，开展委托服务</w:t>
      </w:r>
      <w:r>
        <w:rPr>
          <w:rFonts w:hint="eastAsia" w:ascii="CESI仿宋-GB2312" w:hAnsi="CESI仿宋-GB2312" w:eastAsia="CESI仿宋-GB2312" w:cs="CESI仿宋-GB2312"/>
          <w:sz w:val="32"/>
          <w:szCs w:val="32"/>
          <w:lang w:val="en-US" w:eastAsia="zh-CN"/>
        </w:rPr>
        <w:t>7次，</w:t>
      </w:r>
      <w:r>
        <w:rPr>
          <w:rFonts w:hint="eastAsia" w:ascii="CESI仿宋-GB2312" w:hAnsi="CESI仿宋-GB2312" w:eastAsia="CESI仿宋-GB2312" w:cs="CESI仿宋-GB2312"/>
          <w:sz w:val="32"/>
          <w:szCs w:val="32"/>
          <w:lang w:eastAsia="zh-CN"/>
        </w:rPr>
        <w:t>保障了机关正常运转，实际完成预期绩效目标。未发现问题。</w:t>
      </w:r>
    </w:p>
    <w:p>
      <w:pPr>
        <w:widowControl/>
        <w:spacing w:line="360" w:lineRule="auto"/>
        <w:ind w:firstLine="640" w:firstLineChars="200"/>
        <w:jc w:val="left"/>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eastAsia="zh-CN"/>
        </w:rPr>
        <w:t>2025年台式电脑购置绩效自评情况：根据年初设定的绩效目标，2025年台式电脑购置项目绩效自评得分为100分。全年预算数为</w:t>
      </w:r>
      <w:r>
        <w:rPr>
          <w:rFonts w:hint="eastAsia" w:ascii="CESI仿宋-GB2312" w:hAnsi="CESI仿宋-GB2312" w:eastAsia="CESI仿宋-GB2312" w:cs="CESI仿宋-GB2312"/>
          <w:sz w:val="32"/>
          <w:szCs w:val="32"/>
          <w:lang w:val="en-US" w:eastAsia="zh-CN"/>
        </w:rPr>
        <w:t>0.31</w:t>
      </w:r>
      <w:r>
        <w:rPr>
          <w:rFonts w:hint="eastAsia" w:ascii="CESI仿宋-GB2312" w:hAnsi="CESI仿宋-GB2312" w:eastAsia="CESI仿宋-GB2312" w:cs="CESI仿宋-GB2312"/>
          <w:sz w:val="32"/>
          <w:szCs w:val="32"/>
          <w:lang w:eastAsia="zh-CN"/>
        </w:rPr>
        <w:t>万元，执行数为</w:t>
      </w:r>
      <w:r>
        <w:rPr>
          <w:rFonts w:hint="eastAsia" w:ascii="CESI仿宋-GB2312" w:hAnsi="CESI仿宋-GB2312" w:eastAsia="CESI仿宋-GB2312" w:cs="CESI仿宋-GB2312"/>
          <w:sz w:val="32"/>
          <w:szCs w:val="32"/>
          <w:lang w:val="en-US" w:eastAsia="zh-CN"/>
        </w:rPr>
        <w:t>0.31</w:t>
      </w:r>
      <w:r>
        <w:rPr>
          <w:rFonts w:hint="eastAsia" w:ascii="CESI仿宋-GB2312" w:hAnsi="CESI仿宋-GB2312" w:eastAsia="CESI仿宋-GB2312" w:cs="CESI仿宋-GB2312"/>
          <w:sz w:val="32"/>
          <w:szCs w:val="32"/>
          <w:lang w:eastAsia="zh-CN"/>
        </w:rPr>
        <w:t>万元，完成预算的100</w:t>
      </w:r>
      <w:r>
        <w:rPr>
          <w:rFonts w:hint="default" w:ascii="CESI仿宋-GB2312" w:hAnsi="CESI仿宋-GB2312" w:eastAsia="CESI仿宋-GB2312" w:cs="CESI仿宋-GB2312"/>
          <w:sz w:val="32"/>
          <w:szCs w:val="32"/>
          <w:lang w:val="en" w:eastAsia="zh-CN"/>
        </w:rPr>
        <w:t>.0</w:t>
      </w:r>
      <w:r>
        <w:rPr>
          <w:rFonts w:hint="eastAsia" w:ascii="CESI仿宋-GB2312" w:hAnsi="CESI仿宋-GB2312" w:eastAsia="CESI仿宋-GB2312" w:cs="CESI仿宋-GB2312"/>
          <w:sz w:val="32"/>
          <w:szCs w:val="32"/>
          <w:lang w:eastAsia="zh-CN"/>
        </w:rPr>
        <w:t>%。项目绩效目标完成情况：通过办公设备或办公家具购置，保障了机关工作运行。按计划实际完成设备购置1台（套），设备处于良好运行状态，提高了工作效率，实际完成预期目标。未发现问题。</w:t>
      </w:r>
    </w:p>
    <w:p>
      <w:pPr>
        <w:widowControl/>
        <w:spacing w:line="360" w:lineRule="auto"/>
        <w:ind w:firstLine="640" w:firstLineChars="200"/>
        <w:jc w:val="left"/>
        <w:rPr>
          <w:rFonts w:hint="eastAsia" w:ascii="CESI仿宋-GB2312" w:hAnsi="CESI仿宋-GB2312" w:eastAsia="CESI仿宋-GB2312" w:cs="CESI仿宋-GB2312"/>
          <w:sz w:val="32"/>
          <w:szCs w:val="32"/>
          <w:lang w:val="en-US" w:eastAsia="zh-CN"/>
        </w:rPr>
      </w:pPr>
      <w:r>
        <w:rPr>
          <w:rFonts w:hint="eastAsia" w:ascii="CESI仿宋-GB2312" w:hAnsi="CESI仿宋-GB2312" w:eastAsia="CESI仿宋-GB2312" w:cs="CESI仿宋-GB2312"/>
          <w:sz w:val="32"/>
          <w:szCs w:val="32"/>
          <w:lang w:eastAsia="zh-CN"/>
        </w:rPr>
        <w:t>“金十条”政策奖补资金项目绩效自评情况：根据年初设定的绩效目标，项目绩效自评得分为</w:t>
      </w:r>
      <w:r>
        <w:rPr>
          <w:rFonts w:hint="eastAsia" w:ascii="CESI仿宋-GB2312" w:hAnsi="CESI仿宋-GB2312" w:eastAsia="CESI仿宋-GB2312" w:cs="CESI仿宋-GB2312"/>
          <w:sz w:val="32"/>
          <w:szCs w:val="32"/>
          <w:lang w:val="en-US" w:eastAsia="zh-CN"/>
        </w:rPr>
        <w:t>97</w:t>
      </w:r>
      <w:r>
        <w:rPr>
          <w:rFonts w:hint="eastAsia" w:ascii="CESI仿宋-GB2312" w:hAnsi="CESI仿宋-GB2312" w:eastAsia="CESI仿宋-GB2312" w:cs="CESI仿宋-GB2312"/>
          <w:sz w:val="32"/>
          <w:szCs w:val="32"/>
          <w:lang w:eastAsia="zh-CN"/>
        </w:rPr>
        <w:t>分。全年预算数为</w:t>
      </w:r>
      <w:r>
        <w:rPr>
          <w:rFonts w:hint="eastAsia" w:ascii="CESI仿宋-GB2312" w:hAnsi="CESI仿宋-GB2312" w:eastAsia="CESI仿宋-GB2312" w:cs="CESI仿宋-GB2312"/>
          <w:sz w:val="32"/>
          <w:szCs w:val="32"/>
          <w:lang w:val="en-US" w:eastAsia="zh-CN"/>
        </w:rPr>
        <w:t>190.81</w:t>
      </w:r>
      <w:r>
        <w:rPr>
          <w:rFonts w:hint="eastAsia" w:ascii="CESI仿宋-GB2312" w:hAnsi="CESI仿宋-GB2312" w:eastAsia="CESI仿宋-GB2312" w:cs="CESI仿宋-GB2312"/>
          <w:sz w:val="32"/>
          <w:szCs w:val="32"/>
          <w:lang w:eastAsia="zh-CN"/>
        </w:rPr>
        <w:t>万元，执行数为</w:t>
      </w:r>
      <w:r>
        <w:rPr>
          <w:rFonts w:hint="eastAsia" w:ascii="CESI仿宋-GB2312" w:hAnsi="CESI仿宋-GB2312" w:eastAsia="CESI仿宋-GB2312" w:cs="CESI仿宋-GB2312"/>
          <w:sz w:val="32"/>
          <w:szCs w:val="32"/>
          <w:lang w:val="en-US" w:eastAsia="zh-CN"/>
        </w:rPr>
        <w:t>190.81</w:t>
      </w:r>
      <w:r>
        <w:rPr>
          <w:rFonts w:hint="eastAsia" w:ascii="CESI仿宋-GB2312" w:hAnsi="CESI仿宋-GB2312" w:eastAsia="CESI仿宋-GB2312" w:cs="CESI仿宋-GB2312"/>
          <w:sz w:val="32"/>
          <w:szCs w:val="32"/>
          <w:lang w:eastAsia="zh-CN"/>
        </w:rPr>
        <w:t>万元，完成预算的100</w:t>
      </w:r>
      <w:r>
        <w:rPr>
          <w:rFonts w:hint="default" w:ascii="CESI仿宋-GB2312" w:hAnsi="CESI仿宋-GB2312" w:eastAsia="CESI仿宋-GB2312" w:cs="CESI仿宋-GB2312"/>
          <w:sz w:val="32"/>
          <w:szCs w:val="32"/>
          <w:lang w:val="en" w:eastAsia="zh-CN"/>
        </w:rPr>
        <w:t>.0</w:t>
      </w:r>
      <w:r>
        <w:rPr>
          <w:rFonts w:hint="eastAsia" w:ascii="CESI仿宋-GB2312" w:hAnsi="CESI仿宋-GB2312" w:eastAsia="CESI仿宋-GB2312" w:cs="CESI仿宋-GB2312"/>
          <w:sz w:val="32"/>
          <w:szCs w:val="32"/>
          <w:lang w:eastAsia="zh-CN"/>
        </w:rPr>
        <w:t>%。通过项目实施，奖补企业</w:t>
      </w:r>
      <w:r>
        <w:rPr>
          <w:rFonts w:hint="eastAsia" w:ascii="CESI仿宋-GB2312" w:hAnsi="CESI仿宋-GB2312" w:eastAsia="CESI仿宋-GB2312" w:cs="CESI仿宋-GB2312"/>
          <w:sz w:val="32"/>
          <w:szCs w:val="32"/>
          <w:lang w:val="en-US" w:eastAsia="zh-CN"/>
        </w:rPr>
        <w:t>2</w:t>
      </w:r>
      <w:r>
        <w:rPr>
          <w:rFonts w:hint="eastAsia" w:ascii="CESI仿宋-GB2312" w:hAnsi="CESI仿宋-GB2312" w:eastAsia="CESI仿宋-GB2312" w:cs="CESI仿宋-GB2312"/>
          <w:sz w:val="32"/>
          <w:szCs w:val="32"/>
          <w:lang w:eastAsia="zh-CN"/>
        </w:rPr>
        <w:t>家，落实了中央和省、市决策部署，充分了发挥财政金融政策调控作用，激发了金融机构积极性，分担了金融机构风险，改善了我市中小微企业融资困难的环境，为经济社会发展提供了有力支撑，完成了年初设定的各项绩效目标。发现主要问题：因为奖补企业每年不确定性，年初设定的奖补企业达到</w:t>
      </w:r>
      <w:r>
        <w:rPr>
          <w:rFonts w:hint="eastAsia" w:ascii="CESI仿宋-GB2312" w:hAnsi="CESI仿宋-GB2312" w:eastAsia="CESI仿宋-GB2312" w:cs="CESI仿宋-GB2312"/>
          <w:sz w:val="32"/>
          <w:szCs w:val="32"/>
          <w:lang w:val="en-US" w:eastAsia="zh-CN"/>
        </w:rPr>
        <w:t>3家以上只是预测数，实际未达到。下一步将在制定绩效目标时，设定更符合实际的目标。</w:t>
      </w:r>
    </w:p>
    <w:p>
      <w:pPr>
        <w:widowControl/>
        <w:spacing w:line="360" w:lineRule="auto"/>
        <w:ind w:firstLine="640" w:firstLineChars="200"/>
        <w:jc w:val="left"/>
        <w:rPr>
          <w:rFonts w:hint="default" w:ascii="CESI仿宋-GB2312" w:hAnsi="CESI仿宋-GB2312" w:eastAsia="CESI仿宋-GB2312" w:cs="CESI仿宋-GB2312"/>
          <w:sz w:val="32"/>
          <w:szCs w:val="32"/>
          <w:lang w:val="en-US" w:eastAsia="zh-CN"/>
        </w:rPr>
      </w:pPr>
      <w:r>
        <w:rPr>
          <w:rFonts w:hint="default" w:ascii="CESI仿宋-GB2312" w:hAnsi="CESI仿宋-GB2312" w:eastAsia="CESI仿宋-GB2312" w:cs="CESI仿宋-GB2312"/>
          <w:sz w:val="32"/>
          <w:szCs w:val="32"/>
          <w:lang w:val="en-US" w:eastAsia="zh-CN"/>
        </w:rPr>
        <w:t>《金融界》及融媒体提升金融影响力项目绩效自评情况：根据年初设定的绩效目标，项目绩效自评得分为100分。全年预算数为</w:t>
      </w:r>
      <w:r>
        <w:rPr>
          <w:rFonts w:hint="eastAsia" w:ascii="CESI仿宋-GB2312" w:hAnsi="CESI仿宋-GB2312" w:eastAsia="CESI仿宋-GB2312" w:cs="CESI仿宋-GB2312"/>
          <w:sz w:val="32"/>
          <w:szCs w:val="32"/>
          <w:lang w:val="en-US" w:eastAsia="zh-CN"/>
        </w:rPr>
        <w:t>39</w:t>
      </w:r>
      <w:r>
        <w:rPr>
          <w:rFonts w:hint="default" w:ascii="CESI仿宋-GB2312" w:hAnsi="CESI仿宋-GB2312" w:eastAsia="CESI仿宋-GB2312" w:cs="CESI仿宋-GB2312"/>
          <w:sz w:val="32"/>
          <w:szCs w:val="32"/>
          <w:lang w:val="en" w:eastAsia="zh-CN"/>
        </w:rPr>
        <w:t>.00</w:t>
      </w:r>
      <w:r>
        <w:rPr>
          <w:rFonts w:hint="default" w:ascii="CESI仿宋-GB2312" w:hAnsi="CESI仿宋-GB2312" w:eastAsia="CESI仿宋-GB2312" w:cs="CESI仿宋-GB2312"/>
          <w:sz w:val="32"/>
          <w:szCs w:val="32"/>
          <w:lang w:val="en-US" w:eastAsia="zh-CN"/>
        </w:rPr>
        <w:t>万元，执行数出</w:t>
      </w:r>
      <w:r>
        <w:rPr>
          <w:rFonts w:hint="eastAsia" w:ascii="CESI仿宋-GB2312" w:hAnsi="CESI仿宋-GB2312" w:eastAsia="CESI仿宋-GB2312" w:cs="CESI仿宋-GB2312"/>
          <w:sz w:val="32"/>
          <w:szCs w:val="32"/>
          <w:lang w:val="en-US" w:eastAsia="zh-CN"/>
        </w:rPr>
        <w:t>39</w:t>
      </w:r>
      <w:r>
        <w:rPr>
          <w:rFonts w:hint="default" w:ascii="CESI仿宋-GB2312" w:hAnsi="CESI仿宋-GB2312" w:eastAsia="CESI仿宋-GB2312" w:cs="CESI仿宋-GB2312"/>
          <w:sz w:val="32"/>
          <w:szCs w:val="32"/>
          <w:lang w:val="en" w:eastAsia="zh-CN"/>
        </w:rPr>
        <w:t>.00</w:t>
      </w:r>
      <w:r>
        <w:rPr>
          <w:rFonts w:hint="default" w:ascii="CESI仿宋-GB2312" w:hAnsi="CESI仿宋-GB2312" w:eastAsia="CESI仿宋-GB2312" w:cs="CESI仿宋-GB2312"/>
          <w:sz w:val="32"/>
          <w:szCs w:val="32"/>
          <w:lang w:val="en-US" w:eastAsia="zh-CN"/>
        </w:rPr>
        <w:t>万元，完成预算的</w:t>
      </w:r>
      <w:r>
        <w:rPr>
          <w:rFonts w:hint="eastAsia" w:ascii="CESI仿宋-GB2312" w:hAnsi="CESI仿宋-GB2312" w:eastAsia="CESI仿宋-GB2312" w:cs="CESI仿宋-GB2312"/>
          <w:sz w:val="32"/>
          <w:szCs w:val="32"/>
          <w:lang w:val="en-US" w:eastAsia="zh-CN"/>
        </w:rPr>
        <w:t>100</w:t>
      </w:r>
      <w:r>
        <w:rPr>
          <w:rFonts w:hint="default" w:ascii="CESI仿宋-GB2312" w:hAnsi="CESI仿宋-GB2312" w:eastAsia="CESI仿宋-GB2312" w:cs="CESI仿宋-GB2312"/>
          <w:sz w:val="32"/>
          <w:szCs w:val="32"/>
          <w:lang w:val="en" w:eastAsia="zh-CN"/>
        </w:rPr>
        <w:t>.0</w:t>
      </w:r>
      <w:r>
        <w:rPr>
          <w:rFonts w:hint="default" w:ascii="CESI仿宋-GB2312" w:hAnsi="CESI仿宋-GB2312" w:eastAsia="CESI仿宋-GB2312" w:cs="CESI仿宋-GB2312"/>
          <w:sz w:val="32"/>
          <w:szCs w:val="32"/>
          <w:lang w:val="en-US" w:eastAsia="zh-CN"/>
        </w:rPr>
        <w:t>%。通过项目实施，营造了金融工作的良好舆论氛围，扩大了金融工作对社会经济的影响力，完成了年初设定的各项绩效目标。</w:t>
      </w:r>
      <w:r>
        <w:rPr>
          <w:rFonts w:hint="eastAsia" w:ascii="CESI仿宋-GB2312" w:hAnsi="CESI仿宋-GB2312" w:eastAsia="CESI仿宋-GB2312" w:cs="CESI仿宋-GB2312"/>
          <w:sz w:val="32"/>
          <w:szCs w:val="32"/>
          <w:lang w:val="en-US" w:eastAsia="zh-CN"/>
        </w:rPr>
        <w:t>未发现问题。</w:t>
      </w:r>
    </w:p>
    <w:p>
      <w:pPr>
        <w:widowControl/>
        <w:spacing w:line="360" w:lineRule="auto"/>
        <w:ind w:firstLine="640" w:firstLineChars="200"/>
        <w:jc w:val="left"/>
        <w:rPr>
          <w:rFonts w:hint="eastAsia" w:ascii="CESI仿宋-GB2312" w:hAnsi="CESI仿宋-GB2312" w:eastAsia="CESI仿宋-GB2312" w:cs="CESI仿宋-GB2312"/>
          <w:sz w:val="32"/>
          <w:szCs w:val="32"/>
          <w:lang w:val="en-US" w:eastAsia="zh-CN"/>
        </w:rPr>
      </w:pPr>
      <w:r>
        <w:rPr>
          <w:rFonts w:hint="default" w:ascii="CESI仿宋-GB2312" w:hAnsi="CESI仿宋-GB2312" w:eastAsia="CESI仿宋-GB2312" w:cs="CESI仿宋-GB2312"/>
          <w:sz w:val="32"/>
          <w:szCs w:val="32"/>
          <w:lang w:val="en-US" w:eastAsia="zh-CN"/>
        </w:rPr>
        <w:t>地方金融监管专项经费项目绩效自评情况：根据年初设定的绩效目标，项目绩效自评得分为</w:t>
      </w:r>
      <w:r>
        <w:rPr>
          <w:rFonts w:hint="eastAsia" w:ascii="CESI仿宋-GB2312" w:hAnsi="CESI仿宋-GB2312" w:eastAsia="CESI仿宋-GB2312" w:cs="CESI仿宋-GB2312"/>
          <w:sz w:val="32"/>
          <w:szCs w:val="32"/>
          <w:lang w:val="en-US" w:eastAsia="zh-CN"/>
        </w:rPr>
        <w:t>99</w:t>
      </w:r>
      <w:r>
        <w:rPr>
          <w:rFonts w:hint="default" w:ascii="CESI仿宋-GB2312" w:hAnsi="CESI仿宋-GB2312" w:eastAsia="CESI仿宋-GB2312" w:cs="CESI仿宋-GB2312"/>
          <w:sz w:val="32"/>
          <w:szCs w:val="32"/>
          <w:lang w:val="en-US" w:eastAsia="zh-CN"/>
        </w:rPr>
        <w:t>分。全年预算数为</w:t>
      </w:r>
      <w:r>
        <w:rPr>
          <w:rFonts w:hint="eastAsia" w:ascii="CESI仿宋-GB2312" w:hAnsi="CESI仿宋-GB2312" w:eastAsia="CESI仿宋-GB2312" w:cs="CESI仿宋-GB2312"/>
          <w:sz w:val="32"/>
          <w:szCs w:val="32"/>
          <w:lang w:val="en-US" w:eastAsia="zh-CN"/>
        </w:rPr>
        <w:t>42.20</w:t>
      </w:r>
      <w:r>
        <w:rPr>
          <w:rFonts w:hint="default" w:ascii="CESI仿宋-GB2312" w:hAnsi="CESI仿宋-GB2312" w:eastAsia="CESI仿宋-GB2312" w:cs="CESI仿宋-GB2312"/>
          <w:sz w:val="32"/>
          <w:szCs w:val="32"/>
          <w:lang w:val="en-US" w:eastAsia="zh-CN"/>
        </w:rPr>
        <w:t>万元，执行数为</w:t>
      </w:r>
      <w:r>
        <w:rPr>
          <w:rFonts w:hint="eastAsia" w:ascii="CESI仿宋-GB2312" w:hAnsi="CESI仿宋-GB2312" w:eastAsia="CESI仿宋-GB2312" w:cs="CESI仿宋-GB2312"/>
          <w:sz w:val="32"/>
          <w:szCs w:val="32"/>
          <w:lang w:val="en-US" w:eastAsia="zh-CN"/>
        </w:rPr>
        <w:t>39.19</w:t>
      </w:r>
      <w:r>
        <w:rPr>
          <w:rFonts w:hint="default" w:ascii="CESI仿宋-GB2312" w:hAnsi="CESI仿宋-GB2312" w:eastAsia="CESI仿宋-GB2312" w:cs="CESI仿宋-GB2312"/>
          <w:sz w:val="32"/>
          <w:szCs w:val="32"/>
          <w:lang w:val="en-US" w:eastAsia="zh-CN"/>
        </w:rPr>
        <w:t>万元，完成预算的</w:t>
      </w:r>
      <w:r>
        <w:rPr>
          <w:rFonts w:hint="eastAsia" w:ascii="CESI仿宋-GB2312" w:hAnsi="CESI仿宋-GB2312" w:eastAsia="CESI仿宋-GB2312" w:cs="CESI仿宋-GB2312"/>
          <w:sz w:val="32"/>
          <w:szCs w:val="32"/>
          <w:lang w:val="en-US" w:eastAsia="zh-CN"/>
        </w:rPr>
        <w:t>92.88</w:t>
      </w:r>
      <w:r>
        <w:rPr>
          <w:rFonts w:hint="default" w:ascii="CESI仿宋-GB2312" w:hAnsi="CESI仿宋-GB2312" w:eastAsia="CESI仿宋-GB2312" w:cs="CESI仿宋-GB2312"/>
          <w:sz w:val="32"/>
          <w:szCs w:val="32"/>
          <w:lang w:val="en-US" w:eastAsia="zh-CN"/>
        </w:rPr>
        <w:t>%。通过项目实施，实际检查企业2</w:t>
      </w:r>
      <w:r>
        <w:rPr>
          <w:rFonts w:hint="eastAsia" w:ascii="CESI仿宋-GB2312" w:hAnsi="CESI仿宋-GB2312" w:eastAsia="CESI仿宋-GB2312" w:cs="CESI仿宋-GB2312"/>
          <w:sz w:val="32"/>
          <w:szCs w:val="32"/>
          <w:lang w:val="en-US" w:eastAsia="zh-CN"/>
        </w:rPr>
        <w:t>7</w:t>
      </w:r>
      <w:r>
        <w:rPr>
          <w:rFonts w:hint="default" w:ascii="CESI仿宋-GB2312" w:hAnsi="CESI仿宋-GB2312" w:eastAsia="CESI仿宋-GB2312" w:cs="CESI仿宋-GB2312"/>
          <w:sz w:val="32"/>
          <w:szCs w:val="32"/>
          <w:lang w:val="en-US" w:eastAsia="zh-CN"/>
        </w:rPr>
        <w:t>家，规范了企业经营，促进了地方金融组织持续健康发展，完成了年初设定的各项绩效目标。</w:t>
      </w:r>
      <w:r>
        <w:rPr>
          <w:rFonts w:hint="eastAsia" w:ascii="CESI仿宋-GB2312" w:hAnsi="CESI仿宋-GB2312" w:eastAsia="CESI仿宋-GB2312" w:cs="CESI仿宋-GB2312"/>
          <w:sz w:val="32"/>
          <w:szCs w:val="32"/>
          <w:lang w:val="en-US" w:eastAsia="zh-CN"/>
        </w:rPr>
        <w:t>未发现问题。</w:t>
      </w:r>
    </w:p>
    <w:p>
      <w:pPr>
        <w:widowControl/>
        <w:spacing w:line="360" w:lineRule="auto"/>
        <w:ind w:firstLine="640" w:firstLineChars="200"/>
        <w:jc w:val="left"/>
        <w:rPr>
          <w:rFonts w:hint="eastAsia" w:ascii="CESI仿宋-GB2312" w:hAnsi="CESI仿宋-GB2312" w:eastAsia="CESI仿宋-GB2312" w:cs="CESI仿宋-GB2312"/>
          <w:sz w:val="32"/>
          <w:szCs w:val="32"/>
          <w:lang w:val="en-US" w:eastAsia="zh-CN"/>
        </w:rPr>
      </w:pPr>
      <w:r>
        <w:rPr>
          <w:rFonts w:hint="default" w:ascii="CESI仿宋-GB2312" w:hAnsi="CESI仿宋-GB2312" w:eastAsia="CESI仿宋-GB2312" w:cs="CESI仿宋-GB2312"/>
          <w:sz w:val="32"/>
          <w:szCs w:val="32"/>
          <w:lang w:val="en-US" w:eastAsia="zh-CN"/>
        </w:rPr>
        <w:t>防范和处置金融风险专项经费项目绩效自评情况：根据年初设定的绩效目标，项目绩效自评得分为</w:t>
      </w:r>
      <w:r>
        <w:rPr>
          <w:rFonts w:hint="eastAsia" w:ascii="CESI仿宋-GB2312" w:hAnsi="CESI仿宋-GB2312" w:eastAsia="CESI仿宋-GB2312" w:cs="CESI仿宋-GB2312"/>
          <w:sz w:val="32"/>
          <w:szCs w:val="32"/>
          <w:lang w:val="en-US" w:eastAsia="zh-CN"/>
        </w:rPr>
        <w:t>90</w:t>
      </w:r>
      <w:r>
        <w:rPr>
          <w:rFonts w:hint="default" w:ascii="CESI仿宋-GB2312" w:hAnsi="CESI仿宋-GB2312" w:eastAsia="CESI仿宋-GB2312" w:cs="CESI仿宋-GB2312"/>
          <w:sz w:val="32"/>
          <w:szCs w:val="32"/>
          <w:lang w:val="en-US" w:eastAsia="zh-CN"/>
        </w:rPr>
        <w:t>分。全年预算数为</w:t>
      </w:r>
      <w:r>
        <w:rPr>
          <w:rFonts w:hint="eastAsia" w:ascii="CESI仿宋-GB2312" w:hAnsi="CESI仿宋-GB2312" w:eastAsia="CESI仿宋-GB2312" w:cs="CESI仿宋-GB2312"/>
          <w:sz w:val="32"/>
          <w:szCs w:val="32"/>
          <w:lang w:val="en-US" w:eastAsia="zh-CN"/>
        </w:rPr>
        <w:t>120</w:t>
      </w:r>
      <w:r>
        <w:rPr>
          <w:rFonts w:hint="default" w:ascii="CESI仿宋-GB2312" w:hAnsi="CESI仿宋-GB2312" w:eastAsia="CESI仿宋-GB2312" w:cs="CESI仿宋-GB2312"/>
          <w:sz w:val="32"/>
          <w:szCs w:val="32"/>
          <w:lang w:val="en" w:eastAsia="zh-CN"/>
        </w:rPr>
        <w:t>.00</w:t>
      </w:r>
      <w:r>
        <w:rPr>
          <w:rFonts w:hint="default" w:ascii="CESI仿宋-GB2312" w:hAnsi="CESI仿宋-GB2312" w:eastAsia="CESI仿宋-GB2312" w:cs="CESI仿宋-GB2312"/>
          <w:sz w:val="32"/>
          <w:szCs w:val="32"/>
          <w:lang w:val="en-US" w:eastAsia="zh-CN"/>
        </w:rPr>
        <w:t>万元，执行数为</w:t>
      </w:r>
      <w:r>
        <w:rPr>
          <w:rFonts w:hint="eastAsia" w:ascii="CESI仿宋-GB2312" w:hAnsi="CESI仿宋-GB2312" w:eastAsia="CESI仿宋-GB2312" w:cs="CESI仿宋-GB2312"/>
          <w:sz w:val="32"/>
          <w:szCs w:val="32"/>
          <w:lang w:val="en-US" w:eastAsia="zh-CN"/>
        </w:rPr>
        <w:t>120</w:t>
      </w:r>
      <w:r>
        <w:rPr>
          <w:rFonts w:hint="default" w:ascii="CESI仿宋-GB2312" w:hAnsi="CESI仿宋-GB2312" w:eastAsia="CESI仿宋-GB2312" w:cs="CESI仿宋-GB2312"/>
          <w:sz w:val="32"/>
          <w:szCs w:val="32"/>
          <w:lang w:val="en" w:eastAsia="zh-CN"/>
        </w:rPr>
        <w:t>.00</w:t>
      </w:r>
      <w:r>
        <w:rPr>
          <w:rFonts w:hint="default" w:ascii="CESI仿宋-GB2312" w:hAnsi="CESI仿宋-GB2312" w:eastAsia="CESI仿宋-GB2312" w:cs="CESI仿宋-GB2312"/>
          <w:sz w:val="32"/>
          <w:szCs w:val="32"/>
          <w:lang w:val="en-US" w:eastAsia="zh-CN"/>
        </w:rPr>
        <w:t>万元，完成预算的</w:t>
      </w:r>
      <w:r>
        <w:rPr>
          <w:rFonts w:hint="eastAsia" w:ascii="CESI仿宋-GB2312" w:hAnsi="CESI仿宋-GB2312" w:eastAsia="CESI仿宋-GB2312" w:cs="CESI仿宋-GB2312"/>
          <w:sz w:val="32"/>
          <w:szCs w:val="32"/>
          <w:lang w:val="en-US" w:eastAsia="zh-CN"/>
        </w:rPr>
        <w:t>100</w:t>
      </w:r>
      <w:r>
        <w:rPr>
          <w:rFonts w:hint="default" w:ascii="CESI仿宋-GB2312" w:hAnsi="CESI仿宋-GB2312" w:eastAsia="CESI仿宋-GB2312" w:cs="CESI仿宋-GB2312"/>
          <w:sz w:val="32"/>
          <w:szCs w:val="32"/>
          <w:lang w:val="en" w:eastAsia="zh-CN"/>
        </w:rPr>
        <w:t>.0</w:t>
      </w:r>
      <w:r>
        <w:rPr>
          <w:rFonts w:hint="default" w:ascii="CESI仿宋-GB2312" w:hAnsi="CESI仿宋-GB2312" w:eastAsia="CESI仿宋-GB2312" w:cs="CESI仿宋-GB2312"/>
          <w:sz w:val="32"/>
          <w:szCs w:val="32"/>
          <w:lang w:val="en-US" w:eastAsia="zh-CN"/>
        </w:rPr>
        <w:t>%。通过项目实施，开展公交专车、地铁宣传</w:t>
      </w:r>
      <w:r>
        <w:rPr>
          <w:rFonts w:hint="eastAsia" w:ascii="CESI仿宋-GB2312" w:hAnsi="CESI仿宋-GB2312" w:eastAsia="CESI仿宋-GB2312" w:cs="CESI仿宋-GB2312"/>
          <w:sz w:val="32"/>
          <w:szCs w:val="32"/>
          <w:lang w:val="en-US" w:eastAsia="zh-CN"/>
        </w:rPr>
        <w:t>27</w:t>
      </w:r>
      <w:r>
        <w:rPr>
          <w:rFonts w:hint="default" w:ascii="CESI仿宋-GB2312" w:hAnsi="CESI仿宋-GB2312" w:eastAsia="CESI仿宋-GB2312" w:cs="CESI仿宋-GB2312"/>
          <w:sz w:val="32"/>
          <w:szCs w:val="32"/>
          <w:lang w:val="en-US" w:eastAsia="zh-CN"/>
        </w:rPr>
        <w:t>车次，</w:t>
      </w:r>
      <w:r>
        <w:rPr>
          <w:rFonts w:hint="eastAsia" w:ascii="CESI仿宋-GB2312" w:hAnsi="CESI仿宋-GB2312" w:eastAsia="CESI仿宋-GB2312" w:cs="CESI仿宋-GB2312"/>
          <w:sz w:val="32"/>
          <w:szCs w:val="32"/>
          <w:lang w:val="en-US" w:eastAsia="zh-CN"/>
        </w:rPr>
        <w:t>开通了12346防范非法金融活动专线、防范非法集资预警平台服务，</w:t>
      </w:r>
      <w:r>
        <w:rPr>
          <w:rFonts w:hint="default" w:ascii="CESI仿宋-GB2312" w:hAnsi="CESI仿宋-GB2312" w:eastAsia="CESI仿宋-GB2312" w:cs="CESI仿宋-GB2312"/>
          <w:sz w:val="32"/>
          <w:szCs w:val="32"/>
          <w:lang w:val="en-US" w:eastAsia="zh-CN"/>
        </w:rPr>
        <w:t>营造了抵制非法集资的积极舆论，维护了社会金融稳定，完成了年初设定的各项绩效目标。</w:t>
      </w:r>
      <w:r>
        <w:rPr>
          <w:rFonts w:hint="eastAsia" w:ascii="CESI仿宋-GB2312" w:hAnsi="CESI仿宋-GB2312" w:eastAsia="CESI仿宋-GB2312" w:cs="CESI仿宋-GB2312"/>
          <w:sz w:val="32"/>
          <w:szCs w:val="32"/>
          <w:lang w:val="en-US" w:eastAsia="zh-CN"/>
        </w:rPr>
        <w:t>发现的主要问题是：因为制定项目支出的不确定性，导致总费用在分配使用时与年初制定的目标略有差距。下一步将制定更详细的资金使用计划，是资金分配更合理、更科学。</w:t>
      </w:r>
    </w:p>
    <w:p>
      <w:pPr>
        <w:widowControl/>
        <w:spacing w:line="360" w:lineRule="auto"/>
        <w:ind w:firstLine="640" w:firstLineChars="200"/>
        <w:jc w:val="left"/>
        <w:rPr>
          <w:rFonts w:hint="eastAsia" w:ascii="CESI仿宋-GB2312" w:hAnsi="CESI仿宋-GB2312" w:eastAsia="CESI仿宋-GB2312" w:cs="CESI仿宋-GB2312"/>
          <w:sz w:val="32"/>
          <w:szCs w:val="32"/>
          <w:lang w:val="en-US" w:eastAsia="zh-CN"/>
        </w:rPr>
      </w:pPr>
      <w:r>
        <w:rPr>
          <w:rFonts w:hint="eastAsia" w:ascii="CESI仿宋-GB2312" w:hAnsi="CESI仿宋-GB2312" w:eastAsia="CESI仿宋-GB2312" w:cs="CESI仿宋-GB2312"/>
          <w:sz w:val="32"/>
          <w:szCs w:val="32"/>
          <w:lang w:val="en-US" w:eastAsia="zh-CN"/>
        </w:rPr>
        <w:t>人行石家庄中心支行经费补助项目绩效自评情况：根据年初设定的绩效目标，项目绩效自评得分为100分。全年预算数为1000</w:t>
      </w:r>
      <w:r>
        <w:rPr>
          <w:rFonts w:hint="default" w:ascii="CESI仿宋-GB2312" w:hAnsi="CESI仿宋-GB2312" w:eastAsia="CESI仿宋-GB2312" w:cs="CESI仿宋-GB2312"/>
          <w:sz w:val="32"/>
          <w:szCs w:val="32"/>
          <w:lang w:val="en" w:eastAsia="zh-CN"/>
        </w:rPr>
        <w:t>.00</w:t>
      </w:r>
      <w:r>
        <w:rPr>
          <w:rFonts w:hint="eastAsia" w:ascii="CESI仿宋-GB2312" w:hAnsi="CESI仿宋-GB2312" w:eastAsia="CESI仿宋-GB2312" w:cs="CESI仿宋-GB2312"/>
          <w:sz w:val="32"/>
          <w:szCs w:val="32"/>
          <w:lang w:val="en-US" w:eastAsia="zh-CN"/>
        </w:rPr>
        <w:t>万元，执行数为1000</w:t>
      </w:r>
      <w:r>
        <w:rPr>
          <w:rFonts w:hint="default" w:ascii="CESI仿宋-GB2312" w:hAnsi="CESI仿宋-GB2312" w:eastAsia="CESI仿宋-GB2312" w:cs="CESI仿宋-GB2312"/>
          <w:sz w:val="32"/>
          <w:szCs w:val="32"/>
          <w:lang w:val="en" w:eastAsia="zh-CN"/>
        </w:rPr>
        <w:t>.00</w:t>
      </w:r>
      <w:r>
        <w:rPr>
          <w:rFonts w:hint="eastAsia" w:ascii="CESI仿宋-GB2312" w:hAnsi="CESI仿宋-GB2312" w:eastAsia="CESI仿宋-GB2312" w:cs="CESI仿宋-GB2312"/>
          <w:sz w:val="32"/>
          <w:szCs w:val="32"/>
          <w:lang w:val="en-US" w:eastAsia="zh-CN"/>
        </w:rPr>
        <w:t>万元，完成预算的100</w:t>
      </w:r>
      <w:r>
        <w:rPr>
          <w:rFonts w:hint="default" w:ascii="CESI仿宋-GB2312" w:hAnsi="CESI仿宋-GB2312" w:eastAsia="CESI仿宋-GB2312" w:cs="CESI仿宋-GB2312"/>
          <w:sz w:val="32"/>
          <w:szCs w:val="32"/>
          <w:lang w:val="en" w:eastAsia="zh-CN"/>
        </w:rPr>
        <w:t>.0</w:t>
      </w:r>
      <w:r>
        <w:rPr>
          <w:rFonts w:hint="eastAsia" w:ascii="CESI仿宋-GB2312" w:hAnsi="CESI仿宋-GB2312" w:eastAsia="CESI仿宋-GB2312" w:cs="CESI仿宋-GB2312"/>
          <w:sz w:val="32"/>
          <w:szCs w:val="32"/>
          <w:lang w:val="en-US" w:eastAsia="zh-CN"/>
        </w:rPr>
        <w:t>%。通过项目实施，解决了人行河北省分行经费困难，保障日常工作运行，人行累计参加市委、市政府会议次数28次，办理文件220件，促进人行更好的服务省会发展工作。未发现问题。</w:t>
      </w:r>
    </w:p>
    <w:p>
      <w:pPr>
        <w:widowControl/>
        <w:spacing w:line="360" w:lineRule="auto"/>
        <w:ind w:firstLine="640" w:firstLineChars="200"/>
        <w:jc w:val="left"/>
        <w:rPr>
          <w:rFonts w:hint="default" w:ascii="CESI仿宋-GB2312" w:hAnsi="CESI仿宋-GB2312" w:eastAsia="CESI仿宋-GB2312" w:cs="CESI仿宋-GB2312"/>
          <w:sz w:val="32"/>
          <w:szCs w:val="32"/>
          <w:lang w:val="en-US" w:eastAsia="zh-CN"/>
        </w:rPr>
      </w:pPr>
      <w:r>
        <w:rPr>
          <w:rFonts w:hint="default" w:ascii="CESI仿宋-GB2312" w:hAnsi="CESI仿宋-GB2312" w:eastAsia="CESI仿宋-GB2312" w:cs="CESI仿宋-GB2312"/>
          <w:sz w:val="32"/>
          <w:szCs w:val="32"/>
          <w:lang w:val="en-US" w:eastAsia="zh-CN"/>
        </w:rPr>
        <w:t>2025年度因公出国（境）经费（市委金融委员会办公室袁丽华同志随团赴香港、澳门特别行政区）项目绩效自评情况：根据年初设定的绩效目标，项目绩效自评得分为100分。全年预算数为</w:t>
      </w:r>
      <w:r>
        <w:rPr>
          <w:rFonts w:hint="eastAsia" w:ascii="CESI仿宋-GB2312" w:hAnsi="CESI仿宋-GB2312" w:eastAsia="CESI仿宋-GB2312" w:cs="CESI仿宋-GB2312"/>
          <w:sz w:val="32"/>
          <w:szCs w:val="32"/>
          <w:lang w:val="en-US" w:eastAsia="zh-CN"/>
        </w:rPr>
        <w:t>1.21</w:t>
      </w:r>
      <w:r>
        <w:rPr>
          <w:rFonts w:hint="default" w:ascii="CESI仿宋-GB2312" w:hAnsi="CESI仿宋-GB2312" w:eastAsia="CESI仿宋-GB2312" w:cs="CESI仿宋-GB2312"/>
          <w:sz w:val="32"/>
          <w:szCs w:val="32"/>
          <w:lang w:val="en-US" w:eastAsia="zh-CN"/>
        </w:rPr>
        <w:t>万元，执行数为</w:t>
      </w:r>
      <w:r>
        <w:rPr>
          <w:rFonts w:hint="eastAsia" w:ascii="CESI仿宋-GB2312" w:hAnsi="CESI仿宋-GB2312" w:eastAsia="CESI仿宋-GB2312" w:cs="CESI仿宋-GB2312"/>
          <w:sz w:val="32"/>
          <w:szCs w:val="32"/>
          <w:lang w:val="en-US" w:eastAsia="zh-CN"/>
        </w:rPr>
        <w:t>1.21</w:t>
      </w:r>
      <w:r>
        <w:rPr>
          <w:rFonts w:hint="default" w:ascii="CESI仿宋-GB2312" w:hAnsi="CESI仿宋-GB2312" w:eastAsia="CESI仿宋-GB2312" w:cs="CESI仿宋-GB2312"/>
          <w:sz w:val="32"/>
          <w:szCs w:val="32"/>
          <w:lang w:val="en-US" w:eastAsia="zh-CN"/>
        </w:rPr>
        <w:t>万元，完成预算的100</w:t>
      </w:r>
      <w:r>
        <w:rPr>
          <w:rFonts w:hint="default" w:ascii="CESI仿宋-GB2312" w:hAnsi="CESI仿宋-GB2312" w:eastAsia="CESI仿宋-GB2312" w:cs="CESI仿宋-GB2312"/>
          <w:sz w:val="32"/>
          <w:szCs w:val="32"/>
          <w:lang w:val="en" w:eastAsia="zh-CN"/>
        </w:rPr>
        <w:t>.0</w:t>
      </w:r>
      <w:r>
        <w:rPr>
          <w:rFonts w:hint="default" w:ascii="CESI仿宋-GB2312" w:hAnsi="CESI仿宋-GB2312" w:eastAsia="CESI仿宋-GB2312" w:cs="CESI仿宋-GB2312"/>
          <w:sz w:val="32"/>
          <w:szCs w:val="32"/>
          <w:lang w:val="en-US" w:eastAsia="zh-CN"/>
        </w:rPr>
        <w:t>%。通过项目实施，进一步深化了港澳金融管理</w:t>
      </w:r>
      <w:r>
        <w:rPr>
          <w:rFonts w:hint="eastAsia" w:ascii="CESI仿宋-GB2312" w:hAnsi="CESI仿宋-GB2312" w:eastAsia="CESI仿宋-GB2312" w:cs="CESI仿宋-GB2312"/>
          <w:sz w:val="32"/>
          <w:szCs w:val="32"/>
          <w:lang w:val="en-US" w:eastAsia="zh-CN"/>
        </w:rPr>
        <w:t>单位</w:t>
      </w:r>
      <w:r>
        <w:rPr>
          <w:rFonts w:hint="default" w:ascii="CESI仿宋-GB2312" w:hAnsi="CESI仿宋-GB2312" w:eastAsia="CESI仿宋-GB2312" w:cs="CESI仿宋-GB2312"/>
          <w:sz w:val="32"/>
          <w:szCs w:val="32"/>
          <w:lang w:val="en-US" w:eastAsia="zh-CN"/>
        </w:rPr>
        <w:t>及机构合作，出访地</w:t>
      </w:r>
      <w:r>
        <w:rPr>
          <w:rFonts w:hint="eastAsia" w:ascii="CESI仿宋-GB2312" w:hAnsi="CESI仿宋-GB2312" w:eastAsia="CESI仿宋-GB2312" w:cs="CESI仿宋-GB2312"/>
          <w:sz w:val="32"/>
          <w:szCs w:val="32"/>
          <w:lang w:val="en-US" w:eastAsia="zh-CN"/>
        </w:rPr>
        <w:t>2个，交流访问金融机构10家，</w:t>
      </w:r>
      <w:r>
        <w:rPr>
          <w:rFonts w:hint="default" w:ascii="CESI仿宋-GB2312" w:hAnsi="CESI仿宋-GB2312" w:eastAsia="CESI仿宋-GB2312" w:cs="CESI仿宋-GB2312"/>
          <w:sz w:val="32"/>
          <w:szCs w:val="32"/>
          <w:lang w:val="en-US" w:eastAsia="zh-CN"/>
        </w:rPr>
        <w:t>推动了金融高质量发展。未发现问题。</w:t>
      </w:r>
    </w:p>
    <w:p>
      <w:pPr>
        <w:widowControl/>
        <w:spacing w:line="360" w:lineRule="auto"/>
        <w:ind w:firstLine="640" w:firstLineChars="200"/>
        <w:jc w:val="left"/>
        <w:rPr>
          <w:rFonts w:hint="eastAsia" w:ascii="CESI仿宋-GB2312" w:hAnsi="CESI仿宋-GB2312" w:eastAsia="CESI仿宋-GB2312" w:cs="CESI仿宋-GB2312"/>
          <w:sz w:val="32"/>
          <w:szCs w:val="32"/>
          <w:lang w:val="en-US" w:eastAsia="zh-CN"/>
        </w:rPr>
      </w:pPr>
      <w:r>
        <w:rPr>
          <w:rFonts w:hint="default" w:ascii="CESI仿宋-GB2312" w:hAnsi="CESI仿宋-GB2312" w:eastAsia="CESI仿宋-GB2312" w:cs="CESI仿宋-GB2312"/>
          <w:sz w:val="32"/>
          <w:szCs w:val="32"/>
          <w:lang w:val="en-US" w:eastAsia="zh-CN"/>
        </w:rPr>
        <w:t>河北资本市场大讲堂石家庄站活动经费项目绩效自评情况：根据年初设定的绩效目标，项目绩效自评得分为</w:t>
      </w:r>
      <w:r>
        <w:rPr>
          <w:rFonts w:hint="eastAsia" w:ascii="CESI仿宋-GB2312" w:hAnsi="CESI仿宋-GB2312" w:eastAsia="CESI仿宋-GB2312" w:cs="CESI仿宋-GB2312"/>
          <w:sz w:val="32"/>
          <w:szCs w:val="32"/>
          <w:lang w:val="en-US" w:eastAsia="zh-CN"/>
        </w:rPr>
        <w:t>99</w:t>
      </w:r>
      <w:r>
        <w:rPr>
          <w:rFonts w:hint="default" w:ascii="CESI仿宋-GB2312" w:hAnsi="CESI仿宋-GB2312" w:eastAsia="CESI仿宋-GB2312" w:cs="CESI仿宋-GB2312"/>
          <w:sz w:val="32"/>
          <w:szCs w:val="32"/>
          <w:lang w:val="en-US" w:eastAsia="zh-CN"/>
        </w:rPr>
        <w:t>分。全年预算数为</w:t>
      </w:r>
      <w:r>
        <w:rPr>
          <w:rFonts w:hint="eastAsia" w:ascii="CESI仿宋-GB2312" w:hAnsi="CESI仿宋-GB2312" w:eastAsia="CESI仿宋-GB2312" w:cs="CESI仿宋-GB2312"/>
          <w:sz w:val="32"/>
          <w:szCs w:val="32"/>
          <w:lang w:val="en-US" w:eastAsia="zh-CN"/>
        </w:rPr>
        <w:t>14.30</w:t>
      </w:r>
      <w:r>
        <w:rPr>
          <w:rFonts w:hint="default" w:ascii="CESI仿宋-GB2312" w:hAnsi="CESI仿宋-GB2312" w:eastAsia="CESI仿宋-GB2312" w:cs="CESI仿宋-GB2312"/>
          <w:sz w:val="32"/>
          <w:szCs w:val="32"/>
          <w:lang w:val="en-US" w:eastAsia="zh-CN"/>
        </w:rPr>
        <w:t>万元，执行数为</w:t>
      </w:r>
      <w:r>
        <w:rPr>
          <w:rFonts w:hint="eastAsia" w:ascii="CESI仿宋-GB2312" w:hAnsi="CESI仿宋-GB2312" w:eastAsia="CESI仿宋-GB2312" w:cs="CESI仿宋-GB2312"/>
          <w:sz w:val="32"/>
          <w:szCs w:val="32"/>
          <w:lang w:val="en-US" w:eastAsia="zh-CN"/>
        </w:rPr>
        <w:t>14.25</w:t>
      </w:r>
      <w:r>
        <w:rPr>
          <w:rFonts w:hint="default" w:ascii="CESI仿宋-GB2312" w:hAnsi="CESI仿宋-GB2312" w:eastAsia="CESI仿宋-GB2312" w:cs="CESI仿宋-GB2312"/>
          <w:sz w:val="32"/>
          <w:szCs w:val="32"/>
          <w:lang w:val="en-US" w:eastAsia="zh-CN"/>
        </w:rPr>
        <w:t>万元，完成预算的</w:t>
      </w:r>
      <w:r>
        <w:rPr>
          <w:rFonts w:hint="eastAsia" w:ascii="CESI仿宋-GB2312" w:hAnsi="CESI仿宋-GB2312" w:eastAsia="CESI仿宋-GB2312" w:cs="CESI仿宋-GB2312"/>
          <w:sz w:val="32"/>
          <w:szCs w:val="32"/>
          <w:lang w:val="en-US" w:eastAsia="zh-CN"/>
        </w:rPr>
        <w:t>99.64</w:t>
      </w:r>
      <w:r>
        <w:rPr>
          <w:rFonts w:hint="default" w:ascii="CESI仿宋-GB2312" w:hAnsi="CESI仿宋-GB2312" w:eastAsia="CESI仿宋-GB2312" w:cs="CESI仿宋-GB2312"/>
          <w:sz w:val="32"/>
          <w:szCs w:val="32"/>
          <w:lang w:val="en-US" w:eastAsia="zh-CN"/>
        </w:rPr>
        <w:t>%。通过项目实施，落实了省委、省政府关于金融服务实体经济高质量发展的有关要求，参加活动人员</w:t>
      </w:r>
      <w:r>
        <w:rPr>
          <w:rFonts w:hint="eastAsia" w:ascii="CESI仿宋-GB2312" w:hAnsi="CESI仿宋-GB2312" w:eastAsia="CESI仿宋-GB2312" w:cs="CESI仿宋-GB2312"/>
          <w:sz w:val="32"/>
          <w:szCs w:val="32"/>
          <w:lang w:val="en-US" w:eastAsia="zh-CN"/>
        </w:rPr>
        <w:t>855人，参加地市覆盖率100</w:t>
      </w:r>
      <w:r>
        <w:rPr>
          <w:rFonts w:hint="default" w:ascii="CESI仿宋-GB2312" w:hAnsi="CESI仿宋-GB2312" w:eastAsia="CESI仿宋-GB2312" w:cs="CESI仿宋-GB2312"/>
          <w:sz w:val="32"/>
          <w:szCs w:val="32"/>
          <w:lang w:val="en" w:eastAsia="zh-CN"/>
        </w:rPr>
        <w:t>.0</w:t>
      </w:r>
      <w:r>
        <w:rPr>
          <w:rFonts w:hint="eastAsia" w:ascii="CESI仿宋-GB2312" w:hAnsi="CESI仿宋-GB2312" w:eastAsia="CESI仿宋-GB2312" w:cs="CESI仿宋-GB2312"/>
          <w:sz w:val="32"/>
          <w:szCs w:val="32"/>
          <w:lang w:val="en-US" w:eastAsia="zh-CN"/>
        </w:rPr>
        <w:t>%，</w:t>
      </w:r>
      <w:r>
        <w:rPr>
          <w:rFonts w:hint="default" w:ascii="CESI仿宋-GB2312" w:hAnsi="CESI仿宋-GB2312" w:eastAsia="CESI仿宋-GB2312" w:cs="CESI仿宋-GB2312"/>
          <w:sz w:val="32"/>
          <w:szCs w:val="32"/>
          <w:lang w:val="en-US" w:eastAsia="zh-CN"/>
        </w:rPr>
        <w:t>提升了企业资本市场运作和现代金融工具应用能力，促进了产业与资本深度融合。</w:t>
      </w:r>
      <w:r>
        <w:rPr>
          <w:rFonts w:hint="eastAsia" w:ascii="CESI仿宋-GB2312" w:hAnsi="CESI仿宋-GB2312" w:eastAsia="CESI仿宋-GB2312" w:cs="CESI仿宋-GB2312"/>
          <w:sz w:val="32"/>
          <w:szCs w:val="32"/>
          <w:lang w:val="en-US" w:eastAsia="zh-CN"/>
        </w:rPr>
        <w:t>未发现问题。</w:t>
      </w:r>
    </w:p>
    <w:p>
      <w:pPr>
        <w:widowControl/>
        <w:spacing w:line="360" w:lineRule="auto"/>
        <w:ind w:firstLine="640" w:firstLineChars="200"/>
        <w:jc w:val="left"/>
        <w:rPr>
          <w:rFonts w:hint="eastAsia" w:ascii="CESI仿宋-GB2312" w:hAnsi="CESI仿宋-GB2312" w:eastAsia="CESI仿宋-GB2312" w:cs="CESI仿宋-GB2312"/>
          <w:sz w:val="32"/>
          <w:szCs w:val="32"/>
          <w:lang w:val="en-US" w:eastAsia="zh-CN"/>
        </w:rPr>
      </w:pPr>
      <w:r>
        <w:rPr>
          <w:rFonts w:hint="eastAsia" w:ascii="CESI仿宋-GB2312" w:hAnsi="CESI仿宋-GB2312" w:eastAsia="CESI仿宋-GB2312" w:cs="CESI仿宋-GB2312"/>
          <w:sz w:val="32"/>
          <w:szCs w:val="32"/>
          <w:lang w:val="en-US" w:eastAsia="zh-CN"/>
        </w:rPr>
        <w:t>东旭集团风险化解工作相关经费项目绩效自评情况：根据年初设定的绩效目标，项目绩效自评得分为89分。全年预算数为149.51万元，执行数为149.49万元，完成预算的99.99%。通过项目实施，成立风险专班下设5个工作组，妥善化解东旭集团现阶段可能引发的各种风险，有序推进了东旭集团风险化解工作。发现的主要问题是：总费用在分配使用时与年初制定的目标略有差距。下一步将制定更详细的资金使用计划，是资金分配更合理、更科学。</w:t>
      </w:r>
    </w:p>
    <w:p>
      <w:pPr>
        <w:widowControl/>
        <w:spacing w:line="360" w:lineRule="auto"/>
        <w:ind w:firstLine="640" w:firstLineChars="200"/>
        <w:jc w:val="left"/>
        <w:rPr>
          <w:rFonts w:hint="eastAsia" w:ascii="CESI仿宋-GB2312" w:hAnsi="CESI仿宋-GB2312" w:eastAsia="CESI仿宋-GB2312" w:cs="CESI仿宋-GB2312"/>
          <w:sz w:val="32"/>
          <w:szCs w:val="32"/>
          <w:lang w:val="en-US" w:eastAsia="zh-CN"/>
        </w:rPr>
      </w:pPr>
      <w:r>
        <w:rPr>
          <w:rFonts w:hint="eastAsia" w:ascii="CESI仿宋-GB2312" w:hAnsi="CESI仿宋-GB2312" w:eastAsia="CESI仿宋-GB2312" w:cs="CESI仿宋-GB2312"/>
          <w:sz w:val="32"/>
          <w:szCs w:val="32"/>
          <w:lang w:val="en-US" w:eastAsia="zh-CN"/>
        </w:rPr>
        <w:t>东旭集团风险化解第二阶段专项经费项目绩效自评情况：根据年初设定的绩效目标，项目绩效自评得分为100分。全年预算数为62.57万元，执行数为62.57万元，完成预算的100</w:t>
      </w:r>
      <w:r>
        <w:rPr>
          <w:rFonts w:hint="default" w:ascii="CESI仿宋-GB2312" w:hAnsi="CESI仿宋-GB2312" w:eastAsia="CESI仿宋-GB2312" w:cs="CESI仿宋-GB2312"/>
          <w:sz w:val="32"/>
          <w:szCs w:val="32"/>
          <w:lang w:val="en" w:eastAsia="zh-CN"/>
        </w:rPr>
        <w:t>.0</w:t>
      </w:r>
      <w:r>
        <w:rPr>
          <w:rFonts w:hint="eastAsia" w:ascii="CESI仿宋-GB2312" w:hAnsi="CESI仿宋-GB2312" w:eastAsia="CESI仿宋-GB2312" w:cs="CESI仿宋-GB2312"/>
          <w:sz w:val="32"/>
          <w:szCs w:val="32"/>
          <w:lang w:val="en-US" w:eastAsia="zh-CN"/>
        </w:rPr>
        <w:t>%。通过项目实施，成立风险专班下设5个工作组，妥善化解东旭集团现阶段可能引发的各种风险，有序推进了东旭集团风险化解工作。未发现问题。</w:t>
      </w:r>
    </w:p>
    <w:p>
      <w:pPr>
        <w:widowControl/>
        <w:spacing w:line="360" w:lineRule="auto"/>
        <w:jc w:val="left"/>
        <w:rPr>
          <w:rFonts w:hint="eastAsia" w:ascii="CESI仿宋-GB2312" w:hAnsi="CESI仿宋-GB2312" w:eastAsia="CESI仿宋-GB2312" w:cs="CESI仿宋-GB2312"/>
          <w:sz w:val="32"/>
          <w:szCs w:val="32"/>
          <w:lang w:val="en-US" w:eastAsia="zh-CN"/>
        </w:rPr>
      </w:pPr>
      <w:bookmarkStart w:id="0" w:name="_GoBack"/>
      <w:bookmarkEnd w:id="0"/>
      <w:r>
        <w:rPr>
          <w:rFonts w:hint="eastAsia" w:ascii="CESI仿宋-GB2312" w:hAnsi="CESI仿宋-GB2312" w:eastAsia="CESI仿宋-GB2312" w:cs="CESI仿宋-GB2312"/>
          <w:sz w:val="32"/>
          <w:szCs w:val="32"/>
          <w:lang w:val="en-US" w:eastAsia="zh-CN"/>
        </w:rPr>
        <w:drawing>
          <wp:inline distT="0" distB="0" distL="114300" distR="114300">
            <wp:extent cx="5755640" cy="4937760"/>
            <wp:effectExtent l="0" t="0" r="16510" b="15240"/>
            <wp:docPr id="3" name="图片 3" descr="党组织活动经费"/>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 name="图片 3" descr="党组织活动经费"/>
                    <pic:cNvPicPr>
                      <a:picLocks noChangeAspect="true"/>
                    </pic:cNvPicPr>
                  </pic:nvPicPr>
                  <pic:blipFill>
                    <a:blip r:embed="rId16"/>
                    <a:stretch>
                      <a:fillRect/>
                    </a:stretch>
                  </pic:blipFill>
                  <pic:spPr>
                    <a:xfrm>
                      <a:off x="0" y="0"/>
                      <a:ext cx="5755640" cy="4937760"/>
                    </a:xfrm>
                    <a:prstGeom prst="rect">
                      <a:avLst/>
                    </a:prstGeom>
                  </pic:spPr>
                </pic:pic>
              </a:graphicData>
            </a:graphic>
          </wp:inline>
        </w:drawing>
      </w:r>
    </w:p>
    <w:p>
      <w:pPr>
        <w:widowControl/>
        <w:spacing w:line="360" w:lineRule="auto"/>
        <w:jc w:val="left"/>
        <w:rPr>
          <w:rFonts w:hint="default" w:ascii="CESI仿宋-GB2312" w:hAnsi="CESI仿宋-GB2312" w:eastAsia="CESI仿宋-GB2312" w:cs="CESI仿宋-GB2312"/>
          <w:sz w:val="32"/>
          <w:szCs w:val="32"/>
          <w:lang w:val="en-US" w:eastAsia="zh-CN"/>
        </w:rPr>
      </w:pPr>
      <w:r>
        <w:rPr>
          <w:rFonts w:hint="default" w:ascii="CESI仿宋-GB2312" w:hAnsi="CESI仿宋-GB2312" w:eastAsia="CESI仿宋-GB2312" w:cs="CESI仿宋-GB2312"/>
          <w:sz w:val="32"/>
          <w:szCs w:val="32"/>
          <w:lang w:val="en-US" w:eastAsia="zh-CN"/>
        </w:rPr>
        <w:drawing>
          <wp:inline distT="0" distB="0" distL="114300" distR="114300">
            <wp:extent cx="5756910" cy="4925695"/>
            <wp:effectExtent l="0" t="0" r="15240" b="8255"/>
            <wp:docPr id="6" name="图片 6" descr="截图录屏_选择区域_2026082414281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 name="图片 6" descr="截图录屏_选择区域_20260824142815"/>
                    <pic:cNvPicPr>
                      <a:picLocks noChangeAspect="true"/>
                    </pic:cNvPicPr>
                  </pic:nvPicPr>
                  <pic:blipFill>
                    <a:blip r:embed="rId17"/>
                    <a:stretch>
                      <a:fillRect/>
                    </a:stretch>
                  </pic:blipFill>
                  <pic:spPr>
                    <a:xfrm>
                      <a:off x="0" y="0"/>
                      <a:ext cx="5756910" cy="4925695"/>
                    </a:xfrm>
                    <a:prstGeom prst="rect">
                      <a:avLst/>
                    </a:prstGeom>
                  </pic:spPr>
                </pic:pic>
              </a:graphicData>
            </a:graphic>
          </wp:inline>
        </w:drawing>
      </w:r>
    </w:p>
    <w:p>
      <w:pPr>
        <w:widowControl/>
        <w:spacing w:line="360" w:lineRule="auto"/>
        <w:jc w:val="left"/>
        <w:rPr>
          <w:rFonts w:hint="eastAsia" w:ascii="Times New Roman" w:eastAsia="仿宋_GB2312"/>
          <w:b/>
          <w:sz w:val="32"/>
          <w:szCs w:val="32"/>
          <w:lang w:eastAsia="zh-CN"/>
        </w:rPr>
      </w:pPr>
      <w:r>
        <w:rPr>
          <w:rFonts w:hint="eastAsia" w:ascii="Times New Roman" w:eastAsia="仿宋_GB2312"/>
          <w:b/>
          <w:sz w:val="32"/>
          <w:szCs w:val="32"/>
          <w:lang w:eastAsia="zh-CN"/>
        </w:rPr>
        <w:drawing>
          <wp:inline distT="0" distB="0" distL="114300" distR="114300">
            <wp:extent cx="5756910" cy="5064125"/>
            <wp:effectExtent l="0" t="0" r="15240" b="3175"/>
            <wp:docPr id="8" name="图片 8" descr="截图录屏_选择区域_2026082414290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 name="图片 8" descr="截图录屏_选择区域_20260824142901"/>
                    <pic:cNvPicPr>
                      <a:picLocks noChangeAspect="true"/>
                    </pic:cNvPicPr>
                  </pic:nvPicPr>
                  <pic:blipFill>
                    <a:blip r:embed="rId18"/>
                    <a:stretch>
                      <a:fillRect/>
                    </a:stretch>
                  </pic:blipFill>
                  <pic:spPr>
                    <a:xfrm>
                      <a:off x="0" y="0"/>
                      <a:ext cx="5756910" cy="5064125"/>
                    </a:xfrm>
                    <a:prstGeom prst="rect">
                      <a:avLst/>
                    </a:prstGeom>
                  </pic:spPr>
                </pic:pic>
              </a:graphicData>
            </a:graphic>
          </wp:inline>
        </w:drawing>
      </w:r>
    </w:p>
    <w:p>
      <w:pPr>
        <w:widowControl/>
        <w:spacing w:line="360" w:lineRule="auto"/>
        <w:jc w:val="left"/>
        <w:rPr>
          <w:rFonts w:hint="eastAsia" w:ascii="Times New Roman" w:eastAsia="仿宋_GB2312"/>
          <w:b/>
          <w:sz w:val="32"/>
          <w:szCs w:val="32"/>
          <w:lang w:eastAsia="zh-CN"/>
        </w:rPr>
      </w:pPr>
      <w:r>
        <w:rPr>
          <w:rFonts w:hint="eastAsia" w:ascii="Times New Roman" w:eastAsia="仿宋_GB2312"/>
          <w:b/>
          <w:sz w:val="32"/>
          <w:szCs w:val="32"/>
          <w:lang w:eastAsia="zh-CN"/>
        </w:rPr>
        <w:drawing>
          <wp:inline distT="0" distB="0" distL="114300" distR="114300">
            <wp:extent cx="5755640" cy="5114925"/>
            <wp:effectExtent l="0" t="0" r="16510" b="9525"/>
            <wp:docPr id="10" name="图片 10" descr="截图录屏_选择区域_2026082414294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0" name="图片 10" descr="截图录屏_选择区域_20260824142947"/>
                    <pic:cNvPicPr>
                      <a:picLocks noChangeAspect="true"/>
                    </pic:cNvPicPr>
                  </pic:nvPicPr>
                  <pic:blipFill>
                    <a:blip r:embed="rId19"/>
                    <a:stretch>
                      <a:fillRect/>
                    </a:stretch>
                  </pic:blipFill>
                  <pic:spPr>
                    <a:xfrm>
                      <a:off x="0" y="0"/>
                      <a:ext cx="5755640" cy="5114925"/>
                    </a:xfrm>
                    <a:prstGeom prst="rect">
                      <a:avLst/>
                    </a:prstGeom>
                  </pic:spPr>
                </pic:pic>
              </a:graphicData>
            </a:graphic>
          </wp:inline>
        </w:drawing>
      </w:r>
    </w:p>
    <w:p>
      <w:pPr>
        <w:widowControl/>
        <w:spacing w:line="360" w:lineRule="auto"/>
        <w:jc w:val="left"/>
        <w:rPr>
          <w:rFonts w:hint="eastAsia" w:ascii="Times New Roman" w:eastAsia="仿宋_GB2312"/>
          <w:b/>
          <w:sz w:val="32"/>
          <w:szCs w:val="32"/>
          <w:lang w:eastAsia="zh-CN"/>
        </w:rPr>
      </w:pPr>
      <w:r>
        <w:rPr>
          <w:rFonts w:hint="eastAsia" w:ascii="Times New Roman" w:eastAsia="仿宋_GB2312"/>
          <w:b/>
          <w:sz w:val="32"/>
          <w:szCs w:val="32"/>
          <w:lang w:eastAsia="zh-CN"/>
        </w:rPr>
        <w:drawing>
          <wp:inline distT="0" distB="0" distL="114300" distR="114300">
            <wp:extent cx="5756275" cy="5316855"/>
            <wp:effectExtent l="0" t="0" r="15875" b="17145"/>
            <wp:docPr id="12" name="图片 12" descr="业务咨询委托费"/>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2" name="图片 12" descr="业务咨询委托费"/>
                    <pic:cNvPicPr>
                      <a:picLocks noChangeAspect="true"/>
                    </pic:cNvPicPr>
                  </pic:nvPicPr>
                  <pic:blipFill>
                    <a:blip r:embed="rId20"/>
                    <a:stretch>
                      <a:fillRect/>
                    </a:stretch>
                  </pic:blipFill>
                  <pic:spPr>
                    <a:xfrm>
                      <a:off x="0" y="0"/>
                      <a:ext cx="5756275" cy="5316855"/>
                    </a:xfrm>
                    <a:prstGeom prst="rect">
                      <a:avLst/>
                    </a:prstGeom>
                  </pic:spPr>
                </pic:pic>
              </a:graphicData>
            </a:graphic>
          </wp:inline>
        </w:drawing>
      </w:r>
    </w:p>
    <w:p>
      <w:pPr>
        <w:widowControl/>
        <w:spacing w:line="360" w:lineRule="auto"/>
        <w:jc w:val="left"/>
        <w:rPr>
          <w:rFonts w:hint="eastAsia" w:ascii="Times New Roman" w:eastAsia="仿宋_GB2312"/>
          <w:b/>
          <w:sz w:val="32"/>
          <w:szCs w:val="32"/>
          <w:lang w:eastAsia="zh-CN"/>
        </w:rPr>
      </w:pPr>
      <w:r>
        <w:rPr>
          <w:rFonts w:hint="eastAsia" w:ascii="Times New Roman" w:eastAsia="仿宋_GB2312"/>
          <w:b/>
          <w:sz w:val="32"/>
          <w:szCs w:val="32"/>
          <w:lang w:eastAsia="zh-CN"/>
        </w:rPr>
        <w:drawing>
          <wp:inline distT="0" distB="0" distL="114300" distR="114300">
            <wp:extent cx="5755640" cy="5053330"/>
            <wp:effectExtent l="0" t="0" r="16510" b="13970"/>
            <wp:docPr id="13" name="图片 13" descr="截图录屏_选择区域_2026082414312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3" name="图片 13" descr="截图录屏_选择区域_20260824143126"/>
                    <pic:cNvPicPr>
                      <a:picLocks noChangeAspect="true"/>
                    </pic:cNvPicPr>
                  </pic:nvPicPr>
                  <pic:blipFill>
                    <a:blip r:embed="rId21"/>
                    <a:stretch>
                      <a:fillRect/>
                    </a:stretch>
                  </pic:blipFill>
                  <pic:spPr>
                    <a:xfrm>
                      <a:off x="0" y="0"/>
                      <a:ext cx="5755640" cy="5053330"/>
                    </a:xfrm>
                    <a:prstGeom prst="rect">
                      <a:avLst/>
                    </a:prstGeom>
                  </pic:spPr>
                </pic:pic>
              </a:graphicData>
            </a:graphic>
          </wp:inline>
        </w:drawing>
      </w:r>
    </w:p>
    <w:p>
      <w:pPr>
        <w:widowControl/>
        <w:spacing w:line="360" w:lineRule="auto"/>
        <w:jc w:val="left"/>
        <w:rPr>
          <w:rFonts w:hint="eastAsia" w:ascii="Times New Roman" w:eastAsia="仿宋_GB2312"/>
          <w:b/>
          <w:sz w:val="32"/>
          <w:szCs w:val="32"/>
          <w:lang w:eastAsia="zh-CN"/>
        </w:rPr>
      </w:pPr>
      <w:r>
        <w:rPr>
          <w:rFonts w:hint="eastAsia" w:ascii="Times New Roman" w:eastAsia="仿宋_GB2312"/>
          <w:b/>
          <w:sz w:val="32"/>
          <w:szCs w:val="32"/>
          <w:lang w:eastAsia="zh-CN"/>
        </w:rPr>
        <w:drawing>
          <wp:inline distT="0" distB="0" distL="114300" distR="114300">
            <wp:extent cx="5760720" cy="4838700"/>
            <wp:effectExtent l="0" t="0" r="11430" b="0"/>
            <wp:docPr id="14" name="图片 14" descr="截图录屏_选择区域_20260824143209"/>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4" name="图片 14" descr="截图录屏_选择区域_20260824143209"/>
                    <pic:cNvPicPr>
                      <a:picLocks noChangeAspect="true"/>
                    </pic:cNvPicPr>
                  </pic:nvPicPr>
                  <pic:blipFill>
                    <a:blip r:embed="rId22"/>
                    <a:stretch>
                      <a:fillRect/>
                    </a:stretch>
                  </pic:blipFill>
                  <pic:spPr>
                    <a:xfrm>
                      <a:off x="0" y="0"/>
                      <a:ext cx="5760720" cy="4838700"/>
                    </a:xfrm>
                    <a:prstGeom prst="rect">
                      <a:avLst/>
                    </a:prstGeom>
                  </pic:spPr>
                </pic:pic>
              </a:graphicData>
            </a:graphic>
          </wp:inline>
        </w:drawing>
      </w:r>
    </w:p>
    <w:p>
      <w:pPr>
        <w:widowControl/>
        <w:spacing w:line="360" w:lineRule="auto"/>
        <w:jc w:val="left"/>
        <w:rPr>
          <w:rFonts w:hint="eastAsia" w:ascii="Times New Roman" w:eastAsia="仿宋_GB2312"/>
          <w:b/>
          <w:sz w:val="32"/>
          <w:szCs w:val="32"/>
          <w:lang w:eastAsia="zh-CN"/>
        </w:rPr>
      </w:pPr>
      <w:r>
        <w:rPr>
          <w:rFonts w:hint="eastAsia" w:ascii="Times New Roman" w:eastAsia="仿宋_GB2312"/>
          <w:b/>
          <w:sz w:val="32"/>
          <w:szCs w:val="32"/>
          <w:lang w:eastAsia="zh-CN"/>
        </w:rPr>
        <w:drawing>
          <wp:inline distT="0" distB="0" distL="114300" distR="114300">
            <wp:extent cx="5758180" cy="5175885"/>
            <wp:effectExtent l="0" t="0" r="13970" b="5715"/>
            <wp:docPr id="15" name="图片 15" descr="截图录屏_选择区域_2026082414325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5" name="图片 15" descr="截图录屏_选择区域_20260824143252"/>
                    <pic:cNvPicPr>
                      <a:picLocks noChangeAspect="true"/>
                    </pic:cNvPicPr>
                  </pic:nvPicPr>
                  <pic:blipFill>
                    <a:blip r:embed="rId23"/>
                    <a:stretch>
                      <a:fillRect/>
                    </a:stretch>
                  </pic:blipFill>
                  <pic:spPr>
                    <a:xfrm>
                      <a:off x="0" y="0"/>
                      <a:ext cx="5758180" cy="5175885"/>
                    </a:xfrm>
                    <a:prstGeom prst="rect">
                      <a:avLst/>
                    </a:prstGeom>
                  </pic:spPr>
                </pic:pic>
              </a:graphicData>
            </a:graphic>
          </wp:inline>
        </w:drawing>
      </w:r>
    </w:p>
    <w:p>
      <w:pPr>
        <w:widowControl/>
        <w:spacing w:line="360" w:lineRule="auto"/>
        <w:jc w:val="left"/>
        <w:rPr>
          <w:rFonts w:hint="eastAsia" w:ascii="Times New Roman" w:eastAsia="仿宋_GB2312"/>
          <w:b/>
          <w:sz w:val="32"/>
          <w:szCs w:val="32"/>
          <w:lang w:eastAsia="zh-CN"/>
        </w:rPr>
      </w:pPr>
      <w:r>
        <w:rPr>
          <w:rFonts w:hint="eastAsia" w:ascii="Times New Roman" w:eastAsia="仿宋_GB2312"/>
          <w:b/>
          <w:sz w:val="32"/>
          <w:szCs w:val="32"/>
          <w:lang w:eastAsia="zh-CN"/>
        </w:rPr>
        <w:drawing>
          <wp:inline distT="0" distB="0" distL="114300" distR="114300">
            <wp:extent cx="5756275" cy="5100955"/>
            <wp:effectExtent l="0" t="0" r="15875" b="4445"/>
            <wp:docPr id="16" name="图片 16" descr="截图录屏_选择区域_2026082414333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6" name="图片 16" descr="截图录屏_选择区域_20260824143335"/>
                    <pic:cNvPicPr>
                      <a:picLocks noChangeAspect="true"/>
                    </pic:cNvPicPr>
                  </pic:nvPicPr>
                  <pic:blipFill>
                    <a:blip r:embed="rId24"/>
                    <a:stretch>
                      <a:fillRect/>
                    </a:stretch>
                  </pic:blipFill>
                  <pic:spPr>
                    <a:xfrm>
                      <a:off x="0" y="0"/>
                      <a:ext cx="5756275" cy="5100955"/>
                    </a:xfrm>
                    <a:prstGeom prst="rect">
                      <a:avLst/>
                    </a:prstGeom>
                  </pic:spPr>
                </pic:pic>
              </a:graphicData>
            </a:graphic>
          </wp:inline>
        </w:drawing>
      </w:r>
    </w:p>
    <w:p>
      <w:pPr>
        <w:widowControl/>
        <w:spacing w:line="360" w:lineRule="auto"/>
        <w:jc w:val="left"/>
        <w:rPr>
          <w:rFonts w:hint="eastAsia" w:ascii="Times New Roman" w:eastAsia="仿宋_GB2312"/>
          <w:b/>
          <w:sz w:val="32"/>
          <w:szCs w:val="32"/>
          <w:lang w:eastAsia="zh-CN"/>
        </w:rPr>
      </w:pPr>
      <w:r>
        <w:rPr>
          <w:rFonts w:hint="eastAsia" w:ascii="Times New Roman" w:eastAsia="仿宋_GB2312"/>
          <w:b/>
          <w:sz w:val="32"/>
          <w:szCs w:val="32"/>
          <w:lang w:eastAsia="zh-CN"/>
        </w:rPr>
        <w:drawing>
          <wp:inline distT="0" distB="0" distL="114300" distR="114300">
            <wp:extent cx="5759450" cy="5759450"/>
            <wp:effectExtent l="0" t="0" r="12700" b="12700"/>
            <wp:docPr id="17" name="图片 17" descr="截图录屏_选择区域_2026082414341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7" name="图片 17" descr="截图录屏_选择区域_20260824143414"/>
                    <pic:cNvPicPr>
                      <a:picLocks noChangeAspect="true"/>
                    </pic:cNvPicPr>
                  </pic:nvPicPr>
                  <pic:blipFill>
                    <a:blip r:embed="rId25"/>
                    <a:stretch>
                      <a:fillRect/>
                    </a:stretch>
                  </pic:blipFill>
                  <pic:spPr>
                    <a:xfrm>
                      <a:off x="0" y="0"/>
                      <a:ext cx="5759450" cy="5759450"/>
                    </a:xfrm>
                    <a:prstGeom prst="rect">
                      <a:avLst/>
                    </a:prstGeom>
                  </pic:spPr>
                </pic:pic>
              </a:graphicData>
            </a:graphic>
          </wp:inline>
        </w:drawing>
      </w:r>
    </w:p>
    <w:p>
      <w:pPr>
        <w:widowControl/>
        <w:spacing w:line="360" w:lineRule="auto"/>
        <w:jc w:val="left"/>
        <w:rPr>
          <w:rFonts w:hint="eastAsia" w:ascii="Times New Roman" w:eastAsia="仿宋_GB2312"/>
          <w:b/>
          <w:sz w:val="32"/>
          <w:szCs w:val="32"/>
          <w:lang w:eastAsia="zh-CN"/>
        </w:rPr>
      </w:pPr>
      <w:r>
        <w:rPr>
          <w:rFonts w:hint="eastAsia" w:ascii="Times New Roman" w:eastAsia="仿宋_GB2312"/>
          <w:b/>
          <w:sz w:val="32"/>
          <w:szCs w:val="32"/>
          <w:lang w:eastAsia="zh-CN"/>
        </w:rPr>
        <w:drawing>
          <wp:inline distT="0" distB="0" distL="114300" distR="114300">
            <wp:extent cx="5756275" cy="5124450"/>
            <wp:effectExtent l="0" t="0" r="15875" b="0"/>
            <wp:docPr id="18" name="图片 18" descr="截图录屏_选择区域_2026082414351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8" name="图片 18" descr="截图录屏_选择区域_20260824143514"/>
                    <pic:cNvPicPr>
                      <a:picLocks noChangeAspect="true"/>
                    </pic:cNvPicPr>
                  </pic:nvPicPr>
                  <pic:blipFill>
                    <a:blip r:embed="rId26"/>
                    <a:stretch>
                      <a:fillRect/>
                    </a:stretch>
                  </pic:blipFill>
                  <pic:spPr>
                    <a:xfrm>
                      <a:off x="0" y="0"/>
                      <a:ext cx="5756275" cy="5124450"/>
                    </a:xfrm>
                    <a:prstGeom prst="rect">
                      <a:avLst/>
                    </a:prstGeom>
                  </pic:spPr>
                </pic:pic>
              </a:graphicData>
            </a:graphic>
          </wp:inline>
        </w:drawing>
      </w:r>
    </w:p>
    <w:p>
      <w:pPr>
        <w:widowControl/>
        <w:spacing w:line="360" w:lineRule="auto"/>
        <w:jc w:val="left"/>
        <w:rPr>
          <w:rFonts w:hint="eastAsia" w:ascii="Times New Roman" w:eastAsia="仿宋_GB2312"/>
          <w:b/>
          <w:sz w:val="32"/>
          <w:szCs w:val="32"/>
          <w:lang w:eastAsia="zh-CN"/>
        </w:rPr>
      </w:pPr>
      <w:r>
        <w:rPr>
          <w:rFonts w:hint="eastAsia" w:ascii="Times New Roman" w:eastAsia="仿宋_GB2312"/>
          <w:b/>
          <w:sz w:val="32"/>
          <w:szCs w:val="32"/>
          <w:lang w:eastAsia="zh-CN"/>
        </w:rPr>
        <w:drawing>
          <wp:inline distT="0" distB="0" distL="114300" distR="114300">
            <wp:extent cx="5760085" cy="5660390"/>
            <wp:effectExtent l="0" t="0" r="12065" b="16510"/>
            <wp:docPr id="20" name="图片 20" descr="截图录屏_选择区域_2026082414354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0" name="图片 20" descr="截图录屏_选择区域_20260824143546"/>
                    <pic:cNvPicPr>
                      <a:picLocks noChangeAspect="true"/>
                    </pic:cNvPicPr>
                  </pic:nvPicPr>
                  <pic:blipFill>
                    <a:blip r:embed="rId27"/>
                    <a:stretch>
                      <a:fillRect/>
                    </a:stretch>
                  </pic:blipFill>
                  <pic:spPr>
                    <a:xfrm>
                      <a:off x="0" y="0"/>
                      <a:ext cx="5760085" cy="5660390"/>
                    </a:xfrm>
                    <a:prstGeom prst="rect">
                      <a:avLst/>
                    </a:prstGeom>
                  </pic:spPr>
                </pic:pic>
              </a:graphicData>
            </a:graphic>
          </wp:inline>
        </w:drawing>
      </w:r>
    </w:p>
    <w:p>
      <w:pPr>
        <w:widowControl/>
        <w:spacing w:line="360" w:lineRule="auto"/>
        <w:jc w:val="left"/>
        <w:rPr>
          <w:rFonts w:hint="eastAsia" w:ascii="Times New Roman" w:eastAsia="仿宋_GB2312"/>
          <w:b/>
          <w:sz w:val="32"/>
          <w:szCs w:val="32"/>
          <w:lang w:eastAsia="zh-CN"/>
        </w:rPr>
      </w:pPr>
      <w:r>
        <w:rPr>
          <w:rFonts w:hint="eastAsia" w:ascii="Times New Roman" w:eastAsia="仿宋_GB2312"/>
          <w:b/>
          <w:sz w:val="32"/>
          <w:szCs w:val="32"/>
          <w:lang w:eastAsia="zh-CN"/>
        </w:rPr>
        <w:drawing>
          <wp:inline distT="0" distB="0" distL="114300" distR="114300">
            <wp:extent cx="5758815" cy="5445125"/>
            <wp:effectExtent l="0" t="0" r="13335" b="3175"/>
            <wp:docPr id="21" name="图片 21" descr="截图录屏_选择区域_2026082414363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1" name="图片 21" descr="截图录屏_选择区域_20260824143634"/>
                    <pic:cNvPicPr>
                      <a:picLocks noChangeAspect="true"/>
                    </pic:cNvPicPr>
                  </pic:nvPicPr>
                  <pic:blipFill>
                    <a:blip r:embed="rId28"/>
                    <a:stretch>
                      <a:fillRect/>
                    </a:stretch>
                  </pic:blipFill>
                  <pic:spPr>
                    <a:xfrm>
                      <a:off x="0" y="0"/>
                      <a:ext cx="5758815" cy="5445125"/>
                    </a:xfrm>
                    <a:prstGeom prst="rect">
                      <a:avLst/>
                    </a:prstGeom>
                  </pic:spPr>
                </pic:pic>
              </a:graphicData>
            </a:graphic>
          </wp:inline>
        </w:drawing>
      </w:r>
    </w:p>
    <w:p>
      <w:pPr>
        <w:widowControl/>
        <w:spacing w:line="360" w:lineRule="auto"/>
        <w:jc w:val="left"/>
        <w:rPr>
          <w:rFonts w:hint="eastAsia" w:ascii="Times New Roman" w:eastAsia="仿宋_GB2312"/>
          <w:b/>
          <w:sz w:val="32"/>
          <w:szCs w:val="32"/>
          <w:lang w:eastAsia="zh-CN"/>
        </w:rPr>
      </w:pPr>
      <w:r>
        <w:rPr>
          <w:rFonts w:hint="eastAsia" w:ascii="Times New Roman" w:eastAsia="仿宋_GB2312"/>
          <w:b/>
          <w:sz w:val="32"/>
          <w:szCs w:val="32"/>
          <w:lang w:eastAsia="zh-CN"/>
        </w:rPr>
        <w:drawing>
          <wp:inline distT="0" distB="0" distL="114300" distR="114300">
            <wp:extent cx="5758180" cy="5390515"/>
            <wp:effectExtent l="0" t="0" r="13970" b="635"/>
            <wp:docPr id="22" name="图片 22" descr="截图录屏_选择区域_2026082414370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2" name="图片 22" descr="截图录屏_选择区域_20260824143707"/>
                    <pic:cNvPicPr>
                      <a:picLocks noChangeAspect="true"/>
                    </pic:cNvPicPr>
                  </pic:nvPicPr>
                  <pic:blipFill>
                    <a:blip r:embed="rId29"/>
                    <a:stretch>
                      <a:fillRect/>
                    </a:stretch>
                  </pic:blipFill>
                  <pic:spPr>
                    <a:xfrm>
                      <a:off x="0" y="0"/>
                      <a:ext cx="5758180" cy="5390515"/>
                    </a:xfrm>
                    <a:prstGeom prst="rect">
                      <a:avLst/>
                    </a:prstGeom>
                  </pic:spPr>
                </pic:pic>
              </a:graphicData>
            </a:graphic>
          </wp:inline>
        </w:drawing>
      </w:r>
    </w:p>
    <w:p>
      <w:pPr>
        <w:widowControl/>
        <w:spacing w:line="360" w:lineRule="auto"/>
        <w:jc w:val="left"/>
        <w:rPr>
          <w:rFonts w:hint="eastAsia" w:ascii="Times New Roman" w:eastAsia="仿宋_GB2312"/>
          <w:b/>
          <w:sz w:val="32"/>
          <w:szCs w:val="32"/>
          <w:lang w:eastAsia="zh-CN"/>
        </w:rPr>
      </w:pPr>
      <w:r>
        <w:rPr>
          <w:rFonts w:hint="eastAsia" w:ascii="Times New Roman" w:eastAsia="仿宋_GB2312"/>
          <w:b/>
          <w:sz w:val="32"/>
          <w:szCs w:val="32"/>
          <w:lang w:eastAsia="zh-CN"/>
        </w:rPr>
        <w:drawing>
          <wp:inline distT="0" distB="0" distL="114300" distR="114300">
            <wp:extent cx="5756275" cy="5147310"/>
            <wp:effectExtent l="0" t="0" r="15875" b="15240"/>
            <wp:docPr id="23" name="图片 23" descr="截图录屏_选择区域_2026082414384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3" name="图片 23" descr="截图录屏_选择区域_20260824143844"/>
                    <pic:cNvPicPr>
                      <a:picLocks noChangeAspect="true"/>
                    </pic:cNvPicPr>
                  </pic:nvPicPr>
                  <pic:blipFill>
                    <a:blip r:embed="rId30"/>
                    <a:stretch>
                      <a:fillRect/>
                    </a:stretch>
                  </pic:blipFill>
                  <pic:spPr>
                    <a:xfrm>
                      <a:off x="0" y="0"/>
                      <a:ext cx="5756275" cy="5147310"/>
                    </a:xfrm>
                    <a:prstGeom prst="rect">
                      <a:avLst/>
                    </a:prstGeom>
                  </pic:spPr>
                </pic:pic>
              </a:graphicData>
            </a:graphic>
          </wp:inline>
        </w:drawing>
      </w:r>
    </w:p>
    <w:p>
      <w:pPr>
        <w:widowControl/>
        <w:spacing w:line="360" w:lineRule="auto"/>
        <w:ind w:firstLine="321" w:firstLineChars="100"/>
        <w:jc w:val="left"/>
        <w:rPr>
          <w:rFonts w:ascii="Times New Roman" w:eastAsia="仿宋_GB2312"/>
          <w:sz w:val="32"/>
          <w:szCs w:val="32"/>
        </w:rPr>
      </w:pPr>
      <w:r>
        <w:rPr>
          <w:rFonts w:ascii="Times New Roman" w:eastAsia="仿宋_GB2312"/>
          <w:b/>
          <w:sz w:val="32"/>
          <w:szCs w:val="32"/>
        </w:rPr>
        <w:t>（三）</w:t>
      </w:r>
      <w:r>
        <w:rPr>
          <w:rFonts w:hint="eastAsia" w:ascii="Times New Roman" w:eastAsia="仿宋_GB2312"/>
          <w:b/>
          <w:sz w:val="32"/>
          <w:szCs w:val="32"/>
          <w:lang w:eastAsia="zh-CN"/>
        </w:rPr>
        <w:t>单位</w:t>
      </w:r>
      <w:r>
        <w:rPr>
          <w:rFonts w:ascii="Times New Roman" w:eastAsia="仿宋_GB2312"/>
          <w:b/>
          <w:sz w:val="32"/>
          <w:szCs w:val="32"/>
        </w:rPr>
        <w:t>评价项目绩效评价结果</w:t>
      </w:r>
    </w:p>
    <w:p>
      <w:pPr>
        <w:widowControl/>
        <w:spacing w:line="360" w:lineRule="auto"/>
        <w:ind w:firstLine="640" w:firstLineChars="200"/>
        <w:jc w:val="left"/>
        <w:rPr>
          <w:rFonts w:ascii="Times New Roman" w:eastAsia="仿宋_GB2312"/>
          <w:sz w:val="32"/>
          <w:szCs w:val="32"/>
        </w:rPr>
      </w:pPr>
      <w:r>
        <w:rPr>
          <w:rFonts w:hint="eastAsia" w:ascii="Times New Roman" w:eastAsia="仿宋_GB2312"/>
          <w:sz w:val="32"/>
          <w:szCs w:val="32"/>
        </w:rPr>
        <w:t>我</w:t>
      </w:r>
      <w:r>
        <w:rPr>
          <w:rFonts w:hint="eastAsia" w:ascii="Times New Roman" w:eastAsia="仿宋_GB2312"/>
          <w:sz w:val="32"/>
          <w:szCs w:val="32"/>
          <w:lang w:eastAsia="zh-CN"/>
        </w:rPr>
        <w:t>单位</w:t>
      </w:r>
      <w:r>
        <w:rPr>
          <w:rFonts w:hint="eastAsia" w:ascii="Times New Roman" w:eastAsia="仿宋_GB2312"/>
          <w:sz w:val="32"/>
          <w:szCs w:val="32"/>
        </w:rPr>
        <w:t xml:space="preserve">通过项目实施，较为圆满的完成了年初设定的各项绩效目标。 </w:t>
      </w:r>
    </w:p>
    <w:p>
      <w:pPr>
        <w:widowControl/>
        <w:spacing w:line="360" w:lineRule="auto"/>
        <w:ind w:firstLine="640" w:firstLineChars="200"/>
        <w:jc w:val="left"/>
        <w:rPr>
          <w:rFonts w:ascii="Times New Roman" w:eastAsia="黑体"/>
          <w:sz w:val="32"/>
          <w:szCs w:val="32"/>
        </w:rPr>
      </w:pPr>
      <w:r>
        <w:rPr>
          <w:rFonts w:ascii="Times New Roman" w:eastAsia="黑体"/>
          <w:sz w:val="32"/>
          <w:szCs w:val="32"/>
        </w:rPr>
        <w:t>十、其他需要说明的情况</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1.本</w:t>
      </w:r>
      <w:r>
        <w:rPr>
          <w:rFonts w:hint="eastAsia" w:ascii="Times New Roman" w:eastAsia="仿宋_GB2312"/>
          <w:sz w:val="32"/>
          <w:szCs w:val="32"/>
          <w:lang w:eastAsia="zh-CN"/>
        </w:rPr>
        <w:t>单位</w:t>
      </w:r>
      <w:r>
        <w:rPr>
          <w:rFonts w:ascii="Times New Roman" w:eastAsia="仿宋_GB2312"/>
          <w:sz w:val="32"/>
          <w:szCs w:val="32"/>
        </w:rPr>
        <w:t>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 由于决算公开表格中金额数值应当保留两位小数，公开数据为四舍五入计算结果，个别数据合计项与分项之和存在小数点后差额，特此说明。</w:t>
      </w:r>
    </w:p>
    <w:p>
      <w:pPr>
        <w:rPr>
          <w:rFonts w:ascii="Times New Roman" w:hAnsi="Times New Roman" w:eastAsia="仿宋_GB2312" w:cs="Times New Roman"/>
          <w:sz w:val="32"/>
          <w:szCs w:val="32"/>
        </w:rPr>
      </w:pPr>
      <w:r>
        <w:rPr>
          <w:rFonts w:ascii="Times New Roman" w:hAnsi="Times New Roman" w:eastAsia="仿宋_GB2312" w:cs="Times New Roman"/>
          <w:sz w:val="32"/>
          <w:szCs w:val="32"/>
        </w:rPr>
        <w:br w:type="page"/>
      </w:r>
    </w:p>
    <w:p>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line="360" w:lineRule="auto"/>
        <w:jc w:val="center"/>
        <w:outlineLvl w:val="0"/>
        <w:rPr>
          <w:rFonts w:ascii="Times New Roman" w:eastAsia="黑体"/>
          <w:sz w:val="44"/>
          <w:szCs w:val="44"/>
        </w:rPr>
      </w:pPr>
      <w:r>
        <w:rPr>
          <w:rFonts w:ascii="Times New Roman" w:eastAsia="黑体"/>
          <w:sz w:val="44"/>
          <w:szCs w:val="44"/>
        </w:rPr>
        <w:t>第四部分 名词解释</w:t>
      </w:r>
    </w:p>
    <w:p>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line="360" w:lineRule="auto"/>
        <w:ind w:firstLine="642"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sz w:val="32"/>
          <w:szCs w:val="32"/>
        </w:rPr>
        <w:t>指单位从同级财政部门取得的财政预算资金。</w:t>
      </w:r>
    </w:p>
    <w:p>
      <w:pPr>
        <w:widowControl/>
        <w:spacing w:line="360" w:lineRule="auto"/>
        <w:ind w:firstLine="642"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sz w:val="32"/>
          <w:szCs w:val="32"/>
        </w:rPr>
        <w:t>指事业单位开展专业业务活动及辅助活动取得的收入。</w:t>
      </w:r>
    </w:p>
    <w:p>
      <w:pPr>
        <w:widowControl/>
        <w:spacing w:line="360" w:lineRule="auto"/>
        <w:ind w:firstLine="642"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sz w:val="32"/>
          <w:szCs w:val="32"/>
        </w:rPr>
        <w:t>指事业单位在专业业务活动及其辅助活动之外开展非独立核算经营活动取得的收入。</w:t>
      </w:r>
    </w:p>
    <w:p>
      <w:pPr>
        <w:widowControl/>
        <w:spacing w:line="360" w:lineRule="auto"/>
        <w:ind w:firstLine="642"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sz w:val="32"/>
          <w:szCs w:val="32"/>
        </w:rPr>
        <w:t>指单位取得的除上述收入以外的各项收入。主要是事业单位固定资产出租收入、存款利息收入等。</w:t>
      </w:r>
    </w:p>
    <w:p>
      <w:pPr>
        <w:widowControl/>
        <w:spacing w:line="360" w:lineRule="auto"/>
        <w:ind w:firstLine="642"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sz w:val="32"/>
          <w:szCs w:val="32"/>
        </w:rPr>
        <w:t>指事业单位按照预算管理要求使用非财政拨款结余弥补收支差额的金额，以及使用专用结余安排支出的金额。</w:t>
      </w:r>
    </w:p>
    <w:p>
      <w:pPr>
        <w:widowControl/>
        <w:spacing w:line="360" w:lineRule="auto"/>
        <w:ind w:firstLine="642"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sz w:val="32"/>
          <w:szCs w:val="32"/>
        </w:rPr>
        <w:t>指单位以前年度尚未完成、结转到本年仍按原规定用途继续使用的资金，或项目已完成等产生的结余资金。</w:t>
      </w:r>
    </w:p>
    <w:p>
      <w:pPr>
        <w:widowControl/>
        <w:spacing w:line="360" w:lineRule="auto"/>
        <w:ind w:firstLine="642"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sz w:val="32"/>
          <w:szCs w:val="32"/>
        </w:rPr>
        <w:t>指事业单位按照会计制度规定缴纳的所得税、提取的专用结余以及转入非财政拨款结余的金额等。</w:t>
      </w:r>
    </w:p>
    <w:p>
      <w:pPr>
        <w:widowControl/>
        <w:spacing w:line="360" w:lineRule="auto"/>
        <w:ind w:firstLine="642"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sz w:val="32"/>
          <w:szCs w:val="32"/>
        </w:rPr>
        <w:t>指单位按有关规定结转到下年或以后年度继续使用的资金，或项目已完成等产生的结余资金。</w:t>
      </w:r>
    </w:p>
    <w:p>
      <w:pPr>
        <w:widowControl/>
        <w:spacing w:line="360" w:lineRule="auto"/>
        <w:ind w:firstLine="642"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sz w:val="32"/>
          <w:szCs w:val="32"/>
        </w:rPr>
        <w:t>指为保障机构正常运转、完成日常工作任务而发生的人员支出和公用支出。</w:t>
      </w:r>
    </w:p>
    <w:p>
      <w:pPr>
        <w:widowControl/>
        <w:spacing w:line="360" w:lineRule="auto"/>
        <w:ind w:firstLine="642"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sz w:val="32"/>
          <w:szCs w:val="32"/>
        </w:rPr>
        <w:t>指在基本支出之外为完成特定行政任务和事业发展目标所发生的支出。</w:t>
      </w:r>
    </w:p>
    <w:p>
      <w:pPr>
        <w:widowControl/>
        <w:spacing w:line="360" w:lineRule="auto"/>
        <w:ind w:firstLine="642"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sz w:val="32"/>
          <w:szCs w:val="32"/>
        </w:rPr>
        <w:t>指事业单位在专业业务活动及其辅助活动之外开展非独立核算经营活动发生的支出。</w:t>
      </w:r>
    </w:p>
    <w:p>
      <w:pPr>
        <w:widowControl/>
        <w:spacing w:line="360" w:lineRule="auto"/>
        <w:ind w:firstLine="642"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pPr>
        <w:widowControl/>
        <w:spacing w:line="360" w:lineRule="auto"/>
        <w:ind w:firstLine="642"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sz w:val="32"/>
          <w:szCs w:val="32"/>
        </w:rPr>
        <w:t>填列由各级非发展与改革部门集中安排的用于购置固定资产、战备性和应急性储备、土地和无形资产，以及购建基础设施、大型修缮和财政支持企业更新改造所发生的支出。</w:t>
      </w:r>
    </w:p>
    <w:p>
      <w:pPr>
        <w:widowControl/>
        <w:spacing w:line="360" w:lineRule="auto"/>
        <w:ind w:firstLine="642"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pPr>
        <w:widowControl/>
        <w:spacing w:line="360" w:lineRule="auto"/>
        <w:ind w:firstLine="642"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sz w:val="32"/>
          <w:szCs w:val="32"/>
        </w:rPr>
        <w:t>填列单位除公务用车运行维护费以外的其他交通费用。如公务交通补贴、租车费用、出租车费用，飞机、船舶等燃料费、维修费、保险费等。</w:t>
      </w:r>
    </w:p>
    <w:p>
      <w:pPr>
        <w:widowControl/>
        <w:spacing w:line="360" w:lineRule="auto"/>
        <w:ind w:firstLine="642"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sz w:val="32"/>
          <w:szCs w:val="32"/>
        </w:rPr>
        <w:t>填列单位公务用车车辆购置支出（含车辆购置税、牌照费）。</w:t>
      </w:r>
    </w:p>
    <w:p>
      <w:pPr>
        <w:widowControl/>
        <w:spacing w:line="360" w:lineRule="auto"/>
        <w:ind w:firstLine="642"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sz w:val="32"/>
          <w:szCs w:val="32"/>
        </w:rPr>
        <w:t>填列单位除公务用车外的其他各类交通工具（如船舶、飞机等）购置支出（含车辆购置税、牌照费）。</w:t>
      </w:r>
    </w:p>
    <w:p>
      <w:pPr>
        <w:widowControl/>
        <w:spacing w:line="360" w:lineRule="auto"/>
        <w:ind w:firstLine="642"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cols w:space="0" w:num="1"/>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
    <w:altName w:val="方正仿宋_GBK"/>
    <w:panose1 w:val="02010609060101010101"/>
    <w:charset w:val="86"/>
    <w:family w:val="modern"/>
    <w:pitch w:val="default"/>
    <w:sig w:usb0="00000000" w:usb1="00000000" w:usb2="00000016" w:usb3="00000000" w:csb0="00040001" w:csb1="00000000"/>
  </w:font>
  <w:font w:name="Calibri Light">
    <w:altName w:val="DejaVu Sans"/>
    <w:panose1 w:val="020F0302020204030204"/>
    <w:charset w:val="00"/>
    <w:family w:val="swiss"/>
    <w:pitch w:val="default"/>
    <w:sig w:usb0="00000000" w:usb1="00000000" w:usb2="00000000" w:usb3="00000000" w:csb0="0000019F" w:csb1="00000000"/>
  </w:font>
  <w:font w:name="华文中宋">
    <w:altName w:val="汉仪中宋简"/>
    <w:panose1 w:val="02010600040101010101"/>
    <w:charset w:val="86"/>
    <w:family w:val="auto"/>
    <w:pitch w:val="default"/>
    <w:sig w:usb0="00000000" w:usb1="00000000" w:usb2="00000010" w:usb3="00000000" w:csb0="0004009F" w:csb1="00000000"/>
  </w:font>
  <w:font w:name="方正仿宋_GB2312">
    <w:altName w:val="方正仿宋_GBK"/>
    <w:panose1 w:val="00000000000000000000"/>
    <w:charset w:val="86"/>
    <w:family w:val="auto"/>
    <w:pitch w:val="default"/>
    <w:sig w:usb0="00000000" w:usb1="00000000" w:usb2="00000012" w:usb3="00000000" w:csb0="00040001" w:csb1="00000000"/>
  </w:font>
  <w:font w:name="楷体_GB2312">
    <w:altName w:val="方正楷体_GBK"/>
    <w:panose1 w:val="00000000000000000000"/>
    <w:charset w:val="86"/>
    <w:family w:val="auto"/>
    <w:pitch w:val="default"/>
    <w:sig w:usb0="00000000" w:usb1="00000000" w:usb2="00000000" w:usb3="00000000" w:csb0="00040000" w:csb1="00000000"/>
  </w:font>
  <w:font w:name="微软雅黑">
    <w:altName w:val="方正黑体_GBK"/>
    <w:panose1 w:val="020B0503020204020204"/>
    <w:charset w:val="86"/>
    <w:family w:val="swiss"/>
    <w:pitch w:val="default"/>
    <w:sig w:usb0="00000000" w:usb1="00000000" w:usb2="00000016" w:usb3="00000000" w:csb0="0004001F" w:csb1="00000000"/>
  </w:font>
  <w:font w:name="楷体">
    <w:altName w:val="方正楷体_GBK"/>
    <w:panose1 w:val="02010609060101010101"/>
    <w:charset w:val="86"/>
    <w:family w:val="modern"/>
    <w:pitch w:val="default"/>
    <w:sig w:usb0="00000000" w:usb1="00000000" w:usb2="00000016"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altName w:val="方正仿宋_GBK"/>
    <w:panose1 w:val="00000000000000000000"/>
    <w:charset w:val="86"/>
    <w:family w:val="auto"/>
    <w:pitch w:val="default"/>
    <w:sig w:usb0="00000000" w:usb1="00000000" w:usb2="00000000" w:usb3="00000000" w:csb0="00040000" w:csb1="00000000"/>
  </w:font>
  <w:font w:name="ArialUnicodeMS">
    <w:altName w:val="Nimbus Roman No9 L"/>
    <w:panose1 w:val="00000000000000000000"/>
    <w:charset w:val="81"/>
    <w:family w:val="auto"/>
    <w:pitch w:val="default"/>
    <w:sig w:usb0="00000000" w:usb1="00000000" w:usb2="00000010" w:usb3="00000000" w:csb0="00080001" w:csb1="00000000"/>
  </w:font>
  <w:font w:name="CESI仿宋-GB2312">
    <w:panose1 w:val="02000500000000000000"/>
    <w:charset w:val="86"/>
    <w:family w:val="auto"/>
    <w:pitch w:val="default"/>
    <w:sig w:usb0="800002AF" w:usb1="084F6CF8" w:usb2="00000010" w:usb3="00000000" w:csb0="0004000F" w:csb1="00000000"/>
  </w:font>
  <w:font w:name="方正书宋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A00002BF" w:usb1="38CF7CFA" w:usb2="00082016" w:usb3="00000000" w:csb0="00040001" w:csb1="00000000"/>
  </w:font>
  <w:font w:name="Nimbus Roman No9 L">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fldChar w:fldCharType="begin"/>
    </w:r>
    <w:r>
      <w:instrText xml:space="preserve">PAGE</w:instrText>
    </w:r>
    <w:r>
      <w:fldChar w:fldCharType="separate"/>
    </w:r>
    <w:r>
      <w:t>3</w:t>
    </w:r>
    <w:r>
      <w:fldChar w:fldCharType="end"/>
    </w:r>
  </w:p>
  <w:p/>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fldChar w:fldCharType="begin"/>
    </w:r>
    <w:r>
      <w:instrText xml:space="preserve">PAGE</w:instrText>
    </w:r>
    <w:r>
      <w:fldChar w:fldCharType="separate"/>
    </w:r>
    <w:r>
      <w:t>23</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true"/>
  <w:embedTrueTypeFonts/>
  <w:saveSubsetFonts/>
  <w:bordersDoNotSurroundHeader w:val="false"/>
  <w:bordersDoNotSurroundFooter w:val="false"/>
  <w:documentProtection w:enforcement="0"/>
  <w:defaultTabStop w:val="420"/>
  <w:drawingGridVerticalSpacing w:val="165"/>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0868BF"/>
    <w:rsid w:val="000E1CA9"/>
    <w:rsid w:val="00172A27"/>
    <w:rsid w:val="00236F8C"/>
    <w:rsid w:val="004E65FE"/>
    <w:rsid w:val="00822154"/>
    <w:rsid w:val="00C65689"/>
    <w:rsid w:val="00CC2C8E"/>
    <w:rsid w:val="00DA1AB2"/>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D76313"/>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1680E"/>
    <w:rsid w:val="1DF60A19"/>
    <w:rsid w:val="1DFA6713"/>
    <w:rsid w:val="1E050843"/>
    <w:rsid w:val="1E2D3FB0"/>
    <w:rsid w:val="1E2E50F1"/>
    <w:rsid w:val="1E3B4E26"/>
    <w:rsid w:val="1E5F044D"/>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1A5F8"/>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6DD12B4"/>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9FF2C88"/>
    <w:rsid w:val="3A2510B9"/>
    <w:rsid w:val="3A2B0CF2"/>
    <w:rsid w:val="3A2B1DFC"/>
    <w:rsid w:val="3A7B8311"/>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CDDB497"/>
    <w:rsid w:val="3D446B0E"/>
    <w:rsid w:val="3D745844"/>
    <w:rsid w:val="3D8626D0"/>
    <w:rsid w:val="3D8C1AA8"/>
    <w:rsid w:val="3D953A6B"/>
    <w:rsid w:val="3DBB5979"/>
    <w:rsid w:val="3DD56F21"/>
    <w:rsid w:val="3DEF6699"/>
    <w:rsid w:val="3DFBCC2F"/>
    <w:rsid w:val="3E1057AF"/>
    <w:rsid w:val="3E6C0DFA"/>
    <w:rsid w:val="3E740322"/>
    <w:rsid w:val="3E7F4380"/>
    <w:rsid w:val="3E8D171B"/>
    <w:rsid w:val="3EA5630D"/>
    <w:rsid w:val="3EBA731B"/>
    <w:rsid w:val="3EE33949"/>
    <w:rsid w:val="3EFB5800"/>
    <w:rsid w:val="3EFDB452"/>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4FF2FDCC"/>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BE2B3F"/>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7D3A4D5"/>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9EFD2B8"/>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5B8CA4"/>
    <w:rsid w:val="5D9217C2"/>
    <w:rsid w:val="5DAD06BF"/>
    <w:rsid w:val="5DC7559E"/>
    <w:rsid w:val="5DC92CE9"/>
    <w:rsid w:val="5DDD6DA8"/>
    <w:rsid w:val="5DE23CB3"/>
    <w:rsid w:val="5DE97EEC"/>
    <w:rsid w:val="5DFA5EB0"/>
    <w:rsid w:val="5DFA85C6"/>
    <w:rsid w:val="5E000E4D"/>
    <w:rsid w:val="5E0B583E"/>
    <w:rsid w:val="5E201A7B"/>
    <w:rsid w:val="5E6C8E6C"/>
    <w:rsid w:val="5EA45884"/>
    <w:rsid w:val="5EBD0484"/>
    <w:rsid w:val="5EFFA702"/>
    <w:rsid w:val="5F2C5C7C"/>
    <w:rsid w:val="5F36141C"/>
    <w:rsid w:val="5F7A080B"/>
    <w:rsid w:val="5FC5273F"/>
    <w:rsid w:val="5FD64459"/>
    <w:rsid w:val="5FDA707A"/>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3FF930D"/>
    <w:rsid w:val="64095516"/>
    <w:rsid w:val="641A2468"/>
    <w:rsid w:val="64372F20"/>
    <w:rsid w:val="645F364B"/>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9FE50F"/>
    <w:rsid w:val="6CAE4C93"/>
    <w:rsid w:val="6CB14F16"/>
    <w:rsid w:val="6CEC2069"/>
    <w:rsid w:val="6CFFA098"/>
    <w:rsid w:val="6D0B1869"/>
    <w:rsid w:val="6D65402D"/>
    <w:rsid w:val="6D683822"/>
    <w:rsid w:val="6D8D136C"/>
    <w:rsid w:val="6DBF2759"/>
    <w:rsid w:val="6DC96F36"/>
    <w:rsid w:val="6DED00D0"/>
    <w:rsid w:val="6DFA3EBF"/>
    <w:rsid w:val="6E3E63D2"/>
    <w:rsid w:val="6E5F7BE6"/>
    <w:rsid w:val="6E6918C6"/>
    <w:rsid w:val="6EBF1FE2"/>
    <w:rsid w:val="6EEB4AC4"/>
    <w:rsid w:val="6F212DD6"/>
    <w:rsid w:val="6F3B5912"/>
    <w:rsid w:val="6F66725E"/>
    <w:rsid w:val="6FA14A81"/>
    <w:rsid w:val="6FA3261F"/>
    <w:rsid w:val="6FB44BAA"/>
    <w:rsid w:val="6FF7F6BF"/>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3FF940"/>
    <w:rsid w:val="76510960"/>
    <w:rsid w:val="768216BE"/>
    <w:rsid w:val="76C23B43"/>
    <w:rsid w:val="76D3D0E4"/>
    <w:rsid w:val="76EA9FD4"/>
    <w:rsid w:val="76FD6F97"/>
    <w:rsid w:val="770218E8"/>
    <w:rsid w:val="779469CE"/>
    <w:rsid w:val="779B8BF9"/>
    <w:rsid w:val="77C875A5"/>
    <w:rsid w:val="77D777E8"/>
    <w:rsid w:val="77EF028A"/>
    <w:rsid w:val="78A27DF6"/>
    <w:rsid w:val="79285B3A"/>
    <w:rsid w:val="79490B03"/>
    <w:rsid w:val="79625CA9"/>
    <w:rsid w:val="79A91196"/>
    <w:rsid w:val="7A0B32D3"/>
    <w:rsid w:val="7AC13CD3"/>
    <w:rsid w:val="7AE10264"/>
    <w:rsid w:val="7AE4248E"/>
    <w:rsid w:val="7B4A207F"/>
    <w:rsid w:val="7B4E2F43"/>
    <w:rsid w:val="7B7122A7"/>
    <w:rsid w:val="7B936F45"/>
    <w:rsid w:val="7BA47419"/>
    <w:rsid w:val="7BB10D45"/>
    <w:rsid w:val="7BB44151"/>
    <w:rsid w:val="7BBFBE62"/>
    <w:rsid w:val="7BFF047B"/>
    <w:rsid w:val="7C067CC4"/>
    <w:rsid w:val="7C656A39"/>
    <w:rsid w:val="7C9369C0"/>
    <w:rsid w:val="7CAE7D7C"/>
    <w:rsid w:val="7CB93996"/>
    <w:rsid w:val="7CBE0F99"/>
    <w:rsid w:val="7D2D564D"/>
    <w:rsid w:val="7D4E45F1"/>
    <w:rsid w:val="7D8D937D"/>
    <w:rsid w:val="7DFB6D82"/>
    <w:rsid w:val="7E1D71D1"/>
    <w:rsid w:val="7E246254"/>
    <w:rsid w:val="7E553215"/>
    <w:rsid w:val="7E6D090F"/>
    <w:rsid w:val="7E7E2263"/>
    <w:rsid w:val="7ECC66B2"/>
    <w:rsid w:val="7EE412CA"/>
    <w:rsid w:val="7EEE38B7"/>
    <w:rsid w:val="7F2914C3"/>
    <w:rsid w:val="7F3E4883"/>
    <w:rsid w:val="7F5F2ED6"/>
    <w:rsid w:val="7F77D3BE"/>
    <w:rsid w:val="7F79B32A"/>
    <w:rsid w:val="7F9F38D9"/>
    <w:rsid w:val="7FA837EF"/>
    <w:rsid w:val="7FC36955"/>
    <w:rsid w:val="7FE903A0"/>
    <w:rsid w:val="7FF07065"/>
    <w:rsid w:val="7FF7E958"/>
    <w:rsid w:val="7FF97946"/>
    <w:rsid w:val="7FFC9C21"/>
    <w:rsid w:val="7FFD2495"/>
    <w:rsid w:val="7FFDFFE3"/>
    <w:rsid w:val="7FFE7888"/>
    <w:rsid w:val="9D633749"/>
    <w:rsid w:val="9FAF7721"/>
    <w:rsid w:val="9FF52E20"/>
    <w:rsid w:val="ADFDA137"/>
    <w:rsid w:val="AFEF8F3C"/>
    <w:rsid w:val="AFFBD011"/>
    <w:rsid w:val="B77CDB71"/>
    <w:rsid w:val="BA6EFFE4"/>
    <w:rsid w:val="BA9B53EC"/>
    <w:rsid w:val="BAFF09F3"/>
    <w:rsid w:val="BE33D6EA"/>
    <w:rsid w:val="BEDF7198"/>
    <w:rsid w:val="BF34BA0D"/>
    <w:rsid w:val="BF670BCF"/>
    <w:rsid w:val="BF6713C4"/>
    <w:rsid w:val="BF67B314"/>
    <w:rsid w:val="BF7FEDEE"/>
    <w:rsid w:val="BF9D20A0"/>
    <w:rsid w:val="BFED01DA"/>
    <w:rsid w:val="BFFBFB8B"/>
    <w:rsid w:val="BFFDD30C"/>
    <w:rsid w:val="C9EE7A09"/>
    <w:rsid w:val="CDBD7008"/>
    <w:rsid w:val="CEFD89ED"/>
    <w:rsid w:val="CF5FDA87"/>
    <w:rsid w:val="CFE2B7DC"/>
    <w:rsid w:val="D13F44FE"/>
    <w:rsid w:val="D6ED260E"/>
    <w:rsid w:val="D7EF0DC8"/>
    <w:rsid w:val="DBBE258B"/>
    <w:rsid w:val="DBEFEE9A"/>
    <w:rsid w:val="DEF3AD2A"/>
    <w:rsid w:val="DEFE35CF"/>
    <w:rsid w:val="E73CD874"/>
    <w:rsid w:val="E7FFB42F"/>
    <w:rsid w:val="EA9F44D6"/>
    <w:rsid w:val="EBBF569E"/>
    <w:rsid w:val="ECC2A00B"/>
    <w:rsid w:val="EEB2F3D6"/>
    <w:rsid w:val="EEEDDE3D"/>
    <w:rsid w:val="EFD3B4D8"/>
    <w:rsid w:val="EFEF1D5A"/>
    <w:rsid w:val="EFEF8E90"/>
    <w:rsid w:val="EFEFC209"/>
    <w:rsid w:val="EFFF8E8F"/>
    <w:rsid w:val="F0BD016C"/>
    <w:rsid w:val="F3773D7D"/>
    <w:rsid w:val="F5BF909D"/>
    <w:rsid w:val="F7B7D518"/>
    <w:rsid w:val="F93EE479"/>
    <w:rsid w:val="F9DF168C"/>
    <w:rsid w:val="FB739467"/>
    <w:rsid w:val="FBD77C62"/>
    <w:rsid w:val="FD7EC4D1"/>
    <w:rsid w:val="FD7F8BED"/>
    <w:rsid w:val="FDDCB433"/>
    <w:rsid w:val="FDFF75BF"/>
    <w:rsid w:val="FECA46F6"/>
    <w:rsid w:val="FECB9154"/>
    <w:rsid w:val="FEFD6D88"/>
    <w:rsid w:val="FEFF1A5E"/>
    <w:rsid w:val="FF375A94"/>
    <w:rsid w:val="FFDDC2EB"/>
    <w:rsid w:val="FFED6636"/>
    <w:rsid w:val="FFEDB345"/>
    <w:rsid w:val="FFEF10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numPr>
        <w:ilvl w:val="1"/>
        <w:numId w:val="1"/>
      </w:numPr>
      <w:spacing w:line="416" w:lineRule="auto"/>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Autospacing="1" w:afterAutospacing="1"/>
      <w:jc w:val="left"/>
    </w:pPr>
    <w:rPr>
      <w:rFonts w:cs="Times New Roman"/>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字符"/>
    <w:link w:val="3"/>
    <w:qFormat/>
    <w:uiPriority w:val="0"/>
    <w:rPr>
      <w:rFonts w:ascii="Calibri Light" w:hAnsi="Calibri Light" w:eastAsia="宋体" w:cs="Times New Roman"/>
      <w:b/>
      <w:bCs/>
      <w:sz w:val="28"/>
      <w:szCs w:val="32"/>
    </w:rPr>
  </w:style>
  <w:style w:type="character" w:customStyle="1" w:styleId="16">
    <w:name w:val="页脚 字符"/>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字符"/>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字符"/>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3" Type="http://schemas.openxmlformats.org/officeDocument/2006/relationships/fontTable" Target="fontTable.xml"/><Relationship Id="rId32" Type="http://schemas.openxmlformats.org/officeDocument/2006/relationships/numbering" Target="numbering.xml"/><Relationship Id="rId31" Type="http://schemas.openxmlformats.org/officeDocument/2006/relationships/customXml" Target="../customXml/item1.xml"/><Relationship Id="rId30" Type="http://schemas.openxmlformats.org/officeDocument/2006/relationships/image" Target="media/image16.png"/><Relationship Id="rId3" Type="http://schemas.openxmlformats.org/officeDocument/2006/relationships/header" Target="header1.xml"/><Relationship Id="rId29" Type="http://schemas.openxmlformats.org/officeDocument/2006/relationships/image" Target="media/image15.png"/><Relationship Id="rId28" Type="http://schemas.openxmlformats.org/officeDocument/2006/relationships/image" Target="media/image14.png"/><Relationship Id="rId27" Type="http://schemas.openxmlformats.org/officeDocument/2006/relationships/image" Target="media/image13.png"/><Relationship Id="rId26" Type="http://schemas.openxmlformats.org/officeDocument/2006/relationships/image" Target="media/image12.png"/><Relationship Id="rId25" Type="http://schemas.openxmlformats.org/officeDocument/2006/relationships/image" Target="media/image11.png"/><Relationship Id="rId24" Type="http://schemas.openxmlformats.org/officeDocument/2006/relationships/image" Target="media/image10.png"/><Relationship Id="rId23" Type="http://schemas.openxmlformats.org/officeDocument/2006/relationships/image" Target="media/image9.png"/><Relationship Id="rId22" Type="http://schemas.openxmlformats.org/officeDocument/2006/relationships/image" Target="media/image8.png"/><Relationship Id="rId21" Type="http://schemas.openxmlformats.org/officeDocument/2006/relationships/image" Target="media/image7.png"/><Relationship Id="rId20" Type="http://schemas.openxmlformats.org/officeDocument/2006/relationships/image" Target="media/image6.png"/><Relationship Id="rId2" Type="http://schemas.openxmlformats.org/officeDocument/2006/relationships/settings" Target="settings.xml"/><Relationship Id="rId19" Type="http://schemas.openxmlformats.org/officeDocument/2006/relationships/image" Target="media/image5.png"/><Relationship Id="rId18" Type="http://schemas.openxmlformats.org/officeDocument/2006/relationships/image" Target="media/image4.png"/><Relationship Id="rId17" Type="http://schemas.openxmlformats.org/officeDocument/2006/relationships/image" Target="media/image3.png"/><Relationship Id="rId16" Type="http://schemas.openxmlformats.org/officeDocument/2006/relationships/image" Target="media/image2.png"/><Relationship Id="rId15" Type="http://schemas.openxmlformats.org/officeDocument/2006/relationships/chart" Target="charts/chart5.xml"/><Relationship Id="rId14" Type="http://schemas.openxmlformats.org/officeDocument/2006/relationships/chart" Target="charts/chart4.xml"/><Relationship Id="rId13" Type="http://schemas.openxmlformats.org/officeDocument/2006/relationships/chart" Target="charts/chart3.xml"/><Relationship Id="rId12" Type="http://schemas.openxmlformats.org/officeDocument/2006/relationships/chart" Target="charts/chart2.xml"/><Relationship Id="rId11" Type="http://schemas.openxmlformats.org/officeDocument/2006/relationships/chart" Target="charts/chart1.xml"/><Relationship Id="rId10" Type="http://schemas.openxmlformats.org/officeDocument/2006/relationships/image" Target="media/image1.jpeg"/><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2.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3.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4.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5.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chart1.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false"/>
      <c:spPr>
        <a:noFill/>
        <a:ln>
          <a:noFill/>
        </a:ln>
        <a:effectLst/>
      </c:spPr>
    </c:title>
    <c:autoTitleDeleted val="false"/>
    <c:plotArea>
      <c:layout/>
      <c:barChart>
        <c:barDir val="col"/>
        <c:grouping val="clustered"/>
        <c:varyColors val="false"/>
        <c:ser>
          <c:idx val="0"/>
          <c:order val="0"/>
          <c:tx>
            <c:strRef>
              <c:f>Sheet1!$B$1</c:f>
              <c:strCache>
                <c:ptCount val="1"/>
                <c:pt idx="0">
                  <c:v>收支总计</c:v>
                </c:pt>
              </c:strCache>
            </c:strRef>
          </c:tx>
          <c:spPr>
            <a:solidFill>
              <a:schemeClr val="accent1"/>
            </a:solidFill>
            <a:ln>
              <a:noFill/>
            </a:ln>
            <a:effectLst/>
          </c:spPr>
          <c:invertIfNegative val="false"/>
          <c:dLbls>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2699.2</c:v>
                </c:pt>
                <c:pt idx="1">
                  <c:v>6783.78</c:v>
                </c:pt>
              </c:numCache>
            </c:numRef>
          </c:val>
        </c:ser>
        <c:dLbls>
          <c:showLegendKey val="false"/>
          <c:showVal val="true"/>
          <c:showCatName val="false"/>
          <c:showSerName val="false"/>
          <c:showPercent val="false"/>
          <c:showBubbleSize val="false"/>
        </c:dLbls>
        <c:gapWidth val="246"/>
        <c:overlap val="-28"/>
        <c:axId val="817088452"/>
        <c:axId val="587069473"/>
      </c:barChart>
      <c:catAx>
        <c:axId val="817088452"/>
        <c:scaling>
          <c:orientation val="minMax"/>
        </c:scaling>
        <c:delete val="false"/>
        <c:axPos val="b"/>
        <c:numFmt formatCode="General" sourceLinked="false"/>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true"/>
        <c:lblAlgn val="ctr"/>
        <c:lblOffset val="100"/>
        <c:noMultiLvlLbl val="false"/>
      </c:catAx>
      <c:valAx>
        <c:axId val="587069473"/>
        <c:scaling>
          <c:orientation val="minMax"/>
        </c:scaling>
        <c:delete val="false"/>
        <c:axPos val="l"/>
        <c:majorGridlines>
          <c:spPr>
            <a:ln w="9525" cap="flat" cmpd="sng" algn="ctr">
              <a:solidFill>
                <a:schemeClr val="lt1">
                  <a:lumMod val="90200"/>
                </a:schemeClr>
              </a:solidFill>
              <a:round/>
            </a:ln>
            <a:effectLst/>
          </c:spPr>
        </c:majorGridlines>
        <c:numFmt formatCode="General" sourceLinked="true"/>
        <c:majorTickMark val="none"/>
        <c:minorTickMark val="none"/>
        <c:tickLblPos val="nextTo"/>
        <c:spPr>
          <a:noFill/>
          <a:ln>
            <a:noFill/>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false"/>
      <c:spPr>
        <a:noFill/>
        <a:ln>
          <a:noFill/>
        </a:ln>
        <a:effectLst/>
      </c:spPr>
    </c:title>
    <c:autoTitleDeleted val="false"/>
    <c:plotArea>
      <c:layout/>
      <c:pieChart>
        <c:varyColors val="true"/>
        <c:ser>
          <c:idx val="0"/>
          <c:order val="0"/>
          <c:tx>
            <c:strRef>
              <c:f>Sheet1!$B$1</c:f>
              <c:strCache>
                <c:ptCount val="1"/>
                <c:pt idx="0">
                  <c:v>金额</c:v>
                </c:pt>
              </c:strCache>
            </c:strRef>
          </c:tx>
          <c:spPr/>
          <c:explosion val="0"/>
          <c:dPt>
            <c:idx val="0"/>
            <c:bubble3D val="false"/>
            <c:spPr>
              <a:solidFill>
                <a:schemeClr val="accent1"/>
              </a:solidFill>
              <a:ln>
                <a:solidFill>
                  <a:schemeClr val="bg1"/>
                </a:solidFill>
              </a:ln>
              <a:effectLst/>
            </c:spPr>
          </c:dPt>
          <c:dPt>
            <c:idx val="1"/>
            <c:bubble3D val="false"/>
            <c:spPr>
              <a:solidFill>
                <a:schemeClr val="accent2"/>
              </a:solidFill>
              <a:ln>
                <a:solidFill>
                  <a:schemeClr val="bg1"/>
                </a:solidFill>
              </a:ln>
              <a:effectLst/>
            </c:spPr>
          </c:dPt>
          <c:dPt>
            <c:idx val="2"/>
            <c:bubble3D val="false"/>
            <c:spPr>
              <a:solidFill>
                <a:schemeClr val="accent3"/>
              </a:solidFill>
              <a:ln>
                <a:solidFill>
                  <a:schemeClr val="bg1"/>
                </a:solidFill>
              </a:ln>
              <a:effectLst/>
            </c:spPr>
          </c:dPt>
          <c:dPt>
            <c:idx val="3"/>
            <c:bubble3D val="false"/>
            <c:spPr>
              <a:solidFill>
                <a:schemeClr val="accent4"/>
              </a:solidFill>
              <a:ln>
                <a:solidFill>
                  <a:schemeClr val="bg1"/>
                </a:solidFill>
              </a:ln>
              <a:effectLst/>
            </c:spPr>
          </c:dPt>
          <c:dPt>
            <c:idx val="4"/>
            <c:bubble3D val="false"/>
            <c:spPr>
              <a:solidFill>
                <a:schemeClr val="accent5"/>
              </a:solidFill>
              <a:ln>
                <a:solidFill>
                  <a:schemeClr val="bg1"/>
                </a:solidFill>
              </a:ln>
              <a:effectLst/>
            </c:spPr>
          </c:dPt>
          <c:dPt>
            <c:idx val="5"/>
            <c:bubble3D val="false"/>
            <c:spPr>
              <a:solidFill>
                <a:schemeClr val="accent6"/>
              </a:solidFill>
              <a:ln>
                <a:solidFill>
                  <a:schemeClr val="bg1"/>
                </a:solidFill>
              </a:ln>
              <a:effectLst/>
            </c:spPr>
          </c:dPt>
          <c:dLbls>
            <c:dLbl>
              <c:idx val="0"/>
              <c:layout>
                <c:manualLayout>
                  <c:x val="0.320125539403024"/>
                  <c:y val="0.726907139821478"/>
                </c:manualLayout>
              </c:layout>
              <c:dLblPos val="bestFit"/>
              <c:showLegendKey val="true"/>
              <c:showVal val="false"/>
              <c:showCatName val="true"/>
              <c:showSerName val="false"/>
              <c:showPercent val="true"/>
              <c:showBubbleSize val="false"/>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true"/>
              <c:showVal val="false"/>
              <c:showCatName val="true"/>
              <c:showSerName val="false"/>
              <c:showPercent val="true"/>
              <c:showBubbleSize val="false"/>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true"/>
              <c:showVal val="false"/>
              <c:showCatName val="true"/>
              <c:showSerName val="false"/>
              <c:showPercent val="true"/>
              <c:showBubbleSize val="false"/>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true"/>
              <c:showVal val="false"/>
              <c:showCatName val="true"/>
              <c:showSerName val="false"/>
              <c:showPercent val="true"/>
              <c:showBubbleSize val="false"/>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true"/>
              <c:showVal val="false"/>
              <c:showCatName val="true"/>
              <c:showSerName val="false"/>
              <c:showPercent val="true"/>
              <c:showBubbleSize val="false"/>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true"/>
              <c:showVal val="false"/>
              <c:showCatName val="true"/>
              <c:showSerName val="false"/>
              <c:showPercent val="true"/>
              <c:showBubbleSize val="false"/>
              <c:separator> </c:separator>
              <c:extLst>
                <c:ext xmlns:c15="http://schemas.microsoft.com/office/drawing/2012/chart" uri="{CE6537A1-D6FC-4f65-9D91-7224C49458BB}">
                  <c15:layout>
                    <c:manualLayout>
                      <c:w val="0.19545300797294"/>
                      <c:h val="0.110922226944326"/>
                    </c:manualLayout>
                  </c15:layout>
                </c:ext>
              </c:extLst>
            </c:dLbl>
            <c:numFmt formatCode="0.0%" sourceLinked="false"/>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true"/>
            <c:showVal val="false"/>
            <c:showCatName val="true"/>
            <c:showSerName val="false"/>
            <c:showPercent val="true"/>
            <c:showBubbleSize val="false"/>
            <c:separator> </c:separator>
            <c:showLeaderLines val="tru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26992033.89</c:v>
                </c:pt>
                <c:pt idx="1">
                  <c:v>0</c:v>
                </c:pt>
                <c:pt idx="2">
                  <c:v>0</c:v>
                </c:pt>
                <c:pt idx="3">
                  <c:v>0</c:v>
                </c:pt>
                <c:pt idx="4">
                  <c:v>0</c:v>
                </c:pt>
                <c:pt idx="5">
                  <c:v>0</c:v>
                </c:pt>
              </c:numCache>
            </c:numRef>
          </c:val>
        </c:ser>
        <c:dLbls>
          <c:showLegendKey val="false"/>
          <c:showVal val="true"/>
          <c:showCatName val="false"/>
          <c:showSerName val="false"/>
          <c:showPercent val="false"/>
          <c:showBubbleSize val="false"/>
          <c:showLeaderLines val="true"/>
        </c:dLbls>
        <c:firstSliceAng val="0"/>
      </c:pieChart>
      <c:spPr>
        <a:noFill/>
        <a:ln>
          <a:noFill/>
        </a:ln>
        <a:effectLst/>
      </c:spPr>
    </c:plotArea>
    <c:legend>
      <c:legendPos val="r"/>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false"/>
      <c:spPr>
        <a:noFill/>
        <a:ln>
          <a:noFill/>
        </a:ln>
        <a:effectLst/>
      </c:spPr>
    </c:title>
    <c:autoTitleDeleted val="false"/>
    <c:plotArea>
      <c:layout>
        <c:manualLayout>
          <c:layoutTarget val="inner"/>
          <c:xMode val="edge"/>
          <c:yMode val="edge"/>
          <c:x val="0.298441652573085"/>
          <c:y val="0.225244368890778"/>
          <c:w val="0.412297656438753"/>
          <c:h val="0.725244368890778"/>
        </c:manualLayout>
      </c:layout>
      <c:pieChart>
        <c:varyColors val="true"/>
        <c:ser>
          <c:idx val="0"/>
          <c:order val="0"/>
          <c:tx>
            <c:strRef>
              <c:f>Sheet1!$B$1</c:f>
              <c:strCache>
                <c:ptCount val="1"/>
                <c:pt idx="0">
                  <c:v>金额</c:v>
                </c:pt>
              </c:strCache>
            </c:strRef>
          </c:tx>
          <c:spPr/>
          <c:explosion val="0"/>
          <c:dPt>
            <c:idx val="0"/>
            <c:bubble3D val="false"/>
            <c:spPr>
              <a:solidFill>
                <a:schemeClr val="accent1"/>
              </a:solidFill>
              <a:ln>
                <a:solidFill>
                  <a:schemeClr val="bg1"/>
                </a:solidFill>
              </a:ln>
              <a:effectLst/>
            </c:spPr>
          </c:dPt>
          <c:dPt>
            <c:idx val="1"/>
            <c:bubble3D val="false"/>
            <c:spPr>
              <a:solidFill>
                <a:schemeClr val="accent2"/>
              </a:solidFill>
              <a:ln>
                <a:solidFill>
                  <a:schemeClr val="bg1"/>
                </a:solidFill>
              </a:ln>
              <a:effectLst/>
            </c:spPr>
          </c:dPt>
          <c:dPt>
            <c:idx val="2"/>
            <c:bubble3D val="false"/>
            <c:spPr>
              <a:solidFill>
                <a:schemeClr val="accent3"/>
              </a:solidFill>
              <a:ln>
                <a:solidFill>
                  <a:schemeClr val="bg1"/>
                </a:solidFill>
              </a:ln>
              <a:effectLst/>
            </c:spPr>
          </c:dPt>
          <c:dPt>
            <c:idx val="3"/>
            <c:bubble3D val="false"/>
            <c:spPr>
              <a:solidFill>
                <a:schemeClr val="accent4"/>
              </a:solidFill>
              <a:ln>
                <a:solidFill>
                  <a:schemeClr val="bg1"/>
                </a:solidFill>
              </a:ln>
              <a:effectLst/>
            </c:spPr>
          </c:dPt>
          <c:dPt>
            <c:idx val="4"/>
            <c:bubble3D val="false"/>
            <c:spPr>
              <a:solidFill>
                <a:schemeClr val="accent5"/>
              </a:solidFill>
              <a:ln>
                <a:solidFill>
                  <a:schemeClr val="bg1"/>
                </a:solidFill>
              </a:ln>
              <a:effectLst/>
            </c:spPr>
          </c:dPt>
          <c:dLbls>
            <c:dLbl>
              <c:idx val="0"/>
              <c:layout>
                <c:manualLayout>
                  <c:x val="-0.28690513020387"/>
                  <c:y val="0.199835316617064"/>
                </c:manualLayout>
              </c:layout>
              <c:dLblPos val="bestFit"/>
              <c:showLegendKey val="true"/>
              <c:showVal val="false"/>
              <c:showCatName val="true"/>
              <c:showSerName val="false"/>
              <c:showPercent val="true"/>
              <c:showBubbleSize val="false"/>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true"/>
              <c:showVal val="false"/>
              <c:showCatName val="true"/>
              <c:showSerName val="false"/>
              <c:showPercent val="true"/>
              <c:showBubbleSize val="false"/>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true"/>
              <c:showVal val="false"/>
              <c:showCatName val="true"/>
              <c:showSerName val="false"/>
              <c:showPercent val="true"/>
              <c:showBubbleSize val="false"/>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true"/>
              <c:showVal val="false"/>
              <c:showCatName val="true"/>
              <c:showSerName val="false"/>
              <c:showPercent val="true"/>
              <c:showBubbleSize val="false"/>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true"/>
              <c:showVal val="false"/>
              <c:showCatName val="true"/>
              <c:showSerName val="false"/>
              <c:showPercent val="true"/>
              <c:showBubbleSize val="false"/>
              <c:separator> </c:separator>
              <c:extLst>
                <c:ext xmlns:c15="http://schemas.microsoft.com/office/drawing/2012/chart" uri="{CE6537A1-D6FC-4f65-9D91-7224C49458BB}">
                  <c15:layout/>
                </c:ext>
              </c:extLst>
            </c:dLbl>
            <c:numFmt formatCode="0.0%" sourceLinked="false"/>
            <c:spPr>
              <a:noFill/>
              <a:ln>
                <a:noFill/>
              </a:ln>
              <a:effectLst/>
            </c:spPr>
            <c:txPr>
              <a:bodyPr rot="0" spcFirstLastPara="0" vertOverflow="ellipsis" vert="horz" wrap="none" lIns="0" tIns="0" rIns="0" bIns="0" anchor="ctr" anchorCtr="true"/>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true"/>
            <c:showVal val="false"/>
            <c:showCatName val="true"/>
            <c:showSerName val="false"/>
            <c:showPercent val="true"/>
            <c:showBubbleSize val="false"/>
            <c:separator> </c:separator>
            <c:showLeaderLines val="tru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10630261.49</c:v>
                </c:pt>
                <c:pt idx="1">
                  <c:v>16361772.4</c:v>
                </c:pt>
                <c:pt idx="2">
                  <c:v>0</c:v>
                </c:pt>
                <c:pt idx="3">
                  <c:v>0</c:v>
                </c:pt>
                <c:pt idx="4">
                  <c:v>0</c:v>
                </c:pt>
              </c:numCache>
            </c:numRef>
          </c:val>
        </c:ser>
        <c:dLbls>
          <c:showLegendKey val="false"/>
          <c:showVal val="true"/>
          <c:showCatName val="false"/>
          <c:showSerName val="false"/>
          <c:showPercent val="false"/>
          <c:showBubbleSize val="false"/>
          <c:showLeaderLines val="true"/>
        </c:dLbls>
        <c:firstSliceAng val="0"/>
      </c:pieChart>
      <c:spPr>
        <a:noFill/>
        <a:ln>
          <a:noFill/>
        </a:ln>
        <a:effectLst/>
      </c:spPr>
    </c:plotArea>
    <c:legend>
      <c:legendPos val="t"/>
      <c:legendEntry>
        <c:idx val="0"/>
        <c:txPr>
          <a:bodyPr rot="0" spcFirstLastPara="0" vertOverflow="ellipsis" vert="horz" wrap="square" anchor="ctr" anchorCtr="true"/>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true"/>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true"/>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true"/>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true"/>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false"/>
      <c:spPr>
        <a:noFill/>
        <a:ln>
          <a:noFill/>
        </a:ln>
        <a:effectLst/>
      </c:spPr>
      <c:txPr>
        <a:bodyPr rot="0" spcFirstLastPara="0" vertOverflow="ellipsis" vert="horz" wrap="square" anchor="ctr" anchorCtr="true"/>
        <a:lstStyle/>
        <a:p>
          <a:pPr>
            <a:defRPr lang="zh-CN" sz="8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false"/>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false"/>
      <c:spPr>
        <a:noFill/>
        <a:ln>
          <a:noFill/>
        </a:ln>
        <a:effectLst/>
      </c:spPr>
    </c:title>
    <c:autoTitleDeleted val="false"/>
    <c:plotArea>
      <c:layout/>
      <c:barChart>
        <c:barDir val="col"/>
        <c:grouping val="clustered"/>
        <c:varyColors val="false"/>
        <c:ser>
          <c:idx val="0"/>
          <c:order val="0"/>
          <c:tx>
            <c:strRef>
              <c:f>Sheet1!$B$1</c:f>
              <c:strCache>
                <c:ptCount val="1"/>
                <c:pt idx="0">
                  <c:v>2024年</c:v>
                </c:pt>
              </c:strCache>
            </c:strRef>
          </c:tx>
          <c:spPr>
            <a:solidFill>
              <a:schemeClr val="accent1"/>
            </a:solidFill>
            <a:ln>
              <a:noFill/>
            </a:ln>
            <a:effectLst/>
          </c:spPr>
          <c:invertIfNegative val="false"/>
          <c:dLbls>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6783.78</c:v>
                </c:pt>
                <c:pt idx="1">
                  <c:v>6783.78</c:v>
                </c:pt>
                <c:pt idx="2">
                  <c:v>6783.78</c:v>
                </c:pt>
                <c:pt idx="3">
                  <c:v>6783.78</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false"/>
          <c:dLbls>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2699.2</c:v>
                </c:pt>
                <c:pt idx="1">
                  <c:v>2699.2</c:v>
                </c:pt>
                <c:pt idx="2">
                  <c:v>2699.2</c:v>
                </c:pt>
                <c:pt idx="3">
                  <c:v>2699.2</c:v>
                </c:pt>
                <c:pt idx="4">
                  <c:v>0</c:v>
                </c:pt>
                <c:pt idx="5">
                  <c:v>0</c:v>
                </c:pt>
                <c:pt idx="6">
                  <c:v>0</c:v>
                </c:pt>
                <c:pt idx="7">
                  <c:v>0</c:v>
                </c:pt>
              </c:numCache>
            </c:numRef>
          </c:val>
        </c:ser>
        <c:dLbls>
          <c:showLegendKey val="false"/>
          <c:showVal val="true"/>
          <c:showCatName val="false"/>
          <c:showSerName val="false"/>
          <c:showPercent val="false"/>
          <c:showBubbleSize val="false"/>
        </c:dLbls>
        <c:gapWidth val="246"/>
        <c:overlap val="-28"/>
        <c:axId val="40225855"/>
        <c:axId val="660958640"/>
      </c:barChart>
      <c:catAx>
        <c:axId val="40225855"/>
        <c:scaling>
          <c:orientation val="minMax"/>
        </c:scaling>
        <c:delete val="false"/>
        <c:axPos val="b"/>
        <c:numFmt formatCode="General" sourceLinked="false"/>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true"/>
        <c:lblAlgn val="ctr"/>
        <c:lblOffset val="100"/>
        <c:noMultiLvlLbl val="false"/>
      </c:catAx>
      <c:valAx>
        <c:axId val="660958640"/>
        <c:scaling>
          <c:orientation val="minMax"/>
        </c:scaling>
        <c:delete val="false"/>
        <c:axPos val="l"/>
        <c:majorGridlines>
          <c:spPr>
            <a:ln w="9525" cap="flat" cmpd="sng" algn="ctr">
              <a:solidFill>
                <a:schemeClr val="lt1">
                  <a:lumMod val="90200"/>
                </a:schemeClr>
              </a:solidFill>
              <a:round/>
            </a:ln>
            <a:effectLst/>
          </c:spPr>
        </c:majorGridlines>
        <c:numFmt formatCode="General" sourceLinked="true"/>
        <c:majorTickMark val="out"/>
        <c:minorTickMark val="none"/>
        <c:tickLblPos val="nextTo"/>
        <c:spPr>
          <a:noFill/>
          <a:ln>
            <a:noFill/>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false"/>
      <c:spPr>
        <a:noFill/>
        <a:ln>
          <a:noFill/>
        </a:ln>
        <a:effectLst/>
      </c:spPr>
    </c:title>
    <c:autoTitleDeleted val="false"/>
    <c:plotArea>
      <c:layout>
        <c:manualLayout>
          <c:layoutTarget val="inner"/>
          <c:xMode val="edge"/>
          <c:yMode val="edge"/>
          <c:x val="0.17641942498188"/>
          <c:y val="0.160433489162771"/>
          <c:w val="0.795796086011114"/>
          <c:h val="0.474330641733957"/>
        </c:manualLayout>
      </c:layout>
      <c:barChart>
        <c:barDir val="col"/>
        <c:grouping val="clustered"/>
        <c:varyColors val="false"/>
        <c:ser>
          <c:idx val="0"/>
          <c:order val="0"/>
          <c:tx>
            <c:strRef>
              <c:f>Sheet1!$B$1</c:f>
              <c:strCache>
                <c:ptCount val="1"/>
                <c:pt idx="0">
                  <c:v>年初预算数</c:v>
                </c:pt>
              </c:strCache>
            </c:strRef>
          </c:tx>
          <c:spPr>
            <a:solidFill>
              <a:schemeClr val="accent1"/>
            </a:solidFill>
            <a:ln>
              <a:noFill/>
            </a:ln>
            <a:effectLst/>
          </c:spPr>
          <c:invertIfNegative val="false"/>
          <c:dLbls>
            <c:spPr>
              <a:noFill/>
              <a:ln>
                <a:noFill/>
              </a:ln>
              <a:effectLst/>
            </c:spPr>
            <c:txPr>
              <a:bodyPr rot="0" spcFirstLastPara="0" vertOverflow="ellipsis" vert="horz" wrap="square" lIns="38100" tIns="19050" rIns="38100" bIns="19050" anchor="ctr" anchorCtr="true"/>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1587.31</c:v>
                </c:pt>
                <c:pt idx="1">
                  <c:v>1587.31</c:v>
                </c:pt>
                <c:pt idx="2">
                  <c:v>1587.31</c:v>
                </c:pt>
                <c:pt idx="3">
                  <c:v>1587.31</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false"/>
          <c:dLbls>
            <c:spPr>
              <a:noFill/>
              <a:ln>
                <a:noFill/>
              </a:ln>
              <a:effectLst/>
            </c:spPr>
            <c:txPr>
              <a:bodyPr rot="0" spcFirstLastPara="0" vertOverflow="ellipsis" vert="horz" wrap="square" lIns="38100" tIns="19050" rIns="38100" bIns="19050" anchor="ctr" anchorCtr="true"/>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2699.2</c:v>
                </c:pt>
                <c:pt idx="1">
                  <c:v>2699.2</c:v>
                </c:pt>
                <c:pt idx="2">
                  <c:v>2699.2</c:v>
                </c:pt>
                <c:pt idx="3">
                  <c:v>2699.2</c:v>
                </c:pt>
                <c:pt idx="4">
                  <c:v>0</c:v>
                </c:pt>
                <c:pt idx="5">
                  <c:v>0</c:v>
                </c:pt>
                <c:pt idx="6">
                  <c:v>0</c:v>
                </c:pt>
                <c:pt idx="7">
                  <c:v>0</c:v>
                </c:pt>
              </c:numCache>
            </c:numRef>
          </c:val>
        </c:ser>
        <c:dLbls>
          <c:showLegendKey val="false"/>
          <c:showVal val="true"/>
          <c:showCatName val="false"/>
          <c:showSerName val="false"/>
          <c:showPercent val="false"/>
          <c:showBubbleSize val="false"/>
        </c:dLbls>
        <c:gapWidth val="150"/>
        <c:axId val="136214206"/>
        <c:axId val="897256872"/>
      </c:barChart>
      <c:catAx>
        <c:axId val="136214206"/>
        <c:scaling>
          <c:orientation val="minMax"/>
        </c:scaling>
        <c:delete val="false"/>
        <c:axPos val="b"/>
        <c:numFmt formatCode="General" sourceLinked="false"/>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true"/>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true"/>
        <c:lblAlgn val="ctr"/>
        <c:lblOffset val="100"/>
        <c:noMultiLvlLbl val="false"/>
      </c:catAx>
      <c:valAx>
        <c:axId val="897256872"/>
        <c:scaling>
          <c:orientation val="minMax"/>
        </c:scaling>
        <c:delete val="false"/>
        <c:axPos val="l"/>
        <c:majorGridlines>
          <c:spPr>
            <a:ln w="9525" cap="flat" cmpd="sng" algn="ctr">
              <a:solidFill>
                <a:schemeClr val="lt1">
                  <a:lumMod val="90200"/>
                </a:schemeClr>
              </a:solidFill>
              <a:round/>
            </a:ln>
            <a:effectLst/>
          </c:spPr>
        </c:majorGridlines>
        <c:numFmt formatCode="General" sourceLinked="true"/>
        <c:majorTickMark val="none"/>
        <c:minorTickMark val="none"/>
        <c:tickLblPos val="nextTo"/>
        <c:spPr>
          <a:noFill/>
          <a:ln>
            <a:noFill/>
          </a:ln>
          <a:effectLst/>
        </c:spPr>
        <c:txPr>
          <a:bodyPr rot="-60000000" spcFirstLastPara="0" vertOverflow="ellipsis" vert="horz" wrap="square" anchor="ctr" anchorCtr="true"/>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false"/>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true">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true">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true">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true">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true">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神州网信技术有限公司</Company>
  <Pages>1</Pages>
  <Words>2347</Words>
  <Characters>13379</Characters>
  <Lines>111</Lines>
  <Paragraphs>31</Paragraphs>
  <TotalTime>0</TotalTime>
  <ScaleCrop>false</ScaleCrop>
  <LinksUpToDate>false</LinksUpToDate>
  <CharactersWithSpaces>15695</CharactersWithSpaces>
  <Application>WPS Office_11.8.2.9980_F1E327BC-269C-435d-A152-05C5408002CA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2023-08-06T23:55:00Z</dcterms:created>
  <dc:creator>王明新TIAD</dc:creator>
  <cp:lastModifiedBy>uos</cp:lastModifiedBy>
  <cp:lastPrinted>2023-08-06T17:00:00Z</cp:lastPrinted>
  <dcterms:modified xsi:type="dcterms:W3CDTF">2026-09-01T11:21:48Z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2052-11.8.2.9980</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eyJoZGlkIjoiMGUwMDdiZjE4MTAzNDUzMDk3OTAyNWU5OGVmNGE2MmMiLCJ1c2VySWQiOiIxNTIwMzY1OTkzIn0=</vt:lpwstr>
  </property>
</Properties>
</file>