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true"/>
                    </pic:cNvPicPr>
                  </pic:nvPicPr>
                  <pic:blipFill>
                    <a:blip r:embed="rId10"/>
                    <a:srcRect/>
                    <a:stretch>
                      <a:fillRect/>
                    </a:stretch>
                  </pic:blipFill>
                  <pic:spPr>
                    <a:xfrm>
                      <a:off x="0" y="0"/>
                      <a:ext cx="7569835" cy="10692130"/>
                    </a:xfrm>
                    <a:prstGeom prst="rect">
                      <a:avLst/>
                    </a:prstGeom>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graphic xmlns:a="http://schemas.openxmlformats.org/drawingml/2006/main">
                  <a:graphicData uri="http://schemas.microsoft.com/office/word/2010/wordprocessingShape">
                    <wps:wsp>
                      <wps:cNvSpPr txBox="true"/>
                      <wps:spPr>
                        <a:xfrm>
                          <a:off x="0" y="0"/>
                          <a:ext cx="6431280" cy="2862580"/>
                        </a:xfrm>
                        <a:prstGeom prst="rect">
                          <a:avLst/>
                        </a:prstGeom>
                        <a:noFill/>
                        <a:ln>
                          <a:noFill/>
                        </a:ln>
                        <a:effectLst/>
                      </wps:spPr>
                      <wps:txbx>
                        <w:txbxContent>
                          <w:p>
                            <w:pPr>
                              <w:pStyle w:val="10"/>
                              <w:spacing w:beforeAutospacing="0" w:afterAutospacing="0" w:line="1400" w:lineRule="exact"/>
                              <w:rPr>
                                <w:rFonts w:ascii="微软雅黑" w:hAnsi="微软雅黑" w:eastAsia="微软雅黑" w:cs="微软雅黑"/>
                                <w:b/>
                                <w:color w:val="FFFFFF" w:themeColor="background1"/>
                                <w:kern w:val="2"/>
                                <w:sz w:val="96"/>
                                <w:szCs w:val="96"/>
                                <w14:textFill>
                                  <w14:solidFill>
                                    <w14:schemeClr w14:val="bg1"/>
                                  </w14:solidFill>
                                </w14:textFill>
                              </w:rPr>
                            </w:pPr>
                            <w:r>
                              <w:rPr>
                                <w:rFonts w:hint="eastAsia" w:ascii="微软雅黑" w:hAnsi="微软雅黑" w:eastAsia="微软雅黑" w:cs="微软雅黑"/>
                                <w:b/>
                                <w:color w:val="FFFFFF" w:themeColor="background1"/>
                                <w:kern w:val="2"/>
                                <w:sz w:val="96"/>
                                <w:szCs w:val="96"/>
                                <w14:textFill>
                                  <w14:solidFill>
                                    <w14:schemeClr w14:val="bg1"/>
                                  </w14:solidFill>
                                </w14:textFill>
                              </w:rPr>
                              <w:t>2025年度</w:t>
                            </w:r>
                          </w:p>
                          <w:p>
                            <w:pPr>
                              <w:pStyle w:val="10"/>
                              <w:spacing w:beforeAutospacing="0" w:afterAutospacing="0" w:line="1400" w:lineRule="exact"/>
                              <w:rPr>
                                <w:rFonts w:ascii="微软雅黑" w:hAnsi="微软雅黑" w:eastAsia="微软雅黑" w:cs="微软雅黑"/>
                                <w:b/>
                                <w:color w:val="FFFFFF" w:themeColor="background1"/>
                                <w:kern w:val="2"/>
                                <w:sz w:val="96"/>
                                <w:szCs w:val="96"/>
                                <w14:textFill>
                                  <w14:solidFill>
                                    <w14:schemeClr w14:val="bg1"/>
                                  </w14:solidFill>
                                </w14:textFill>
                              </w:rPr>
                            </w:pPr>
                            <w:r>
                              <w:rPr>
                                <w:rFonts w:hint="eastAsia" w:ascii="微软雅黑" w:hAnsi="微软雅黑" w:eastAsia="微软雅黑" w:cs="微软雅黑"/>
                                <w:b/>
                                <w:color w:val="FFFFFF" w:themeColor="background1"/>
                                <w:kern w:val="2"/>
                                <w:sz w:val="96"/>
                                <w:szCs w:val="96"/>
                                <w14:textFill>
                                  <w14:solidFill>
                                    <w14:schemeClr w14:val="bg1"/>
                                  </w14:solidFill>
                                </w14:textFill>
                              </w:rPr>
                              <w:t>部门决算公开文本</w:t>
                            </w:r>
                          </w:p>
                        </w:txbxContent>
                      </wps:txbx>
                      <wps:bodyPr upright="true"/>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WAAAAZHJzL1BLAQIUABQAAAAI&#10;AIdO4kCXKyc01wAAAAoBAAAPAAAAAAAAAAEAIAAAADgAAABkcnMvZG93bnJldi54bWxQSwECFAAU&#10;AAAACACHTuJA90Jf3dwBAACGAwAADgAAAAAAAAABACAAAAA8AQAAZHJzL2Uyb0RvYy54bWxQSwUG&#10;AAAAAAYABgBZAQAAigUAAAAA&#10;">
                <v:fill on="f" focussize="0,0"/>
                <v:stroke on="f"/>
                <v:imagedata o:title=""/>
                <o:lock v:ext="edit" aspectratio="f"/>
                <v:textbox>
                  <w:txbxContent>
                    <w:p>
                      <w:pPr>
                        <w:pStyle w:val="10"/>
                        <w:spacing w:beforeAutospacing="0" w:afterAutospacing="0" w:line="1400" w:lineRule="exact"/>
                        <w:rPr>
                          <w:rFonts w:ascii="微软雅黑" w:hAnsi="微软雅黑" w:eastAsia="微软雅黑" w:cs="微软雅黑"/>
                          <w:b/>
                          <w:color w:val="FFFFFF" w:themeColor="background1"/>
                          <w:kern w:val="2"/>
                          <w:sz w:val="96"/>
                          <w:szCs w:val="96"/>
                          <w14:textFill>
                            <w14:solidFill>
                              <w14:schemeClr w14:val="bg1"/>
                            </w14:solidFill>
                          </w14:textFill>
                        </w:rPr>
                      </w:pPr>
                      <w:r>
                        <w:rPr>
                          <w:rFonts w:hint="eastAsia" w:ascii="微软雅黑" w:hAnsi="微软雅黑" w:eastAsia="微软雅黑" w:cs="微软雅黑"/>
                          <w:b/>
                          <w:color w:val="FFFFFF" w:themeColor="background1"/>
                          <w:kern w:val="2"/>
                          <w:sz w:val="96"/>
                          <w:szCs w:val="96"/>
                          <w14:textFill>
                            <w14:solidFill>
                              <w14:schemeClr w14:val="bg1"/>
                            </w14:solidFill>
                          </w14:textFill>
                        </w:rPr>
                        <w:t>2025年度</w:t>
                      </w:r>
                    </w:p>
                    <w:p>
                      <w:pPr>
                        <w:pStyle w:val="10"/>
                        <w:spacing w:beforeAutospacing="0" w:afterAutospacing="0" w:line="1400" w:lineRule="exact"/>
                        <w:rPr>
                          <w:rFonts w:ascii="微软雅黑" w:hAnsi="微软雅黑" w:eastAsia="微软雅黑" w:cs="微软雅黑"/>
                          <w:b/>
                          <w:color w:val="FFFFFF" w:themeColor="background1"/>
                          <w:kern w:val="2"/>
                          <w:sz w:val="96"/>
                          <w:szCs w:val="96"/>
                          <w14:textFill>
                            <w14:solidFill>
                              <w14:schemeClr w14:val="bg1"/>
                            </w14:solidFill>
                          </w14:textFill>
                        </w:rPr>
                      </w:pPr>
                      <w:r>
                        <w:rPr>
                          <w:rFonts w:hint="eastAsia" w:ascii="微软雅黑" w:hAnsi="微软雅黑" w:eastAsia="微软雅黑" w:cs="微软雅黑"/>
                          <w:b/>
                          <w:color w:val="FFFFFF" w:themeColor="background1"/>
                          <w:kern w:val="2"/>
                          <w:sz w:val="96"/>
                          <w:szCs w:val="96"/>
                          <w14:textFill>
                            <w14:solidFill>
                              <w14:schemeClr w14:val="bg1"/>
                            </w14:solidFill>
                          </w14:textFill>
                        </w:rPr>
                        <w:t>部门决算公开文本</w:t>
                      </w:r>
                    </w:p>
                  </w:txbxContent>
                </v:textbox>
              </v:shape>
            </w:pict>
          </mc:Fallback>
        </mc:AlternateContent>
      </w:r>
    </w:p>
    <w:p>
      <w:pPr>
        <w:spacing w:line="600" w:lineRule="auto"/>
        <w:rPr>
          <w:rFonts w:ascii="楷体_GB2312" w:hAnsi="楷体_GB2312" w:eastAsia="楷体_GB2312" w:cs="楷体_GB2312"/>
          <w:color w:val="000000"/>
          <w:sz w:val="40"/>
          <w:szCs w:val="40"/>
        </w:rPr>
      </w:pPr>
    </w:p>
    <w:p>
      <w:pPr>
        <w:spacing w:line="600" w:lineRule="auto"/>
        <w:rPr>
          <w:rFonts w:ascii="楷体_GB2312" w:hAnsi="楷体_GB2312" w:eastAsia="楷体_GB2312" w:cs="楷体_GB2312"/>
          <w:color w:val="000000"/>
          <w:sz w:val="40"/>
          <w:szCs w:val="40"/>
        </w:rPr>
      </w:pPr>
    </w:p>
    <w:p>
      <w:pPr>
        <w:spacing w:line="600" w:lineRule="auto"/>
        <w:rPr>
          <w:rFonts w:ascii="楷体_GB2312" w:hAnsi="楷体_GB2312" w:eastAsia="楷体_GB2312" w:cs="楷体_GB2312"/>
          <w:color w:val="000000"/>
          <w:sz w:val="40"/>
          <w:szCs w:val="40"/>
        </w:rPr>
      </w:pPr>
    </w:p>
    <w:p>
      <w:pPr>
        <w:spacing w:line="600" w:lineRule="auto"/>
        <w:rPr>
          <w:rFonts w:ascii="楷体_GB2312" w:hAnsi="楷体_GB2312" w:eastAsia="楷体_GB2312" w:cs="楷体_GB2312"/>
          <w:color w:val="000000"/>
          <w:sz w:val="40"/>
          <w:szCs w:val="40"/>
        </w:rPr>
      </w:pPr>
    </w:p>
    <w:p>
      <w:pPr>
        <w:spacing w:line="600" w:lineRule="auto"/>
        <w:rPr>
          <w:rFonts w:ascii="楷体_GB2312" w:hAnsi="楷体_GB2312" w:eastAsia="楷体_GB2312" w:cs="楷体_GB2312"/>
          <w:color w:val="000000"/>
          <w:sz w:val="40"/>
          <w:szCs w:val="40"/>
        </w:rPr>
      </w:pPr>
    </w:p>
    <w:p>
      <w:pPr>
        <w:spacing w:line="600" w:lineRule="auto"/>
        <w:rPr>
          <w:rFonts w:ascii="楷体_GB2312" w:hAnsi="楷体_GB2312" w:eastAsia="楷体_GB2312" w:cs="楷体_GB2312"/>
          <w:color w:val="000000"/>
          <w:sz w:val="40"/>
          <w:szCs w:val="40"/>
        </w:rPr>
      </w:pPr>
    </w:p>
    <w:p>
      <w:pPr>
        <w:spacing w:line="600" w:lineRule="auto"/>
        <w:rPr>
          <w:rFonts w:ascii="楷体_GB2312" w:hAnsi="楷体_GB2312" w:eastAsia="楷体_GB2312" w:cs="楷体_GB2312"/>
          <w:color w:val="000000"/>
          <w:sz w:val="40"/>
          <w:szCs w:val="40"/>
        </w:rPr>
      </w:pPr>
    </w:p>
    <w:p>
      <w:pPr>
        <w:jc w:val="center"/>
        <w:rPr>
          <w:rFonts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rPr>
          <w:rFonts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rPr>
          <w:rFonts w:ascii="楷体" w:hAnsi="楷体" w:eastAsia="楷体" w:cs="楷体_GB2312"/>
          <w:b/>
          <w:bCs/>
          <w:color w:val="0D0D0D" w:themeColor="text1" w:themeTint="F2"/>
          <w:kern w:val="2"/>
          <w:sz w:val="44"/>
          <w:szCs w:val="44"/>
          <w14:textFill>
            <w14:solidFill>
              <w14:schemeClr w14:val="tx1">
                <w14:lumMod w14:val="95000"/>
                <w14:lumOff w14:val="5000"/>
              </w14:schemeClr>
            </w14:solidFill>
          </w14:textFill>
        </w:rPr>
      </w:pPr>
      <w:r>
        <w:rPr>
          <w:rFonts w:hint="eastAsia" w:ascii="楷体" w:hAnsi="楷体" w:eastAsia="楷体" w:cs="微软雅黑"/>
          <w:b/>
          <w:bCs/>
          <w:color w:val="0D0D0D" w:themeColor="text1" w:themeTint="F2"/>
          <w:kern w:val="2"/>
          <w:sz w:val="44"/>
          <w:szCs w:val="44"/>
          <w14:textFill>
            <w14:solidFill>
              <w14:schemeClr w14:val="tx1">
                <w14:lumMod w14:val="95000"/>
                <w14:lumOff w14:val="5000"/>
              </w14:schemeClr>
            </w14:solidFill>
          </w14:textFill>
        </w:rPr>
        <w:t>预算</w:t>
      </w:r>
      <w:r>
        <w:rPr>
          <w:rFonts w:ascii="楷体" w:hAnsi="楷体" w:eastAsia="楷体" w:cs="微软雅黑"/>
          <w:b/>
          <w:bCs/>
          <w:color w:val="0D0D0D" w:themeColor="text1" w:themeTint="F2"/>
          <w:kern w:val="2"/>
          <w:sz w:val="44"/>
          <w:szCs w:val="44"/>
          <w14:textFill>
            <w14:solidFill>
              <w14:schemeClr w14:val="tx1">
                <w14:lumMod w14:val="95000"/>
                <w14:lumOff w14:val="5000"/>
              </w14:schemeClr>
            </w14:solidFill>
          </w14:textFill>
        </w:rPr>
        <w:t>代码</w:t>
      </w:r>
      <w:r>
        <w:rPr>
          <w:rFonts w:hint="eastAsia" w:ascii="楷体" w:hAnsi="楷体" w:eastAsia="楷体" w:cs="楷体_GB2312"/>
          <w:b/>
          <w:bCs/>
          <w:color w:val="0D0D0D" w:themeColor="text1" w:themeTint="F2"/>
          <w:kern w:val="2"/>
          <w:sz w:val="44"/>
          <w:szCs w:val="44"/>
          <w14:textFill>
            <w14:solidFill>
              <w14:schemeClr w14:val="tx1">
                <w14:lumMod w14:val="95000"/>
                <w14:lumOff w14:val="5000"/>
              </w14:schemeClr>
            </w14:solidFill>
          </w14:textFill>
        </w:rPr>
        <w:t>：382</w:t>
      </w:r>
    </w:p>
    <w:p>
      <w:pPr>
        <w:rPr>
          <w:rFonts w:hint="eastAsia" w:ascii="楷体" w:hAnsi="楷体" w:eastAsia="楷体" w:cs="微软雅黑"/>
          <w:b/>
          <w:bCs/>
          <w:color w:val="0D0D0D" w:themeColor="text1" w:themeTint="F2"/>
          <w:kern w:val="2"/>
          <w:sz w:val="32"/>
          <w:szCs w:val="32"/>
          <w14:textFill>
            <w14:solidFill>
              <w14:schemeClr w14:val="tx1">
                <w14:lumMod w14:val="95000"/>
                <w14:lumOff w14:val="5000"/>
              </w14:schemeClr>
            </w14:solidFill>
          </w14:textFill>
        </w:rPr>
      </w:pPr>
      <w:r>
        <w:rPr>
          <w:rFonts w:hint="eastAsia" w:ascii="楷体" w:hAnsi="楷体" w:eastAsia="楷体" w:cs="微软雅黑"/>
          <w:b/>
          <w:bCs/>
          <w:color w:val="0D0D0D" w:themeColor="text1" w:themeTint="F2"/>
          <w:kern w:val="2"/>
          <w:sz w:val="44"/>
          <w:szCs w:val="44"/>
          <w14:textFill>
            <w14:solidFill>
              <w14:schemeClr w14:val="tx1">
                <w14:lumMod w14:val="95000"/>
                <w14:lumOff w14:val="5000"/>
              </w14:schemeClr>
            </w14:solidFill>
          </w14:textFill>
        </w:rPr>
        <w:t>部门名称</w:t>
      </w:r>
      <w:r>
        <w:rPr>
          <w:rFonts w:ascii="楷体" w:hAnsi="楷体" w:eastAsia="楷体" w:cs="微软雅黑"/>
          <w:b/>
          <w:bCs/>
          <w:color w:val="0D0D0D" w:themeColor="text1" w:themeTint="F2"/>
          <w:kern w:val="2"/>
          <w:sz w:val="44"/>
          <w:szCs w:val="44"/>
          <w14:textFill>
            <w14:solidFill>
              <w14:schemeClr w14:val="tx1">
                <w14:lumMod w14:val="95000"/>
                <w14:lumOff w14:val="5000"/>
              </w14:schemeClr>
            </w14:solidFill>
          </w14:textFill>
        </w:rPr>
        <w:t>：中共石家庄</w:t>
      </w:r>
      <w:r>
        <w:rPr>
          <w:rFonts w:hint="eastAsia" w:ascii="楷体" w:hAnsi="楷体" w:eastAsia="楷体" w:cs="微软雅黑"/>
          <w:b/>
          <w:bCs/>
          <w:color w:val="0D0D0D" w:themeColor="text1" w:themeTint="F2"/>
          <w:kern w:val="2"/>
          <w:sz w:val="44"/>
          <w:szCs w:val="44"/>
          <w14:textFill>
            <w14:solidFill>
              <w14:schemeClr w14:val="tx1">
                <w14:lumMod w14:val="95000"/>
                <w14:lumOff w14:val="5000"/>
              </w14:schemeClr>
            </w14:solidFill>
          </w14:textFill>
        </w:rPr>
        <w:t>市委</w:t>
      </w:r>
      <w:r>
        <w:rPr>
          <w:rFonts w:ascii="楷体" w:hAnsi="楷体" w:eastAsia="楷体" w:cs="微软雅黑"/>
          <w:b/>
          <w:bCs/>
          <w:color w:val="0D0D0D" w:themeColor="text1" w:themeTint="F2"/>
          <w:kern w:val="2"/>
          <w:sz w:val="44"/>
          <w:szCs w:val="44"/>
          <w14:textFill>
            <w14:solidFill>
              <w14:schemeClr w14:val="tx1">
                <w14:lumMod w14:val="95000"/>
                <w14:lumOff w14:val="5000"/>
              </w14:schemeClr>
            </w14:solidFill>
          </w14:textFill>
        </w:rPr>
        <w:t>金融委员会办公室</w:t>
      </w:r>
    </w:p>
    <w:p>
      <w:pPr>
        <w:spacing w:line="600" w:lineRule="auto"/>
        <w:jc w:val="center"/>
        <w:rPr>
          <w:rFonts w:ascii="楷体_GB2312" w:hAnsi="楷体_GB2312" w:eastAsia="楷体_GB2312" w:cs="楷体_GB2312"/>
          <w:color w:val="000000"/>
          <w:sz w:val="40"/>
          <w:szCs w:val="40"/>
        </w:rPr>
      </w:pPr>
    </w:p>
    <w:p>
      <w:pPr>
        <w:rPr>
          <w:rFonts w:ascii="黑体" w:hAnsi="黑体" w:eastAsia="黑体" w:cs="黑体"/>
          <w:b/>
          <w:bCs/>
          <w:sz w:val="32"/>
          <w:szCs w:val="36"/>
          <w:highlight w:val="yellow"/>
        </w:rPr>
      </w:pPr>
    </w:p>
    <w:p>
      <w:pPr>
        <w:widowControl/>
        <w:spacing w:line="360" w:lineRule="auto"/>
        <w:jc w:val="center"/>
        <w:rPr>
          <w:rFonts w:ascii="Times New Roman" w:eastAsia="方正小标宋_GBK"/>
          <w:sz w:val="72"/>
          <w:szCs w:val="72"/>
        </w:rPr>
      </w:pPr>
      <w:r>
        <w:rPr>
          <w:rFonts w:ascii="Times New Roman" w:eastAsia="仿宋_GB2312"/>
          <w:sz w:val="72"/>
          <w:szCs w:val="72"/>
        </w:rPr>
        <w:t>2025</w:t>
      </w:r>
      <w:r>
        <w:rPr>
          <w:rFonts w:ascii="Times New Roman" w:eastAsia="方正小标宋_GBK"/>
          <w:sz w:val="72"/>
          <w:szCs w:val="72"/>
        </w:rPr>
        <w:t>年度部门决算公开文本</w:t>
      </w:r>
    </w:p>
    <w:p>
      <w:pPr>
        <w:spacing w:line="360" w:lineRule="auto"/>
        <w:jc w:val="center"/>
        <w:rPr>
          <w:rFonts w:ascii="黑体" w:hAnsi="黑体" w:eastAsia="黑体" w:cs="黑体"/>
          <w:sz w:val="56"/>
          <w:szCs w:val="72"/>
        </w:rPr>
      </w:pPr>
    </w:p>
    <w:p>
      <w:pPr>
        <w:spacing w:line="480" w:lineRule="auto"/>
        <w:rPr>
          <w:rFonts w:ascii="黑体" w:hAnsi="黑体" w:eastAsia="黑体" w:cs="黑体"/>
          <w:sz w:val="56"/>
          <w:szCs w:val="72"/>
        </w:rPr>
      </w:pPr>
    </w:p>
    <w:p>
      <w:pPr>
        <w:spacing w:line="480" w:lineRule="auto"/>
        <w:rPr>
          <w:rFonts w:ascii="黑体" w:hAnsi="黑体" w:eastAsia="黑体" w:cs="黑体"/>
          <w:sz w:val="56"/>
          <w:szCs w:val="72"/>
        </w:rPr>
      </w:pPr>
    </w:p>
    <w:p>
      <w:pPr>
        <w:spacing w:line="480" w:lineRule="auto"/>
        <w:rPr>
          <w:rFonts w:ascii="黑体" w:hAnsi="黑体" w:eastAsia="黑体" w:cs="黑体"/>
          <w:sz w:val="56"/>
          <w:szCs w:val="72"/>
        </w:rPr>
      </w:pPr>
    </w:p>
    <w:p>
      <w:pPr>
        <w:spacing w:line="480" w:lineRule="auto"/>
        <w:rPr>
          <w:rFonts w:ascii="黑体" w:hAnsi="黑体" w:eastAsia="黑体" w:cs="黑体"/>
          <w:sz w:val="56"/>
          <w:szCs w:val="72"/>
        </w:rPr>
      </w:pPr>
    </w:p>
    <w:p>
      <w:pPr>
        <w:spacing w:line="480" w:lineRule="auto"/>
        <w:rPr>
          <w:rFonts w:ascii="黑体" w:hAnsi="黑体" w:eastAsia="黑体" w:cs="黑体"/>
          <w:sz w:val="56"/>
          <w:szCs w:val="72"/>
        </w:rPr>
      </w:pPr>
    </w:p>
    <w:p>
      <w:pPr>
        <w:spacing w:line="480" w:lineRule="auto"/>
        <w:rPr>
          <w:rFonts w:hint="eastAsia" w:ascii="黑体" w:hAnsi="黑体" w:eastAsia="黑体" w:cs="黑体"/>
          <w:sz w:val="56"/>
          <w:szCs w:val="72"/>
        </w:rPr>
      </w:pPr>
    </w:p>
    <w:p>
      <w:pPr>
        <w:widowControl/>
        <w:spacing w:line="360" w:lineRule="auto"/>
        <w:jc w:val="center"/>
        <w:rPr>
          <w:rFonts w:ascii="楷体" w:hAnsi="楷体" w:eastAsia="楷体"/>
          <w:sz w:val="44"/>
          <w:szCs w:val="44"/>
        </w:rPr>
      </w:pPr>
      <w:r>
        <w:rPr>
          <w:rFonts w:ascii="楷体" w:hAnsi="楷体" w:eastAsia="楷体"/>
          <w:sz w:val="44"/>
          <w:szCs w:val="44"/>
        </w:rPr>
        <w:t>中共石家庄市委金融委员会办公室</w:t>
      </w:r>
    </w:p>
    <w:p>
      <w:pPr>
        <w:widowControl/>
        <w:spacing w:line="360" w:lineRule="auto"/>
        <w:jc w:val="center"/>
        <w:rPr>
          <w:rFonts w:ascii="楷体" w:hAnsi="楷体" w:eastAsia="楷体"/>
          <w:sz w:val="44"/>
          <w:szCs w:val="44"/>
        </w:rPr>
      </w:pPr>
      <w:r>
        <w:rPr>
          <w:rFonts w:ascii="楷体" w:hAnsi="楷体" w:eastAsia="楷体"/>
          <w:sz w:val="44"/>
          <w:szCs w:val="44"/>
        </w:rPr>
        <w:t>二〇二六年八月</w:t>
      </w:r>
    </w:p>
    <w:p>
      <w:pPr>
        <w:rPr>
          <w:rFonts w:ascii="楷体_GB2312" w:hAnsi="楷体_GB2312" w:eastAsia="楷体_GB2312" w:cs="楷体_GB2312"/>
          <w:color w:val="000000" w:themeColor="text1"/>
          <w:sz w:val="44"/>
          <w:szCs w:val="44"/>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ascii="楷体_GB2312" w:hAnsi="楷体_GB2312" w:eastAsia="楷体_GB2312" w:cs="楷体_GB2312"/>
          <w:color w:val="000000" w:themeColor="text1"/>
          <w:sz w:val="44"/>
          <w:szCs w:val="44"/>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br w:type="page"/>
      </w:r>
    </w:p>
    <w:p>
      <w:pPr>
        <w:widowControl/>
        <w:spacing w:line="360" w:lineRule="auto"/>
        <w:jc w:val="center"/>
        <w:outlineLvl w:val="0"/>
        <w:rPr>
          <w:rFonts w:ascii="Times New Roman" w:eastAsia="黑体"/>
          <w:sz w:val="44"/>
          <w:szCs w:val="44"/>
        </w:rPr>
      </w:pPr>
      <w:r>
        <w:rPr>
          <w:rFonts w:ascii="Times New Roman" w:eastAsia="黑体"/>
          <w:sz w:val="44"/>
          <w:szCs w:val="44"/>
        </w:rPr>
        <w:t>目  录</w:t>
      </w:r>
    </w:p>
    <w:p>
      <w:pPr>
        <w:widowControl/>
        <w:spacing w:after="160" w:line="580" w:lineRule="exact"/>
        <w:ind w:firstLine="640" w:firstLineChars="200"/>
        <w:rPr>
          <w:rFonts w:ascii="Times New Roman" w:hAnsi="Times New Roman" w:eastAsia="黑体" w:cs="Times New Roman"/>
          <w:sz w:val="32"/>
          <w:szCs w:val="32"/>
        </w:rPr>
      </w:pPr>
    </w:p>
    <w:p>
      <w:pPr>
        <w:widowControl/>
        <w:spacing w:line="360" w:lineRule="auto"/>
        <w:jc w:val="left"/>
        <w:rPr>
          <w:rFonts w:ascii="Times New Roman" w:eastAsia="黑体"/>
          <w:sz w:val="32"/>
          <w:szCs w:val="32"/>
        </w:rPr>
      </w:pPr>
      <w:r>
        <w:rPr>
          <w:rFonts w:ascii="Times New Roman" w:eastAsia="黑体"/>
          <w:sz w:val="32"/>
          <w:szCs w:val="32"/>
        </w:rPr>
        <w:t>第一部分</w:t>
      </w:r>
      <w:r>
        <w:rPr>
          <w:rFonts w:hint="eastAsia" w:ascii="Times New Roman" w:eastAsia="黑体"/>
          <w:sz w:val="32"/>
          <w:szCs w:val="32"/>
        </w:rPr>
        <w:t>部门</w:t>
      </w:r>
      <w:r>
        <w:rPr>
          <w:rFonts w:ascii="Times New Roman" w:eastAsia="黑体"/>
          <w:sz w:val="32"/>
          <w:szCs w:val="32"/>
        </w:rPr>
        <w:t>概况</w:t>
      </w:r>
    </w:p>
    <w:p>
      <w:pPr>
        <w:widowControl/>
        <w:spacing w:line="360" w:lineRule="auto"/>
        <w:ind w:firstLine="640" w:firstLineChars="200"/>
        <w:jc w:val="left"/>
        <w:rPr>
          <w:rFonts w:ascii="仿宋" w:hAnsi="仿宋" w:eastAsia="仿宋"/>
          <w:sz w:val="32"/>
          <w:szCs w:val="32"/>
        </w:rPr>
      </w:pPr>
      <w:r>
        <w:rPr>
          <w:rFonts w:ascii="仿宋" w:hAnsi="仿宋" w:eastAsia="仿宋"/>
          <w:sz w:val="32"/>
          <w:szCs w:val="32"/>
        </w:rPr>
        <w:t>一、</w:t>
      </w:r>
      <w:r>
        <w:rPr>
          <w:rFonts w:hint="eastAsia" w:ascii="仿宋" w:hAnsi="仿宋" w:eastAsia="仿宋" w:cs="微软雅黑"/>
          <w:sz w:val="32"/>
          <w:szCs w:val="32"/>
        </w:rPr>
        <w:t>部门</w:t>
      </w:r>
      <w:r>
        <w:rPr>
          <w:rFonts w:ascii="仿宋" w:hAnsi="仿宋" w:eastAsia="仿宋"/>
          <w:sz w:val="32"/>
          <w:szCs w:val="32"/>
        </w:rPr>
        <w:t>职责</w:t>
      </w:r>
    </w:p>
    <w:p>
      <w:pPr>
        <w:widowControl/>
        <w:spacing w:line="360" w:lineRule="auto"/>
        <w:ind w:firstLine="640" w:firstLineChars="200"/>
        <w:jc w:val="left"/>
        <w:rPr>
          <w:rFonts w:ascii="仿宋" w:hAnsi="仿宋" w:eastAsia="仿宋"/>
          <w:sz w:val="32"/>
          <w:szCs w:val="32"/>
        </w:rPr>
      </w:pPr>
      <w:r>
        <w:rPr>
          <w:rFonts w:ascii="仿宋" w:hAnsi="仿宋" w:eastAsia="仿宋"/>
          <w:sz w:val="32"/>
          <w:szCs w:val="32"/>
        </w:rPr>
        <w:t>二、机构设置</w:t>
      </w:r>
    </w:p>
    <w:p>
      <w:pPr>
        <w:widowControl/>
        <w:spacing w:line="360" w:lineRule="auto"/>
        <w:jc w:val="left"/>
        <w:outlineLvl w:val="0"/>
        <w:rPr>
          <w:rFonts w:ascii="Times New Roman" w:eastAsia="黑体"/>
          <w:sz w:val="32"/>
          <w:szCs w:val="32"/>
        </w:rPr>
      </w:pPr>
      <w:r>
        <w:rPr>
          <w:rFonts w:ascii="Times New Roman" w:eastAsia="黑体"/>
          <w:sz w:val="32"/>
          <w:szCs w:val="32"/>
        </w:rPr>
        <w:t>第二部分 2025年度部门决算报表</w:t>
      </w:r>
    </w:p>
    <w:p>
      <w:pPr>
        <w:widowControl/>
        <w:spacing w:line="360" w:lineRule="auto"/>
        <w:ind w:firstLine="640" w:firstLineChars="200"/>
        <w:jc w:val="left"/>
        <w:rPr>
          <w:rFonts w:ascii="仿宋" w:hAnsi="仿宋" w:eastAsia="仿宋"/>
          <w:sz w:val="32"/>
          <w:szCs w:val="32"/>
        </w:rPr>
      </w:pPr>
      <w:r>
        <w:rPr>
          <w:rFonts w:ascii="仿宋" w:hAnsi="仿宋" w:eastAsia="仿宋"/>
          <w:sz w:val="32"/>
          <w:szCs w:val="32"/>
        </w:rPr>
        <w:t>一、收入支出决算总表</w:t>
      </w:r>
    </w:p>
    <w:p>
      <w:pPr>
        <w:widowControl/>
        <w:spacing w:line="360" w:lineRule="auto"/>
        <w:ind w:firstLine="640" w:firstLineChars="200"/>
        <w:jc w:val="left"/>
        <w:rPr>
          <w:rFonts w:ascii="仿宋" w:hAnsi="仿宋" w:eastAsia="仿宋"/>
          <w:sz w:val="32"/>
          <w:szCs w:val="32"/>
        </w:rPr>
      </w:pPr>
      <w:r>
        <w:rPr>
          <w:rFonts w:ascii="仿宋" w:hAnsi="仿宋" w:eastAsia="仿宋"/>
          <w:sz w:val="32"/>
          <w:szCs w:val="32"/>
        </w:rPr>
        <w:t>二、收入决算表</w:t>
      </w:r>
    </w:p>
    <w:p>
      <w:pPr>
        <w:widowControl/>
        <w:spacing w:line="360" w:lineRule="auto"/>
        <w:ind w:firstLine="640" w:firstLineChars="200"/>
        <w:jc w:val="left"/>
        <w:rPr>
          <w:rFonts w:ascii="仿宋" w:hAnsi="仿宋" w:eastAsia="仿宋"/>
          <w:sz w:val="32"/>
          <w:szCs w:val="32"/>
        </w:rPr>
      </w:pPr>
      <w:r>
        <w:rPr>
          <w:rFonts w:ascii="仿宋" w:hAnsi="仿宋" w:eastAsia="仿宋"/>
          <w:sz w:val="32"/>
          <w:szCs w:val="32"/>
        </w:rPr>
        <w:t>三、支出决算表</w:t>
      </w:r>
    </w:p>
    <w:p>
      <w:pPr>
        <w:widowControl/>
        <w:spacing w:line="360" w:lineRule="auto"/>
        <w:ind w:firstLine="640" w:firstLineChars="200"/>
        <w:jc w:val="left"/>
        <w:rPr>
          <w:rFonts w:ascii="仿宋" w:hAnsi="仿宋" w:eastAsia="仿宋"/>
          <w:sz w:val="32"/>
          <w:szCs w:val="32"/>
        </w:rPr>
      </w:pPr>
      <w:r>
        <w:rPr>
          <w:rFonts w:ascii="仿宋" w:hAnsi="仿宋" w:eastAsia="仿宋"/>
          <w:sz w:val="32"/>
          <w:szCs w:val="32"/>
        </w:rPr>
        <w:t>四、财政拨款收入支出决算总表</w:t>
      </w:r>
    </w:p>
    <w:p>
      <w:pPr>
        <w:widowControl/>
        <w:spacing w:line="360" w:lineRule="auto"/>
        <w:ind w:firstLine="640" w:firstLineChars="200"/>
        <w:jc w:val="left"/>
        <w:rPr>
          <w:rFonts w:ascii="仿宋" w:hAnsi="仿宋" w:eastAsia="仿宋"/>
          <w:sz w:val="32"/>
          <w:szCs w:val="32"/>
        </w:rPr>
      </w:pPr>
      <w:r>
        <w:rPr>
          <w:rFonts w:ascii="仿宋" w:hAnsi="仿宋" w:eastAsia="仿宋"/>
          <w:sz w:val="32"/>
          <w:szCs w:val="32"/>
        </w:rPr>
        <w:t>五、一般公共预算财政拨款支出决算表</w:t>
      </w:r>
    </w:p>
    <w:p>
      <w:pPr>
        <w:widowControl/>
        <w:spacing w:line="360" w:lineRule="auto"/>
        <w:ind w:firstLine="640" w:firstLineChars="200"/>
        <w:jc w:val="left"/>
        <w:rPr>
          <w:rFonts w:ascii="仿宋" w:hAnsi="仿宋" w:eastAsia="仿宋"/>
          <w:sz w:val="32"/>
          <w:szCs w:val="32"/>
        </w:rPr>
      </w:pPr>
      <w:r>
        <w:rPr>
          <w:rFonts w:ascii="仿宋" w:hAnsi="仿宋" w:eastAsia="仿宋"/>
          <w:sz w:val="32"/>
          <w:szCs w:val="32"/>
        </w:rPr>
        <w:t>六、一般公共预算财政拨款基本支出决算明细表</w:t>
      </w:r>
    </w:p>
    <w:p>
      <w:pPr>
        <w:widowControl/>
        <w:spacing w:line="360" w:lineRule="auto"/>
        <w:ind w:firstLine="640" w:firstLineChars="200"/>
        <w:jc w:val="left"/>
        <w:rPr>
          <w:rFonts w:ascii="仿宋" w:hAnsi="仿宋" w:eastAsia="仿宋"/>
          <w:sz w:val="32"/>
          <w:szCs w:val="32"/>
        </w:rPr>
      </w:pPr>
      <w:r>
        <w:rPr>
          <w:rFonts w:ascii="仿宋" w:hAnsi="仿宋" w:eastAsia="仿宋"/>
          <w:sz w:val="32"/>
          <w:szCs w:val="32"/>
        </w:rPr>
        <w:t>七、政府性基金预算财政拨款收入支出决算表</w:t>
      </w:r>
    </w:p>
    <w:p>
      <w:pPr>
        <w:widowControl/>
        <w:spacing w:line="360" w:lineRule="auto"/>
        <w:ind w:firstLine="640" w:firstLineChars="200"/>
        <w:jc w:val="left"/>
        <w:rPr>
          <w:rFonts w:ascii="仿宋" w:hAnsi="仿宋" w:eastAsia="仿宋"/>
          <w:sz w:val="32"/>
          <w:szCs w:val="32"/>
        </w:rPr>
      </w:pPr>
      <w:r>
        <w:rPr>
          <w:rFonts w:ascii="仿宋" w:hAnsi="仿宋" w:eastAsia="仿宋"/>
          <w:sz w:val="32"/>
          <w:szCs w:val="32"/>
        </w:rPr>
        <w:t>八、国有资本经营预算财政拨款支出决算表</w:t>
      </w:r>
    </w:p>
    <w:p>
      <w:pPr>
        <w:widowControl/>
        <w:spacing w:line="360" w:lineRule="auto"/>
        <w:ind w:firstLine="640" w:firstLineChars="200"/>
        <w:jc w:val="left"/>
        <w:rPr>
          <w:rFonts w:ascii="仿宋" w:hAnsi="仿宋" w:eastAsia="仿宋"/>
          <w:sz w:val="32"/>
          <w:szCs w:val="32"/>
        </w:rPr>
      </w:pPr>
      <w:r>
        <w:rPr>
          <w:rFonts w:ascii="仿宋" w:hAnsi="仿宋" w:eastAsia="仿宋"/>
          <w:sz w:val="32"/>
          <w:szCs w:val="32"/>
        </w:rPr>
        <w:t>九、财政拨款“三公”经费支出决算表</w:t>
      </w:r>
    </w:p>
    <w:p>
      <w:pPr>
        <w:widowControl/>
        <w:spacing w:line="360" w:lineRule="auto"/>
        <w:jc w:val="left"/>
        <w:rPr>
          <w:rFonts w:ascii="Times New Roman" w:eastAsia="黑体"/>
          <w:sz w:val="32"/>
          <w:szCs w:val="32"/>
        </w:rPr>
      </w:pPr>
      <w:r>
        <w:rPr>
          <w:rFonts w:ascii="Times New Roman" w:eastAsia="黑体"/>
          <w:sz w:val="32"/>
          <w:szCs w:val="32"/>
        </w:rPr>
        <w:t>第三部分 2025年度部门决算情况说明</w:t>
      </w:r>
    </w:p>
    <w:p>
      <w:pPr>
        <w:widowControl/>
        <w:spacing w:line="360" w:lineRule="auto"/>
        <w:ind w:firstLine="640" w:firstLineChars="200"/>
        <w:jc w:val="left"/>
        <w:rPr>
          <w:rFonts w:ascii="仿宋" w:hAnsi="仿宋" w:eastAsia="仿宋"/>
          <w:sz w:val="32"/>
          <w:szCs w:val="32"/>
        </w:rPr>
      </w:pPr>
      <w:r>
        <w:rPr>
          <w:rFonts w:ascii="仿宋" w:hAnsi="仿宋" w:eastAsia="仿宋"/>
          <w:sz w:val="32"/>
          <w:szCs w:val="32"/>
        </w:rPr>
        <w:t>一、收入支出决算总体情况说明</w:t>
      </w:r>
    </w:p>
    <w:p>
      <w:pPr>
        <w:widowControl/>
        <w:spacing w:line="360" w:lineRule="auto"/>
        <w:ind w:firstLine="640" w:firstLineChars="200"/>
        <w:jc w:val="left"/>
        <w:rPr>
          <w:rFonts w:ascii="仿宋" w:hAnsi="仿宋" w:eastAsia="仿宋"/>
          <w:sz w:val="32"/>
          <w:szCs w:val="32"/>
        </w:rPr>
      </w:pPr>
      <w:r>
        <w:rPr>
          <w:rFonts w:ascii="仿宋" w:hAnsi="仿宋" w:eastAsia="仿宋"/>
          <w:sz w:val="32"/>
          <w:szCs w:val="32"/>
        </w:rPr>
        <w:t>二、收入决算情况说明</w:t>
      </w:r>
    </w:p>
    <w:p>
      <w:pPr>
        <w:widowControl/>
        <w:spacing w:line="360" w:lineRule="auto"/>
        <w:ind w:firstLine="640" w:firstLineChars="200"/>
        <w:jc w:val="left"/>
        <w:rPr>
          <w:rFonts w:ascii="仿宋" w:hAnsi="仿宋" w:eastAsia="仿宋"/>
          <w:sz w:val="32"/>
          <w:szCs w:val="32"/>
        </w:rPr>
      </w:pPr>
      <w:r>
        <w:rPr>
          <w:rFonts w:ascii="仿宋" w:hAnsi="仿宋" w:eastAsia="仿宋"/>
          <w:sz w:val="32"/>
          <w:szCs w:val="32"/>
        </w:rPr>
        <w:t>三、支出决算情况说明</w:t>
      </w:r>
    </w:p>
    <w:p>
      <w:pPr>
        <w:widowControl/>
        <w:spacing w:line="360" w:lineRule="auto"/>
        <w:ind w:firstLine="640" w:firstLineChars="200"/>
        <w:jc w:val="left"/>
        <w:rPr>
          <w:rFonts w:ascii="仿宋" w:hAnsi="仿宋" w:eastAsia="仿宋"/>
          <w:sz w:val="32"/>
          <w:szCs w:val="32"/>
        </w:rPr>
      </w:pPr>
      <w:r>
        <w:rPr>
          <w:rFonts w:ascii="仿宋" w:hAnsi="仿宋" w:eastAsia="仿宋"/>
          <w:sz w:val="32"/>
          <w:szCs w:val="32"/>
        </w:rPr>
        <w:t>四、财政拨款收入支出决算总体情况说明</w:t>
      </w:r>
    </w:p>
    <w:p>
      <w:pPr>
        <w:widowControl/>
        <w:spacing w:line="360" w:lineRule="auto"/>
        <w:ind w:firstLine="640" w:firstLineChars="200"/>
        <w:jc w:val="left"/>
        <w:rPr>
          <w:rFonts w:ascii="仿宋" w:hAnsi="仿宋" w:eastAsia="仿宋"/>
          <w:sz w:val="32"/>
          <w:szCs w:val="32"/>
        </w:rPr>
      </w:pPr>
      <w:r>
        <w:rPr>
          <w:rFonts w:ascii="仿宋" w:hAnsi="仿宋" w:eastAsia="仿宋"/>
          <w:sz w:val="32"/>
          <w:szCs w:val="32"/>
        </w:rPr>
        <w:t>五、财政拨款“三公”经费支出决算情况说明</w:t>
      </w:r>
    </w:p>
    <w:p>
      <w:pPr>
        <w:widowControl/>
        <w:spacing w:line="360" w:lineRule="auto"/>
        <w:ind w:firstLine="640" w:firstLineChars="200"/>
        <w:jc w:val="left"/>
        <w:rPr>
          <w:rFonts w:ascii="仿宋" w:hAnsi="仿宋" w:eastAsia="仿宋"/>
          <w:sz w:val="32"/>
          <w:szCs w:val="32"/>
        </w:rPr>
      </w:pPr>
      <w:r>
        <w:rPr>
          <w:rFonts w:ascii="仿宋" w:hAnsi="仿宋" w:eastAsia="仿宋"/>
          <w:sz w:val="32"/>
          <w:szCs w:val="32"/>
        </w:rPr>
        <w:t>六、机关运行经费支出说明</w:t>
      </w:r>
    </w:p>
    <w:p>
      <w:pPr>
        <w:widowControl/>
        <w:spacing w:line="360" w:lineRule="auto"/>
        <w:ind w:firstLine="640" w:firstLineChars="200"/>
        <w:jc w:val="left"/>
        <w:rPr>
          <w:rFonts w:ascii="仿宋" w:hAnsi="仿宋" w:eastAsia="仿宋"/>
          <w:sz w:val="32"/>
          <w:szCs w:val="32"/>
        </w:rPr>
      </w:pPr>
      <w:r>
        <w:rPr>
          <w:rFonts w:ascii="仿宋" w:hAnsi="仿宋" w:eastAsia="仿宋"/>
          <w:sz w:val="32"/>
          <w:szCs w:val="32"/>
        </w:rPr>
        <w:t>七、政府采购支出说明</w:t>
      </w:r>
    </w:p>
    <w:p>
      <w:pPr>
        <w:widowControl/>
        <w:spacing w:line="360" w:lineRule="auto"/>
        <w:ind w:firstLine="640" w:firstLineChars="200"/>
        <w:jc w:val="left"/>
        <w:rPr>
          <w:rFonts w:ascii="仿宋" w:hAnsi="仿宋" w:eastAsia="仿宋"/>
          <w:sz w:val="32"/>
          <w:szCs w:val="32"/>
        </w:rPr>
      </w:pPr>
      <w:r>
        <w:rPr>
          <w:rFonts w:ascii="仿宋" w:hAnsi="仿宋" w:eastAsia="仿宋"/>
          <w:sz w:val="32"/>
          <w:szCs w:val="32"/>
        </w:rPr>
        <w:t>八、国有资产占用情况说明</w:t>
      </w:r>
    </w:p>
    <w:p>
      <w:pPr>
        <w:widowControl/>
        <w:spacing w:line="360" w:lineRule="auto"/>
        <w:ind w:firstLine="640" w:firstLineChars="200"/>
        <w:jc w:val="left"/>
        <w:rPr>
          <w:rFonts w:ascii="仿宋" w:hAnsi="仿宋" w:eastAsia="仿宋"/>
          <w:sz w:val="32"/>
          <w:szCs w:val="32"/>
        </w:rPr>
      </w:pPr>
      <w:r>
        <w:rPr>
          <w:rFonts w:ascii="仿宋" w:hAnsi="仿宋" w:eastAsia="仿宋"/>
          <w:sz w:val="32"/>
          <w:szCs w:val="32"/>
        </w:rPr>
        <w:t>九、关于2025年度绩效评价情况的说明</w:t>
      </w:r>
    </w:p>
    <w:p>
      <w:pPr>
        <w:widowControl/>
        <w:spacing w:line="360" w:lineRule="auto"/>
        <w:ind w:firstLine="640" w:firstLineChars="200"/>
        <w:jc w:val="left"/>
        <w:rPr>
          <w:rFonts w:ascii="仿宋" w:hAnsi="仿宋" w:eastAsia="仿宋"/>
          <w:sz w:val="32"/>
          <w:szCs w:val="32"/>
        </w:rPr>
      </w:pPr>
      <w:r>
        <w:rPr>
          <w:rFonts w:ascii="仿宋" w:hAnsi="仿宋" w:eastAsia="仿宋"/>
          <w:sz w:val="32"/>
          <w:szCs w:val="32"/>
        </w:rPr>
        <w:t>十、其他需要说明的情况</w:t>
      </w:r>
    </w:p>
    <w:p>
      <w:pPr>
        <w:widowControl/>
        <w:spacing w:line="360" w:lineRule="auto"/>
        <w:jc w:val="left"/>
        <w:rPr>
          <w:rFonts w:ascii="Times New Roman" w:eastAsia="黑体"/>
          <w:sz w:val="32"/>
          <w:szCs w:val="32"/>
        </w:rPr>
      </w:pPr>
      <w:r>
        <w:rPr>
          <w:rFonts w:ascii="Times New Roman" w:eastAsia="黑体"/>
          <w:sz w:val="32"/>
          <w:szCs w:val="32"/>
        </w:rPr>
        <w:t>第四部分 名词解释</w:t>
      </w:r>
    </w:p>
    <w:p>
      <w:pPr>
        <w:widowControl/>
        <w:spacing w:after="160" w:line="580" w:lineRule="exact"/>
        <w:rPr>
          <w:rFonts w:ascii="Times New Roman" w:hAnsi="Times New Roman" w:eastAsia="黑体" w:cs="Times New Roman"/>
          <w:sz w:val="32"/>
          <w:szCs w:val="32"/>
        </w:rPr>
        <w:sectPr>
          <w:headerReference r:id="rId4" w:type="first"/>
          <w:footerReference r:id="rId6" w:type="first"/>
          <w:headerReference r:id="rId3" w:type="default"/>
          <w:footerReference r:id="rId5" w:type="default"/>
          <w:pgSz w:w="11906" w:h="16838"/>
          <w:pgMar w:top="1474" w:right="1531" w:bottom="1474" w:left="1531" w:header="851" w:footer="992" w:gutter="0"/>
          <w:cols w:space="0" w:num="1"/>
          <w:titlePg/>
          <w:docGrid w:type="lines" w:linePitch="312" w:charSpace="0"/>
        </w:sectPr>
      </w:pPr>
    </w:p>
    <w:p>
      <w:pPr>
        <w:widowControl/>
        <w:spacing w:line="360" w:lineRule="auto"/>
        <w:jc w:val="center"/>
        <w:outlineLvl w:val="0"/>
        <w:rPr>
          <w:rFonts w:ascii="Times New Roman" w:eastAsia="黑体"/>
          <w:sz w:val="44"/>
          <w:szCs w:val="44"/>
        </w:rPr>
      </w:pPr>
    </w:p>
    <w:p>
      <w:pPr>
        <w:widowControl/>
        <w:spacing w:line="360" w:lineRule="auto"/>
        <w:jc w:val="center"/>
        <w:outlineLvl w:val="0"/>
        <w:rPr>
          <w:rFonts w:ascii="Times New Roman" w:eastAsia="黑体"/>
          <w:sz w:val="44"/>
          <w:szCs w:val="44"/>
        </w:rPr>
      </w:pPr>
    </w:p>
    <w:p>
      <w:pPr>
        <w:widowControl/>
        <w:spacing w:line="360" w:lineRule="auto"/>
        <w:jc w:val="center"/>
        <w:outlineLvl w:val="0"/>
        <w:rPr>
          <w:rFonts w:ascii="Times New Roman" w:eastAsia="黑体"/>
          <w:sz w:val="44"/>
          <w:szCs w:val="44"/>
        </w:rPr>
      </w:pPr>
    </w:p>
    <w:p>
      <w:pPr>
        <w:widowControl/>
        <w:spacing w:line="360" w:lineRule="auto"/>
        <w:jc w:val="center"/>
        <w:outlineLvl w:val="0"/>
        <w:rPr>
          <w:rFonts w:ascii="Times New Roman" w:eastAsia="黑体"/>
          <w:sz w:val="44"/>
          <w:szCs w:val="44"/>
        </w:rPr>
      </w:pPr>
    </w:p>
    <w:p>
      <w:pPr>
        <w:widowControl/>
        <w:spacing w:line="360" w:lineRule="auto"/>
        <w:jc w:val="center"/>
        <w:outlineLvl w:val="0"/>
        <w:rPr>
          <w:rFonts w:ascii="Times New Roman" w:eastAsia="黑体"/>
          <w:sz w:val="44"/>
          <w:szCs w:val="44"/>
        </w:rPr>
      </w:pPr>
    </w:p>
    <w:p>
      <w:pPr>
        <w:widowControl/>
        <w:spacing w:line="360" w:lineRule="auto"/>
        <w:jc w:val="center"/>
        <w:outlineLvl w:val="0"/>
        <w:rPr>
          <w:rFonts w:ascii="Times New Roman" w:eastAsia="黑体"/>
          <w:sz w:val="44"/>
          <w:szCs w:val="44"/>
        </w:rPr>
      </w:pPr>
    </w:p>
    <w:p>
      <w:pPr>
        <w:widowControl/>
        <w:spacing w:line="360" w:lineRule="auto"/>
        <w:jc w:val="center"/>
        <w:outlineLvl w:val="0"/>
        <w:rPr>
          <w:rFonts w:ascii="Times New Roman" w:eastAsia="黑体"/>
          <w:sz w:val="44"/>
          <w:szCs w:val="44"/>
        </w:rPr>
      </w:pPr>
    </w:p>
    <w:p>
      <w:pPr>
        <w:widowControl/>
        <w:spacing w:line="360" w:lineRule="auto"/>
        <w:jc w:val="center"/>
        <w:outlineLvl w:val="0"/>
        <w:rPr>
          <w:rFonts w:ascii="Times New Roman" w:eastAsia="黑体"/>
          <w:sz w:val="44"/>
          <w:szCs w:val="44"/>
        </w:rPr>
      </w:pPr>
      <w:r>
        <w:rPr>
          <w:rFonts w:ascii="Times New Roman" w:eastAsia="黑体"/>
          <w:sz w:val="44"/>
          <w:szCs w:val="44"/>
        </w:rPr>
        <w:t>第一部分</w:t>
      </w:r>
    </w:p>
    <w:p>
      <w:pPr>
        <w:widowControl/>
        <w:spacing w:line="360" w:lineRule="auto"/>
        <w:jc w:val="center"/>
        <w:outlineLvl w:val="0"/>
        <w:rPr>
          <w:rFonts w:ascii="Times New Roman" w:eastAsia="黑体"/>
          <w:sz w:val="44"/>
          <w:szCs w:val="44"/>
        </w:rPr>
      </w:pPr>
      <w:r>
        <w:rPr>
          <w:rFonts w:hint="eastAsia" w:ascii="Times New Roman" w:eastAsia="黑体"/>
          <w:sz w:val="44"/>
          <w:szCs w:val="44"/>
          <w:lang w:eastAsia="zh-CN"/>
        </w:rPr>
        <w:t>部门</w:t>
      </w:r>
      <w:r>
        <w:rPr>
          <w:rFonts w:ascii="Times New Roman" w:eastAsia="黑体"/>
          <w:sz w:val="44"/>
          <w:szCs w:val="44"/>
        </w:rPr>
        <w:t>概况</w:t>
      </w:r>
    </w:p>
    <w:p>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pPr>
        <w:pStyle w:val="10"/>
        <w:widowControl/>
        <w:shd w:val="clear" w:color="auto" w:fill="FFFFFF"/>
        <w:spacing w:beforeAutospacing="0" w:afterAutospacing="0"/>
        <w:jc w:val="both"/>
        <w:rPr>
          <w:rFonts w:ascii="黑体" w:hAnsi="宋体" w:eastAsia="黑体" w:cs="黑体"/>
          <w:color w:val="000000"/>
          <w:sz w:val="72"/>
          <w:szCs w:val="72"/>
          <w:shd w:val="clear" w:color="auto" w:fill="FFFFFF"/>
        </w:rPr>
      </w:pPr>
    </w:p>
    <w:p>
      <w:pPr>
        <w:widowControl/>
        <w:spacing w:line="360" w:lineRule="auto"/>
        <w:jc w:val="left"/>
        <w:outlineLvl w:val="1"/>
        <w:rPr>
          <w:rFonts w:ascii="Times New Roman" w:eastAsia="黑体"/>
          <w:sz w:val="32"/>
          <w:szCs w:val="32"/>
        </w:rPr>
      </w:pPr>
      <w:r>
        <w:rPr>
          <w:rFonts w:ascii="Times New Roman" w:eastAsia="黑体"/>
          <w:sz w:val="32"/>
          <w:szCs w:val="32"/>
        </w:rPr>
        <w:t>一、</w:t>
      </w:r>
      <w:r>
        <w:rPr>
          <w:rFonts w:hint="eastAsia" w:ascii="Times New Roman" w:eastAsia="黑体"/>
          <w:sz w:val="32"/>
          <w:szCs w:val="32"/>
          <w:lang w:eastAsia="zh-CN"/>
        </w:rPr>
        <w:t>部门</w:t>
      </w:r>
      <w:r>
        <w:rPr>
          <w:rFonts w:ascii="Times New Roman" w:eastAsia="黑体"/>
          <w:sz w:val="32"/>
          <w:szCs w:val="32"/>
        </w:rPr>
        <w:t>职责</w:t>
      </w:r>
    </w:p>
    <w:p>
      <w:pPr>
        <w:widowControl/>
        <w:spacing w:line="360" w:lineRule="auto"/>
        <w:ind w:firstLine="640" w:firstLineChars="200"/>
        <w:jc w:val="left"/>
        <w:rPr>
          <w:rFonts w:hint="eastAsia" w:ascii="Times New Roman" w:eastAsia="仿宋_GB2312"/>
          <w:sz w:val="32"/>
          <w:szCs w:val="32"/>
        </w:rPr>
      </w:pPr>
      <w:r>
        <w:rPr>
          <w:rFonts w:hint="eastAsia" w:ascii="Times New Roman" w:eastAsia="仿宋_GB2312"/>
          <w:sz w:val="32"/>
          <w:szCs w:val="32"/>
        </w:rPr>
        <w:t>(一)负责组织全市金融安全稳定和改革发展政策研究，拟订全市金融业发展规划和地方金融改革发展意见。</w:t>
      </w:r>
    </w:p>
    <w:p>
      <w:pPr>
        <w:widowControl/>
        <w:spacing w:line="360" w:lineRule="auto"/>
        <w:ind w:firstLine="640" w:firstLineChars="200"/>
        <w:jc w:val="left"/>
        <w:rPr>
          <w:rFonts w:hint="eastAsia" w:ascii="Times New Roman" w:eastAsia="仿宋_GB2312"/>
          <w:sz w:val="32"/>
          <w:szCs w:val="32"/>
        </w:rPr>
      </w:pPr>
      <w:r>
        <w:rPr>
          <w:rFonts w:hint="eastAsia" w:ascii="Times New Roman" w:eastAsia="仿宋_GB2312"/>
          <w:sz w:val="32"/>
          <w:szCs w:val="32"/>
        </w:rPr>
        <w:t>(二)负责加强与上级金融管理部门以及银行、保险等金融机构的沟通联系，指导协调市有关部门和各县（市、区）加强与金融机构对接合作，做好金融服务实体经济发展工作。</w:t>
      </w:r>
    </w:p>
    <w:p>
      <w:pPr>
        <w:widowControl/>
        <w:spacing w:line="360" w:lineRule="auto"/>
        <w:ind w:firstLine="640" w:firstLineChars="200"/>
        <w:jc w:val="left"/>
        <w:rPr>
          <w:rFonts w:hint="eastAsia" w:ascii="Times New Roman" w:eastAsia="仿宋_GB2312"/>
          <w:sz w:val="32"/>
          <w:szCs w:val="32"/>
        </w:rPr>
      </w:pPr>
      <w:r>
        <w:rPr>
          <w:rFonts w:hint="eastAsia" w:ascii="Times New Roman" w:eastAsia="仿宋_GB2312"/>
          <w:sz w:val="32"/>
          <w:szCs w:val="32"/>
        </w:rPr>
        <w:t>(三)负责加强与上级金融管理部门以及证券、期货、基金、区域性股权市场等金融机构的沟通联系。</w:t>
      </w:r>
    </w:p>
    <w:p>
      <w:pPr>
        <w:widowControl/>
        <w:spacing w:line="360" w:lineRule="auto"/>
        <w:ind w:firstLine="640" w:firstLineChars="200"/>
        <w:jc w:val="left"/>
        <w:rPr>
          <w:rFonts w:hint="eastAsia" w:ascii="Times New Roman" w:eastAsia="仿宋_GB2312"/>
          <w:sz w:val="32"/>
          <w:szCs w:val="32"/>
        </w:rPr>
      </w:pPr>
      <w:r>
        <w:rPr>
          <w:rFonts w:hint="eastAsia" w:ascii="Times New Roman" w:eastAsia="仿宋_GB2312"/>
          <w:sz w:val="32"/>
          <w:szCs w:val="32"/>
        </w:rPr>
        <w:t>(四)负责全市地方金融组织监管统筹协调、运行分析研究和数据统计汇总。负责全市小额贷款公司、典当行、融资租赁公司、商业保理公司、地方资产管理公司的监督管理、规范发展相关工作。</w:t>
      </w:r>
    </w:p>
    <w:p>
      <w:pPr>
        <w:keepNext w:val="0"/>
        <w:keepLines w:val="0"/>
        <w:pageBreakBefore w:val="0"/>
        <w:widowControl w:val="0"/>
        <w:kinsoku w:val="0"/>
        <w:wordWrap/>
        <w:overflowPunct w:val="0"/>
        <w:topLinePunct w:val="0"/>
        <w:autoSpaceDE w:val="0"/>
        <w:autoSpaceDN w:val="0"/>
        <w:bidi w:val="0"/>
        <w:adjustRightInd/>
        <w:snapToGrid/>
        <w:spacing w:line="360" w:lineRule="auto"/>
        <w:ind w:firstLine="640" w:firstLineChars="200"/>
        <w:jc w:val="left"/>
        <w:textAlignment w:val="auto"/>
        <w:rPr>
          <w:rFonts w:hint="eastAsia" w:ascii="Times New Roman" w:eastAsia="仿宋_GB2312"/>
          <w:sz w:val="32"/>
          <w:szCs w:val="32"/>
        </w:rPr>
      </w:pPr>
      <w:r>
        <w:rPr>
          <w:rFonts w:hint="eastAsia" w:ascii="Times New Roman" w:eastAsia="仿宋_GB2312"/>
          <w:sz w:val="32"/>
          <w:szCs w:val="32"/>
        </w:rPr>
        <w:t>(五)负责协调推动市有关部门和各县（市、区）配合上级金融管理部门及其派驻机构做好金融领域相关</w:t>
      </w:r>
      <w:r>
        <w:rPr>
          <w:rFonts w:hint="eastAsia" w:ascii="Times New Roman" w:eastAsia="仿宋_GB2312"/>
          <w:sz w:val="32"/>
          <w:szCs w:val="32"/>
          <w:lang w:eastAsia="zh-CN"/>
        </w:rPr>
        <w:t>工作。</w:t>
      </w:r>
    </w:p>
    <w:p>
      <w:pPr>
        <w:widowControl/>
        <w:spacing w:line="360" w:lineRule="auto"/>
        <w:ind w:firstLine="640" w:firstLineChars="200"/>
        <w:jc w:val="left"/>
        <w:rPr>
          <w:rFonts w:hint="eastAsia" w:ascii="Times New Roman" w:eastAsia="仿宋_GB2312"/>
          <w:sz w:val="32"/>
          <w:szCs w:val="32"/>
        </w:rPr>
      </w:pPr>
      <w:r>
        <w:rPr>
          <w:rFonts w:hint="eastAsia" w:ascii="Times New Roman" w:eastAsia="仿宋_GB2312"/>
          <w:sz w:val="32"/>
          <w:szCs w:val="32"/>
        </w:rPr>
        <w:t>(六)配合上级金融管理部门打击非法金融活动。组织开展防范和处置非法集资工作，开展宣传教育、政策解释和业务指导。</w:t>
      </w:r>
    </w:p>
    <w:p>
      <w:pPr>
        <w:widowControl/>
        <w:spacing w:line="360" w:lineRule="auto"/>
        <w:ind w:firstLine="640" w:firstLineChars="200"/>
        <w:jc w:val="left"/>
        <w:rPr>
          <w:rFonts w:ascii="Times New Roman" w:eastAsia="仿宋_GB2312"/>
          <w:sz w:val="32"/>
          <w:szCs w:val="32"/>
        </w:rPr>
      </w:pPr>
      <w:r>
        <w:rPr>
          <w:rFonts w:hint="eastAsia" w:ascii="Times New Roman" w:eastAsia="仿宋_GB2312"/>
          <w:sz w:val="32"/>
          <w:szCs w:val="32"/>
        </w:rPr>
        <w:t>（七）负责辖区内地方国有金融企业和非公金融企业党建工作调查研究，拟订工作规划和政策措施并组织实施。指导地方国有金融企业和非公金融企业党的宣传思想文化工作，加强思想政治工作和精神文明建设。</w:t>
      </w:r>
    </w:p>
    <w:p>
      <w:pPr>
        <w:widowControl/>
        <w:spacing w:line="360" w:lineRule="auto"/>
        <w:jc w:val="left"/>
        <w:outlineLvl w:val="1"/>
        <w:rPr>
          <w:rFonts w:ascii="Times New Roman" w:eastAsia="黑体"/>
          <w:sz w:val="32"/>
          <w:szCs w:val="32"/>
        </w:rPr>
      </w:pPr>
      <w:r>
        <w:rPr>
          <w:rFonts w:ascii="Times New Roman" w:eastAsia="黑体"/>
          <w:sz w:val="32"/>
          <w:szCs w:val="32"/>
        </w:rPr>
        <w:t>二、机构设置</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从决算编报单位构成看，纳入2025年度本部门决算汇编范围的独立核算单位（以下简称“单位”）共</w:t>
      </w:r>
      <w:r>
        <w:rPr>
          <w:rFonts w:hint="eastAsia" w:ascii="Times New Roman" w:eastAsia="仿宋_GB2312"/>
          <w:sz w:val="32"/>
          <w:szCs w:val="32"/>
          <w:lang w:val="en-US" w:eastAsia="zh-CN"/>
        </w:rPr>
        <w:t>1</w:t>
      </w:r>
      <w:r>
        <w:rPr>
          <w:rFonts w:ascii="Times New Roman" w:eastAsia="仿宋_GB2312"/>
          <w:sz w:val="32"/>
          <w:szCs w:val="32"/>
        </w:rPr>
        <w:t>个，具体情况如下：</w:t>
      </w:r>
    </w:p>
    <w:tbl>
      <w:tblPr>
        <w:tblStyle w:val="11"/>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pPr>
              <w:spacing w:line="560" w:lineRule="exact"/>
              <w:jc w:val="center"/>
              <w:rPr>
                <w:rFonts w:ascii="仿宋_GB2312" w:hAnsi="Calibri" w:eastAsia="仿宋_GB2312" w:cs="ArialUnicodeMS"/>
                <w:b/>
                <w:bCs/>
                <w:sz w:val="28"/>
                <w:szCs w:val="28"/>
              </w:rPr>
            </w:pPr>
            <w:r>
              <w:rPr>
                <w:rFonts w:hint="eastAsia" w:ascii="仿宋_GB2312" w:hAnsi="Calibri" w:eastAsia="仿宋_GB2312" w:cs="ArialUnicodeMS"/>
                <w:b/>
                <w:bCs/>
                <w:sz w:val="28"/>
                <w:szCs w:val="28"/>
              </w:rPr>
              <w:t>序号</w:t>
            </w:r>
          </w:p>
        </w:tc>
        <w:tc>
          <w:tcPr>
            <w:tcW w:w="3485" w:type="dxa"/>
            <w:vAlign w:val="center"/>
          </w:tcPr>
          <w:p>
            <w:pPr>
              <w:spacing w:line="560" w:lineRule="exact"/>
              <w:jc w:val="center"/>
              <w:rPr>
                <w:rFonts w:ascii="仿宋_GB2312" w:hAnsi="Calibri" w:eastAsia="仿宋_GB2312" w:cs="ArialUnicodeMS"/>
                <w:b/>
                <w:bCs/>
                <w:sz w:val="28"/>
                <w:szCs w:val="28"/>
              </w:rPr>
            </w:pPr>
            <w:r>
              <w:rPr>
                <w:rFonts w:hint="eastAsia" w:ascii="仿宋_GB2312" w:hAnsi="Calibri" w:eastAsia="仿宋_GB2312" w:cs="ArialUnicodeMS"/>
                <w:b/>
                <w:bCs/>
                <w:sz w:val="28"/>
                <w:szCs w:val="28"/>
              </w:rPr>
              <w:t>单位名称</w:t>
            </w:r>
          </w:p>
        </w:tc>
        <w:tc>
          <w:tcPr>
            <w:tcW w:w="2445" w:type="dxa"/>
            <w:vAlign w:val="center"/>
          </w:tcPr>
          <w:p>
            <w:pPr>
              <w:spacing w:line="560" w:lineRule="exact"/>
              <w:jc w:val="center"/>
              <w:rPr>
                <w:rFonts w:ascii="仿宋_GB2312" w:hAnsi="Calibri" w:eastAsia="仿宋_GB2312" w:cs="ArialUnicodeMS"/>
                <w:b/>
                <w:bCs/>
                <w:sz w:val="28"/>
                <w:szCs w:val="28"/>
              </w:rPr>
            </w:pPr>
            <w:r>
              <w:rPr>
                <w:rFonts w:hint="eastAsia" w:ascii="仿宋_GB2312" w:hAnsi="Calibri" w:eastAsia="仿宋_GB2312" w:cs="ArialUnicodeMS"/>
                <w:b/>
                <w:bCs/>
                <w:sz w:val="28"/>
                <w:szCs w:val="28"/>
              </w:rPr>
              <w:t>单位基本性质</w:t>
            </w:r>
          </w:p>
        </w:tc>
        <w:tc>
          <w:tcPr>
            <w:tcW w:w="2665" w:type="dxa"/>
            <w:vAlign w:val="center"/>
          </w:tcPr>
          <w:p>
            <w:pPr>
              <w:spacing w:line="560" w:lineRule="exact"/>
              <w:jc w:val="center"/>
              <w:rPr>
                <w:rFonts w:ascii="仿宋_GB2312" w:hAnsi="Calibri" w:eastAsia="仿宋_GB2312" w:cs="ArialUnicodeMS"/>
                <w:b/>
                <w:bCs/>
                <w:sz w:val="28"/>
                <w:szCs w:val="28"/>
              </w:rPr>
            </w:pPr>
            <w:r>
              <w:rPr>
                <w:rFonts w:hint="eastAsia" w:ascii="仿宋_GB2312" w:hAnsi="Calibri" w:eastAsia="仿宋_GB2312" w:cs="ArialUnicodeMS"/>
                <w:b/>
                <w:bCs/>
                <w:sz w:val="28"/>
                <w:szCs w:val="28"/>
              </w:rPr>
              <w:t>经费形式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pPr>
              <w:spacing w:line="560" w:lineRule="exact"/>
              <w:jc w:val="center"/>
              <w:rPr>
                <w:rFonts w:ascii="仿宋_GB2312" w:hAnsi="Calibri" w:eastAsia="仿宋_GB2312" w:cs="ArialUnicodeMS"/>
                <w:sz w:val="28"/>
                <w:szCs w:val="28"/>
              </w:rPr>
            </w:pPr>
            <w:r>
              <w:rPr>
                <w:rFonts w:hint="eastAsia" w:ascii="仿宋_GB2312" w:hAnsi="Calibri" w:eastAsia="仿宋_GB2312" w:cs="ArialUnicodeMS"/>
                <w:sz w:val="28"/>
                <w:szCs w:val="28"/>
              </w:rPr>
              <w:t>1</w:t>
            </w:r>
          </w:p>
        </w:tc>
        <w:tc>
          <w:tcPr>
            <w:tcW w:w="3485" w:type="dxa"/>
            <w:vAlign w:val="center"/>
          </w:tcPr>
          <w:p>
            <w:pPr>
              <w:spacing w:line="560" w:lineRule="exact"/>
              <w:jc w:val="center"/>
              <w:rPr>
                <w:rFonts w:ascii="仿宋_GB2312" w:hAnsi="Calibri" w:eastAsia="仿宋_GB2312" w:cs="ArialUnicodeMS"/>
                <w:sz w:val="28"/>
                <w:szCs w:val="28"/>
              </w:rPr>
            </w:pPr>
            <w:r>
              <w:rPr>
                <w:rFonts w:hint="eastAsia" w:ascii="仿宋_GB2312" w:hAnsi="Calibri" w:eastAsia="仿宋_GB2312" w:cs="ArialUnicodeMS"/>
                <w:sz w:val="28"/>
                <w:szCs w:val="28"/>
              </w:rPr>
              <w:t>中共石家庄市委金融委员会办公室</w:t>
            </w:r>
          </w:p>
        </w:tc>
        <w:tc>
          <w:tcPr>
            <w:tcW w:w="2445" w:type="dxa"/>
            <w:vAlign w:val="center"/>
          </w:tcPr>
          <w:p>
            <w:pPr>
              <w:spacing w:line="560" w:lineRule="exact"/>
              <w:jc w:val="center"/>
              <w:rPr>
                <w:rFonts w:hint="eastAsia" w:ascii="仿宋_GB2312" w:hAnsi="Calibri" w:eastAsia="仿宋_GB2312" w:cs="ArialUnicodeMS"/>
                <w:sz w:val="28"/>
                <w:szCs w:val="28"/>
                <w:lang w:eastAsia="zh-CN"/>
              </w:rPr>
            </w:pPr>
            <w:r>
              <w:rPr>
                <w:rFonts w:hint="eastAsia" w:ascii="仿宋_GB2312" w:hAnsi="Calibri" w:eastAsia="仿宋_GB2312" w:cs="ArialUnicodeMS"/>
                <w:sz w:val="28"/>
                <w:szCs w:val="28"/>
                <w:lang w:eastAsia="zh-CN"/>
              </w:rPr>
              <w:t>行政</w:t>
            </w:r>
          </w:p>
        </w:tc>
        <w:tc>
          <w:tcPr>
            <w:tcW w:w="2665" w:type="dxa"/>
            <w:vAlign w:val="center"/>
          </w:tcPr>
          <w:p>
            <w:pPr>
              <w:spacing w:line="560" w:lineRule="exact"/>
              <w:jc w:val="center"/>
              <w:rPr>
                <w:rFonts w:ascii="仿宋_GB2312" w:hAnsi="Calibri" w:eastAsia="仿宋_GB2312" w:cs="ArialUnicodeMS"/>
                <w:sz w:val="28"/>
                <w:szCs w:val="28"/>
              </w:rPr>
            </w:pPr>
            <w:r>
              <w:rPr>
                <w:rFonts w:hint="eastAsia" w:ascii="仿宋_GB2312" w:hAnsi="Calibri" w:eastAsia="仿宋_GB2312" w:cs="ArialUnicodeMS"/>
                <w:sz w:val="28"/>
                <w:szCs w:val="28"/>
              </w:rPr>
              <w:t>全额</w:t>
            </w:r>
          </w:p>
        </w:tc>
      </w:tr>
    </w:tbl>
    <w:p>
      <w:pPr>
        <w:rPr>
          <w:rFonts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r>
    </w:p>
    <w:p>
      <w:pPr>
        <w:pStyle w:val="10"/>
        <w:widowControl/>
        <w:spacing w:beforeAutospacing="0" w:afterAutospacing="0"/>
        <w:jc w:val="both"/>
        <w:outlineLvl w:val="0"/>
        <w:rPr>
          <w:rFonts w:ascii="黑体" w:hAnsi="宋体" w:eastAsia="黑体" w:cs="黑体"/>
          <w:color w:val="000000"/>
          <w:sz w:val="72"/>
          <w:szCs w:val="72"/>
          <w:shd w:val="clear" w:color="auto" w:fill="FFFFFF"/>
        </w:rPr>
      </w:pPr>
    </w:p>
    <w:p>
      <w:pPr>
        <w:pStyle w:val="10"/>
        <w:widowControl/>
        <w:spacing w:beforeAutospacing="0" w:afterAutospacing="0"/>
        <w:jc w:val="both"/>
        <w:outlineLvl w:val="0"/>
        <w:rPr>
          <w:rFonts w:ascii="黑体" w:hAnsi="宋体" w:eastAsia="黑体" w:cs="黑体"/>
          <w:color w:val="000000"/>
          <w:sz w:val="72"/>
          <w:szCs w:val="72"/>
          <w:shd w:val="clear" w:color="auto" w:fill="FFFFFF"/>
        </w:rPr>
      </w:pPr>
    </w:p>
    <w:p>
      <w:pPr>
        <w:pStyle w:val="10"/>
        <w:widowControl/>
        <w:spacing w:beforeAutospacing="0" w:afterAutospacing="0"/>
        <w:jc w:val="both"/>
        <w:outlineLvl w:val="0"/>
        <w:rPr>
          <w:rFonts w:ascii="黑体" w:hAnsi="宋体" w:eastAsia="黑体" w:cs="黑体"/>
          <w:color w:val="000000"/>
          <w:sz w:val="72"/>
          <w:szCs w:val="72"/>
          <w:shd w:val="clear" w:color="auto" w:fill="FFFFFF"/>
        </w:rPr>
      </w:pPr>
    </w:p>
    <w:p>
      <w:pPr>
        <w:pStyle w:val="10"/>
        <w:widowControl/>
        <w:spacing w:beforeAutospacing="0" w:afterAutospacing="0"/>
        <w:jc w:val="both"/>
        <w:outlineLvl w:val="0"/>
        <w:rPr>
          <w:rFonts w:ascii="黑体" w:hAnsi="宋体" w:eastAsia="黑体" w:cs="黑体"/>
          <w:color w:val="000000"/>
          <w:sz w:val="72"/>
          <w:szCs w:val="72"/>
          <w:shd w:val="clear" w:color="auto" w:fill="FFFFFF"/>
        </w:rPr>
      </w:pPr>
    </w:p>
    <w:p>
      <w:pPr>
        <w:pStyle w:val="10"/>
        <w:widowControl/>
        <w:spacing w:beforeAutospacing="0" w:afterAutospacing="0"/>
        <w:jc w:val="both"/>
        <w:outlineLvl w:val="0"/>
        <w:rPr>
          <w:rFonts w:ascii="黑体" w:hAnsi="宋体" w:eastAsia="黑体" w:cs="黑体"/>
          <w:color w:val="000000"/>
          <w:sz w:val="72"/>
          <w:szCs w:val="72"/>
          <w:shd w:val="clear" w:color="auto" w:fill="FFFFFF"/>
        </w:rPr>
      </w:pPr>
    </w:p>
    <w:p>
      <w:pPr>
        <w:widowControl/>
        <w:spacing w:line="360" w:lineRule="auto"/>
        <w:jc w:val="center"/>
        <w:outlineLvl w:val="0"/>
        <w:rPr>
          <w:rFonts w:ascii="Times New Roman" w:eastAsia="黑体"/>
          <w:sz w:val="44"/>
          <w:szCs w:val="44"/>
        </w:rPr>
      </w:pPr>
      <w:r>
        <w:rPr>
          <w:rFonts w:ascii="Times New Roman" w:eastAsia="黑体"/>
          <w:sz w:val="44"/>
          <w:szCs w:val="44"/>
        </w:rPr>
        <w:t>第二部分</w:t>
      </w:r>
    </w:p>
    <w:p>
      <w:pPr>
        <w:widowControl/>
        <w:spacing w:line="360" w:lineRule="auto"/>
        <w:jc w:val="center"/>
        <w:outlineLvl w:val="0"/>
        <w:rPr>
          <w:rFonts w:ascii="Times New Roman" w:eastAsia="黑体"/>
          <w:sz w:val="44"/>
          <w:szCs w:val="44"/>
        </w:rPr>
      </w:pPr>
      <w:r>
        <w:rPr>
          <w:rFonts w:ascii="Times New Roman" w:eastAsia="仿宋_GB2312"/>
          <w:sz w:val="44"/>
          <w:szCs w:val="44"/>
        </w:rPr>
        <w:t>2025</w:t>
      </w:r>
      <w:r>
        <w:rPr>
          <w:rFonts w:ascii="Times New Roman" w:eastAsia="黑体"/>
          <w:sz w:val="44"/>
          <w:szCs w:val="44"/>
        </w:rPr>
        <w:t>年度部门决算表</w:t>
      </w:r>
    </w:p>
    <w:p>
      <w:pPr>
        <w:pStyle w:val="10"/>
        <w:widowControl/>
        <w:spacing w:beforeAutospacing="0" w:afterAutospacing="0"/>
        <w:jc w:val="both"/>
        <w:outlineLvl w:val="0"/>
        <w:rPr>
          <w:rFonts w:ascii="黑体" w:hAnsi="宋体" w:eastAsia="黑体" w:cs="黑体"/>
          <w:color w:val="000000"/>
          <w:sz w:val="72"/>
          <w:szCs w:val="72"/>
          <w:shd w:val="clear" w:color="auto" w:fill="FFFFFF"/>
        </w:rPr>
      </w:pPr>
    </w:p>
    <w:p>
      <w:pPr>
        <w:pStyle w:val="10"/>
        <w:widowControl/>
        <w:spacing w:beforeAutospacing="0" w:afterAutospacing="0"/>
        <w:jc w:val="both"/>
        <w:outlineLvl w:val="0"/>
        <w:rPr>
          <w:rFonts w:ascii="黑体" w:hAnsi="宋体" w:eastAsia="黑体" w:cs="黑体"/>
          <w:color w:val="000000"/>
          <w:sz w:val="72"/>
          <w:szCs w:val="72"/>
          <w:shd w:val="clear" w:color="auto" w:fill="FFFFFF"/>
        </w:rPr>
      </w:pPr>
    </w:p>
    <w:p>
      <w:pPr>
        <w:pStyle w:val="10"/>
        <w:widowControl/>
        <w:spacing w:beforeAutospacing="0" w:afterAutospacing="0"/>
        <w:jc w:val="both"/>
        <w:outlineLvl w:val="0"/>
        <w:rPr>
          <w:rFonts w:ascii="黑体" w:hAnsi="宋体" w:eastAsia="黑体" w:cs="黑体"/>
          <w:color w:val="000000"/>
          <w:sz w:val="72"/>
          <w:szCs w:val="72"/>
          <w:shd w:val="clear" w:color="auto" w:fill="FFFFFF"/>
        </w:rPr>
      </w:pPr>
    </w:p>
    <w:p/>
    <w:p/>
    <w:tbl>
      <w:tblPr>
        <w:tblStyle w:val="11"/>
        <w:tblW w:w="5000" w:type="pct"/>
        <w:tblInd w:w="0" w:type="dxa"/>
        <w:tblLayout w:type="autofit"/>
        <w:tblCellMar>
          <w:top w:w="0" w:type="dxa"/>
          <w:left w:w="108" w:type="dxa"/>
          <w:bottom w:w="0" w:type="dxa"/>
          <w:right w:w="108" w:type="dxa"/>
        </w:tblCellMar>
      </w:tblPr>
      <w:tblGrid>
        <w:gridCol w:w="3335"/>
        <w:gridCol w:w="606"/>
        <w:gridCol w:w="311"/>
        <w:gridCol w:w="587"/>
        <w:gridCol w:w="1702"/>
        <w:gridCol w:w="1243"/>
        <w:gridCol w:w="606"/>
        <w:gridCol w:w="898"/>
      </w:tblGrid>
      <w:tr>
        <w:tblPrEx>
          <w:tblCellMar>
            <w:top w:w="0" w:type="dxa"/>
            <w:left w:w="108" w:type="dxa"/>
            <w:bottom w:w="0" w:type="dxa"/>
            <w:right w:w="108" w:type="dxa"/>
          </w:tblCellMar>
        </w:tblPrEx>
        <w:trPr>
          <w:trHeight w:val="361" w:hRule="atLeast"/>
        </w:trPr>
        <w:tc>
          <w:tcPr>
            <w:tcW w:w="4984" w:type="pct"/>
            <w:gridSpan w:val="8"/>
            <w:tcBorders>
              <w:top w:val="nil"/>
              <w:left w:val="nil"/>
              <w:bottom w:val="nil"/>
              <w:right w:val="nil"/>
            </w:tcBorders>
            <w:noWrap/>
            <w:vAlign w:val="bottom"/>
          </w:tcPr>
          <w:p>
            <w:pPr>
              <w:widowControl/>
              <w:jc w:val="center"/>
              <w:textAlignment w:val="bottom"/>
              <w:rPr>
                <w:rFonts w:ascii="宋体" w:hAnsi="宋体" w:eastAsia="宋体"/>
                <w:color w:val="000000"/>
                <w:sz w:val="20"/>
                <w:szCs w:val="20"/>
              </w:rPr>
            </w:pPr>
            <w:r>
              <w:rPr>
                <w:rFonts w:hint="eastAsia" w:ascii="方正仿宋_GB2312" w:hAnsi="方正仿宋_GB2312" w:eastAsia="方正仿宋_GB2312" w:cs="方正仿宋_GB2312"/>
                <w:bCs/>
                <w:sz w:val="32"/>
                <w:szCs w:val="32"/>
              </w:rPr>
              <w:t>收入支出决算总表</w:t>
            </w:r>
          </w:p>
        </w:tc>
      </w:tr>
      <w:tr>
        <w:tblPrEx>
          <w:tblCellMar>
            <w:top w:w="0" w:type="dxa"/>
            <w:left w:w="108" w:type="dxa"/>
            <w:bottom w:w="0" w:type="dxa"/>
            <w:right w:w="108" w:type="dxa"/>
          </w:tblCellMar>
        </w:tblPrEx>
        <w:trPr>
          <w:trHeight w:val="357" w:hRule="atLeast"/>
        </w:trPr>
        <w:tc>
          <w:tcPr>
            <w:tcW w:w="4984" w:type="pct"/>
            <w:gridSpan w:val="8"/>
            <w:tcBorders>
              <w:top w:val="nil"/>
              <w:left w:val="nil"/>
              <w:bottom w:val="nil"/>
              <w:right w:val="nil"/>
            </w:tcBorders>
            <w:noWrap/>
            <w:vAlign w:val="bottom"/>
          </w:tcPr>
          <w:p>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 xml:space="preserve"> 公开</w:t>
            </w:r>
            <w:r>
              <w:rPr>
                <w:rFonts w:hint="eastAsia" w:ascii="Times New Roman" w:hAnsi="Times New Roman" w:eastAsia="宋体" w:cs="Times New Roman"/>
                <w:color w:val="000000"/>
                <w:sz w:val="20"/>
                <w:szCs w:val="20"/>
              </w:rPr>
              <w:t>01</w:t>
            </w:r>
            <w:r>
              <w:rPr>
                <w:rFonts w:hint="eastAsia" w:ascii="方正仿宋_GB2312" w:hAnsi="方正仿宋_GB2312" w:eastAsia="方正仿宋_GB2312" w:cs="方正仿宋_GB2312"/>
                <w:color w:val="000000"/>
                <w:sz w:val="20"/>
                <w:szCs w:val="20"/>
                <w:lang w:bidi="ar"/>
              </w:rPr>
              <w:t>表</w:t>
            </w:r>
          </w:p>
        </w:tc>
      </w:tr>
      <w:tr>
        <w:tblPrEx>
          <w:tblCellMar>
            <w:top w:w="0" w:type="dxa"/>
            <w:left w:w="108" w:type="dxa"/>
            <w:bottom w:w="0" w:type="dxa"/>
            <w:right w:w="108" w:type="dxa"/>
          </w:tblCellMar>
        </w:tblPrEx>
        <w:trPr>
          <w:trHeight w:val="351" w:hRule="atLeast"/>
        </w:trPr>
        <w:tc>
          <w:tcPr>
            <w:tcW w:w="1963" w:type="pct"/>
            <w:gridSpan w:val="3"/>
            <w:tcBorders>
              <w:top w:val="nil"/>
              <w:left w:val="nil"/>
              <w:bottom w:val="single" w:color="000000" w:themeColor="text1" w:sz="8" w:space="0"/>
              <w:right w:val="nil"/>
            </w:tcBorders>
            <w:noWrap/>
            <w:vAlign w:val="bottom"/>
          </w:tcPr>
          <w:p>
            <w:pP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部门：中共石家庄市委金融委员会办公室</w:t>
            </w:r>
          </w:p>
        </w:tc>
        <w:tc>
          <w:tcPr>
            <w:tcW w:w="1261" w:type="pct"/>
            <w:gridSpan w:val="2"/>
            <w:tcBorders>
              <w:top w:val="nil"/>
              <w:left w:val="nil"/>
              <w:bottom w:val="single" w:color="000000" w:themeColor="text1" w:sz="8" w:space="0"/>
              <w:right w:val="nil"/>
            </w:tcBorders>
            <w:noWrap/>
            <w:vAlign w:val="bottom"/>
          </w:tcPr>
          <w:p>
            <w:pPr>
              <w:jc w:val="center"/>
              <w:rPr>
                <w:rFonts w:ascii="宋体" w:hAnsi="宋体" w:eastAsia="宋体"/>
                <w:color w:val="000000"/>
                <w:sz w:val="20"/>
                <w:szCs w:val="20"/>
                <w:lang w:bidi="ar"/>
              </w:rPr>
            </w:pPr>
            <w:r>
              <w:rPr>
                <w:rFonts w:hint="eastAsia" w:ascii="Times New Roman" w:hAnsi="Times New Roman" w:eastAsia="宋体" w:cs="Times New Roman"/>
                <w:color w:val="000000"/>
                <w:sz w:val="20"/>
                <w:szCs w:val="20"/>
              </w:rPr>
              <w:t>2025</w:t>
            </w:r>
            <w:r>
              <w:rPr>
                <w:rFonts w:hint="eastAsia" w:ascii="方正仿宋_GB2312" w:hAnsi="方正仿宋_GB2312" w:eastAsia="方正仿宋_GB2312" w:cs="方正仿宋_GB2312"/>
                <w:color w:val="000000"/>
                <w:sz w:val="20"/>
                <w:szCs w:val="20"/>
                <w:lang w:bidi="ar"/>
              </w:rPr>
              <w:t>年度</w:t>
            </w:r>
          </w:p>
        </w:tc>
        <w:tc>
          <w:tcPr>
            <w:tcW w:w="1759" w:type="pct"/>
            <w:gridSpan w:val="3"/>
            <w:tcBorders>
              <w:top w:val="nil"/>
              <w:left w:val="nil"/>
              <w:bottom w:val="single" w:color="000000" w:themeColor="text1" w:sz="8" w:space="0"/>
              <w:right w:val="nil"/>
            </w:tcBorders>
            <w:noWrap/>
            <w:vAlign w:val="bottom"/>
          </w:tcPr>
          <w:p>
            <w:pPr>
              <w:jc w:val="right"/>
              <w:rPr>
                <w:rFonts w:ascii="宋体" w:hAnsi="宋体" w:eastAsia="宋体"/>
                <w:color w:val="000000"/>
                <w:sz w:val="20"/>
                <w:szCs w:val="20"/>
                <w:lang w:bidi="ar"/>
              </w:rPr>
            </w:pPr>
            <w:r>
              <w:rPr>
                <w:rFonts w:hint="eastAsia" w:ascii="方正仿宋_GB2312" w:hAnsi="方正仿宋_GB2312" w:eastAsia="方正仿宋_GB2312" w:cs="方正仿宋_GB2312"/>
                <w:color w:val="000000"/>
                <w:sz w:val="20"/>
                <w:szCs w:val="20"/>
                <w:lang w:bidi="ar"/>
              </w:rPr>
              <w:t>金额单位：万元</w:t>
            </w:r>
          </w:p>
        </w:tc>
      </w:tr>
      <w:tr>
        <w:trPr>
          <w:trHeight w:val="544" w:hRule="atLeast"/>
        </w:trPr>
        <w:tc>
          <w:tcPr>
            <w:tcW w:w="245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lang w:bidi="ar"/>
              </w:rPr>
              <w:t>收入</w:t>
            </w:r>
          </w:p>
        </w:tc>
        <w:tc>
          <w:tcPr>
            <w:tcW w:w="2525"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lang w:bidi="ar"/>
              </w:rPr>
              <w:t>支出</w:t>
            </w:r>
          </w:p>
        </w:tc>
      </w:tr>
      <w:tr>
        <w:tblPrEx>
          <w:tblCellMar>
            <w:top w:w="0" w:type="dxa"/>
            <w:left w:w="108" w:type="dxa"/>
            <w:bottom w:w="0" w:type="dxa"/>
            <w:right w:w="108" w:type="dxa"/>
          </w:tblCellMar>
        </w:tblPrEx>
        <w:trPr>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项目</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行次</w:t>
            </w:r>
          </w:p>
        </w:tc>
        <w:tc>
          <w:tcPr>
            <w:tcW w:w="757"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决算数</w:t>
            </w:r>
          </w:p>
        </w:tc>
        <w:tc>
          <w:tcPr>
            <w:tcW w:w="132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项目</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行次</w:t>
            </w:r>
          </w:p>
        </w:tc>
        <w:tc>
          <w:tcPr>
            <w:tcW w:w="9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决算数</w:t>
            </w:r>
          </w:p>
        </w:tc>
      </w:tr>
      <w:tr>
        <w:tblPrEx>
          <w:tblCellMar>
            <w:top w:w="0" w:type="dxa"/>
            <w:left w:w="108" w:type="dxa"/>
            <w:bottom w:w="0" w:type="dxa"/>
            <w:right w:w="108" w:type="dxa"/>
          </w:tblCellMar>
        </w:tblPrEx>
        <w:trPr>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栏次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宋体" w:hAnsi="宋体" w:eastAsia="宋体"/>
                <w:color w:val="000000"/>
                <w:sz w:val="20"/>
                <w:szCs w:val="20"/>
              </w:rPr>
            </w:pPr>
          </w:p>
        </w:tc>
        <w:tc>
          <w:tcPr>
            <w:tcW w:w="757"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宋体" w:hAnsi="宋体" w:eastAsia="宋体"/>
                <w:color w:val="000000"/>
                <w:sz w:val="20"/>
                <w:szCs w:val="20"/>
              </w:rPr>
            </w:pPr>
            <w:r>
              <w:rPr>
                <w:rFonts w:hint="eastAsia" w:ascii="Times New Roman" w:hAnsi="Times New Roman" w:eastAsia="宋体" w:cs="Times New Roman"/>
                <w:color w:val="000000"/>
                <w:sz w:val="20"/>
                <w:szCs w:val="20"/>
              </w:rPr>
              <w:t>1</w:t>
            </w:r>
          </w:p>
        </w:tc>
        <w:tc>
          <w:tcPr>
            <w:tcW w:w="132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栏次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宋体" w:hAnsi="宋体" w:eastAsia="宋体"/>
                <w:color w:val="000000"/>
                <w:sz w:val="20"/>
                <w:szCs w:val="20"/>
              </w:rPr>
            </w:pPr>
          </w:p>
        </w:tc>
        <w:tc>
          <w:tcPr>
            <w:tcW w:w="9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宋体" w:hAnsi="宋体" w:eastAsia="宋体"/>
                <w:color w:val="000000"/>
                <w:sz w:val="20"/>
                <w:szCs w:val="20"/>
              </w:rPr>
            </w:pPr>
            <w:r>
              <w:rPr>
                <w:rFonts w:hint="eastAsia" w:ascii="Times New Roman" w:hAnsi="Times New Roman" w:eastAsia="宋体" w:cs="Times New Roman"/>
                <w:color w:val="000000"/>
                <w:sz w:val="20"/>
                <w:szCs w:val="20"/>
              </w:rPr>
              <w:t>2</w:t>
            </w:r>
          </w:p>
        </w:tc>
      </w:tr>
      <w:tr>
        <w:tblPrEx>
          <w:tblCellMar>
            <w:top w:w="0" w:type="dxa"/>
            <w:left w:w="108" w:type="dxa"/>
            <w:bottom w:w="0" w:type="dxa"/>
            <w:right w:w="108" w:type="dxa"/>
          </w:tblCellMar>
        </w:tblPrEx>
        <w:trPr>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一、一般公共预算财政拨款收入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宋体" w:hAnsi="宋体" w:eastAsia="宋体"/>
                <w:color w:val="000000"/>
                <w:sz w:val="20"/>
                <w:szCs w:val="20"/>
              </w:rPr>
              <w:t>1</w:t>
            </w:r>
          </w:p>
        </w:tc>
        <w:tc>
          <w:tcPr>
            <w:tcW w:w="757"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2,699.20</w:t>
            </w:r>
          </w:p>
        </w:tc>
        <w:tc>
          <w:tcPr>
            <w:tcW w:w="132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一、一般公共服务支出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32</w:t>
            </w:r>
          </w:p>
        </w:tc>
        <w:tc>
          <w:tcPr>
            <w:tcW w:w="9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rPr>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二、政府性基金预算财政拨款收入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w:t>
            </w:r>
          </w:p>
        </w:tc>
        <w:tc>
          <w:tcPr>
            <w:tcW w:w="757"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二、外交支出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33</w:t>
            </w:r>
          </w:p>
        </w:tc>
        <w:tc>
          <w:tcPr>
            <w:tcW w:w="9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三、国有资本经营预算财政拨款收入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w:t>
            </w:r>
          </w:p>
        </w:tc>
        <w:tc>
          <w:tcPr>
            <w:tcW w:w="757"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三、国防支出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34</w:t>
            </w:r>
          </w:p>
        </w:tc>
        <w:tc>
          <w:tcPr>
            <w:tcW w:w="9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四、上级补助收入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w:t>
            </w:r>
          </w:p>
        </w:tc>
        <w:tc>
          <w:tcPr>
            <w:tcW w:w="757"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四、公共安全支出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35</w:t>
            </w:r>
          </w:p>
        </w:tc>
        <w:tc>
          <w:tcPr>
            <w:tcW w:w="9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五、事业收入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w:t>
            </w:r>
          </w:p>
        </w:tc>
        <w:tc>
          <w:tcPr>
            <w:tcW w:w="757"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五、教育支出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36</w:t>
            </w:r>
          </w:p>
        </w:tc>
        <w:tc>
          <w:tcPr>
            <w:tcW w:w="9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rPr>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六、经营收入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6</w:t>
            </w:r>
          </w:p>
        </w:tc>
        <w:tc>
          <w:tcPr>
            <w:tcW w:w="757"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六、科学技术支出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37</w:t>
            </w:r>
          </w:p>
        </w:tc>
        <w:tc>
          <w:tcPr>
            <w:tcW w:w="9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七、附属单位上缴收入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7</w:t>
            </w:r>
          </w:p>
        </w:tc>
        <w:tc>
          <w:tcPr>
            <w:tcW w:w="757"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七、文化旅游体育与传媒支出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38</w:t>
            </w:r>
          </w:p>
        </w:tc>
        <w:tc>
          <w:tcPr>
            <w:tcW w:w="9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八、其他收入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8</w:t>
            </w:r>
          </w:p>
        </w:tc>
        <w:tc>
          <w:tcPr>
            <w:tcW w:w="757"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八、社会保障和就业支出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39</w:t>
            </w:r>
          </w:p>
        </w:tc>
        <w:tc>
          <w:tcPr>
            <w:tcW w:w="9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100.01</w:t>
            </w:r>
          </w:p>
        </w:tc>
      </w:tr>
      <w:tr>
        <w:tblPrEx>
          <w:tblCellMar>
            <w:top w:w="0" w:type="dxa"/>
            <w:left w:w="108" w:type="dxa"/>
            <w:bottom w:w="0" w:type="dxa"/>
            <w:right w:w="108" w:type="dxa"/>
          </w:tblCellMar>
        </w:tblPrEx>
        <w:trPr>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9</w:t>
            </w:r>
          </w:p>
        </w:tc>
        <w:tc>
          <w:tcPr>
            <w:tcW w:w="757"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九、卫生健康支出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40</w:t>
            </w:r>
          </w:p>
        </w:tc>
        <w:tc>
          <w:tcPr>
            <w:tcW w:w="9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43.00</w:t>
            </w:r>
          </w:p>
        </w:tc>
      </w:tr>
      <w:tr>
        <w:trPr>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10</w:t>
            </w:r>
          </w:p>
        </w:tc>
        <w:tc>
          <w:tcPr>
            <w:tcW w:w="757"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十、节能环保支出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41</w:t>
            </w:r>
          </w:p>
        </w:tc>
        <w:tc>
          <w:tcPr>
            <w:tcW w:w="9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11</w:t>
            </w:r>
          </w:p>
        </w:tc>
        <w:tc>
          <w:tcPr>
            <w:tcW w:w="757"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十一、城乡社区支出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42</w:t>
            </w:r>
          </w:p>
        </w:tc>
        <w:tc>
          <w:tcPr>
            <w:tcW w:w="9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12</w:t>
            </w:r>
          </w:p>
        </w:tc>
        <w:tc>
          <w:tcPr>
            <w:tcW w:w="757"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十二、农林水支出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43</w:t>
            </w:r>
          </w:p>
        </w:tc>
        <w:tc>
          <w:tcPr>
            <w:tcW w:w="9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13</w:t>
            </w:r>
          </w:p>
        </w:tc>
        <w:tc>
          <w:tcPr>
            <w:tcW w:w="757"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十三、交通运输支出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44</w:t>
            </w:r>
          </w:p>
        </w:tc>
        <w:tc>
          <w:tcPr>
            <w:tcW w:w="9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rPr>
          <w:trHeight w:val="681"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14</w:t>
            </w:r>
          </w:p>
        </w:tc>
        <w:tc>
          <w:tcPr>
            <w:tcW w:w="757"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十四、资源勘探工业信息等支出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45</w:t>
            </w:r>
          </w:p>
        </w:tc>
        <w:tc>
          <w:tcPr>
            <w:tcW w:w="9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78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15</w:t>
            </w:r>
          </w:p>
        </w:tc>
        <w:tc>
          <w:tcPr>
            <w:tcW w:w="757"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十五、商业服务业等支出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46</w:t>
            </w:r>
          </w:p>
        </w:tc>
        <w:tc>
          <w:tcPr>
            <w:tcW w:w="9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9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16</w:t>
            </w:r>
          </w:p>
        </w:tc>
        <w:tc>
          <w:tcPr>
            <w:tcW w:w="757"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十六、金融支出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47</w:t>
            </w:r>
          </w:p>
        </w:tc>
        <w:tc>
          <w:tcPr>
            <w:tcW w:w="9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2,473.64</w:t>
            </w:r>
          </w:p>
        </w:tc>
      </w:tr>
      <w:tr>
        <w:tblPrEx>
          <w:tblCellMar>
            <w:top w:w="0" w:type="dxa"/>
            <w:left w:w="108" w:type="dxa"/>
            <w:bottom w:w="0" w:type="dxa"/>
            <w:right w:w="108" w:type="dxa"/>
          </w:tblCellMar>
        </w:tblPrEx>
        <w:trPr>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17</w:t>
            </w:r>
          </w:p>
        </w:tc>
        <w:tc>
          <w:tcPr>
            <w:tcW w:w="757"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十七、援助其他地区支出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48</w:t>
            </w:r>
          </w:p>
        </w:tc>
        <w:tc>
          <w:tcPr>
            <w:tcW w:w="9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rPr>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18</w:t>
            </w:r>
          </w:p>
        </w:tc>
        <w:tc>
          <w:tcPr>
            <w:tcW w:w="757"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十八、自然资源海洋气象等支出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49</w:t>
            </w:r>
          </w:p>
        </w:tc>
        <w:tc>
          <w:tcPr>
            <w:tcW w:w="9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19</w:t>
            </w:r>
          </w:p>
        </w:tc>
        <w:tc>
          <w:tcPr>
            <w:tcW w:w="757"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十九、住房保障支出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50</w:t>
            </w:r>
          </w:p>
        </w:tc>
        <w:tc>
          <w:tcPr>
            <w:tcW w:w="9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82.55</w:t>
            </w:r>
          </w:p>
        </w:tc>
      </w:tr>
      <w:tr>
        <w:tblPrEx>
          <w:tblCellMar>
            <w:top w:w="0" w:type="dxa"/>
            <w:left w:w="108" w:type="dxa"/>
            <w:bottom w:w="0" w:type="dxa"/>
            <w:right w:w="108" w:type="dxa"/>
          </w:tblCellMar>
        </w:tblPrEx>
        <w:trPr>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20</w:t>
            </w:r>
          </w:p>
        </w:tc>
        <w:tc>
          <w:tcPr>
            <w:tcW w:w="757"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二十、粮油物资储备支出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51</w:t>
            </w:r>
          </w:p>
        </w:tc>
        <w:tc>
          <w:tcPr>
            <w:tcW w:w="9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21</w:t>
            </w:r>
          </w:p>
        </w:tc>
        <w:tc>
          <w:tcPr>
            <w:tcW w:w="757"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二十一、国有资本经营预算支出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52</w:t>
            </w:r>
          </w:p>
        </w:tc>
        <w:tc>
          <w:tcPr>
            <w:tcW w:w="9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rPr>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22</w:t>
            </w:r>
          </w:p>
        </w:tc>
        <w:tc>
          <w:tcPr>
            <w:tcW w:w="757"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18"/>
                <w:szCs w:val="18"/>
                <w:lang w:bidi="ar"/>
              </w:rPr>
              <w:t>二十二、灾害防治及应急管理支出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53</w:t>
            </w:r>
          </w:p>
        </w:tc>
        <w:tc>
          <w:tcPr>
            <w:tcW w:w="9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23</w:t>
            </w:r>
          </w:p>
        </w:tc>
        <w:tc>
          <w:tcPr>
            <w:tcW w:w="757"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二十三、其他支出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54</w:t>
            </w:r>
          </w:p>
        </w:tc>
        <w:tc>
          <w:tcPr>
            <w:tcW w:w="9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24</w:t>
            </w:r>
          </w:p>
        </w:tc>
        <w:tc>
          <w:tcPr>
            <w:tcW w:w="757"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二十四、债务还本支出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55</w:t>
            </w:r>
          </w:p>
        </w:tc>
        <w:tc>
          <w:tcPr>
            <w:tcW w:w="9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25</w:t>
            </w:r>
          </w:p>
        </w:tc>
        <w:tc>
          <w:tcPr>
            <w:tcW w:w="757"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二十五、债务付息支出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56</w:t>
            </w:r>
          </w:p>
        </w:tc>
        <w:tc>
          <w:tcPr>
            <w:tcW w:w="9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rPr>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26</w:t>
            </w:r>
          </w:p>
        </w:tc>
        <w:tc>
          <w:tcPr>
            <w:tcW w:w="757"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18"/>
                <w:szCs w:val="18"/>
                <w:lang w:bidi="ar"/>
              </w:rPr>
              <w:t>二十六、抗疫特别国债安排的支出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57</w:t>
            </w:r>
          </w:p>
        </w:tc>
        <w:tc>
          <w:tcPr>
            <w:tcW w:w="9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lang w:bidi="ar"/>
              </w:rPr>
              <w:t>本年收入合计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27</w:t>
            </w:r>
          </w:p>
        </w:tc>
        <w:tc>
          <w:tcPr>
            <w:tcW w:w="757"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2,699.20</w:t>
            </w:r>
          </w:p>
        </w:tc>
        <w:tc>
          <w:tcPr>
            <w:tcW w:w="132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lang w:bidi="ar"/>
              </w:rPr>
              <w:t>本年支出合计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58</w:t>
            </w:r>
          </w:p>
        </w:tc>
        <w:tc>
          <w:tcPr>
            <w:tcW w:w="9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2,699.20</w:t>
            </w:r>
          </w:p>
        </w:tc>
      </w:tr>
      <w:tr>
        <w:tblPrEx>
          <w:tblCellMar>
            <w:top w:w="0" w:type="dxa"/>
            <w:left w:w="108" w:type="dxa"/>
            <w:bottom w:w="0" w:type="dxa"/>
            <w:right w:w="108" w:type="dxa"/>
          </w:tblCellMar>
        </w:tblPrEx>
        <w:trPr>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使用非财政拨款结余（含专用结余）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28</w:t>
            </w:r>
          </w:p>
        </w:tc>
        <w:tc>
          <w:tcPr>
            <w:tcW w:w="757"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结余分配</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59</w:t>
            </w:r>
          </w:p>
        </w:tc>
        <w:tc>
          <w:tcPr>
            <w:tcW w:w="9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年初结转和结余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29</w:t>
            </w:r>
          </w:p>
        </w:tc>
        <w:tc>
          <w:tcPr>
            <w:tcW w:w="757"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年末结转和结余</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60</w:t>
            </w:r>
          </w:p>
        </w:tc>
        <w:tc>
          <w:tcPr>
            <w:tcW w:w="9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rPr>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b/>
                <w:bCs/>
                <w:color w:val="000000"/>
                <w:sz w:val="20"/>
                <w:szCs w:val="20"/>
                <w:lang w:bidi="ar"/>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lang w:bidi="ar"/>
              </w:rPr>
            </w:pPr>
            <w:r>
              <w:rPr>
                <w:rFonts w:ascii="Times New Roman" w:hAnsi="Times New Roman" w:eastAsia="宋体" w:cs="Times New Roman"/>
                <w:color w:val="000000"/>
                <w:sz w:val="20"/>
                <w:szCs w:val="20"/>
                <w:lang w:bidi="ar"/>
              </w:rPr>
              <w:t>30</w:t>
            </w:r>
          </w:p>
        </w:tc>
        <w:tc>
          <w:tcPr>
            <w:tcW w:w="757"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32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b/>
                <w:bCs/>
                <w:color w:val="000000"/>
                <w:sz w:val="20"/>
                <w:szCs w:val="20"/>
                <w:lang w:bidi="ar"/>
              </w:rPr>
            </w:pP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lang w:bidi="ar"/>
              </w:rPr>
            </w:pPr>
            <w:r>
              <w:rPr>
                <w:rFonts w:ascii="Times New Roman" w:hAnsi="Times New Roman" w:eastAsia="宋体" w:cs="Times New Roman"/>
                <w:color w:val="000000"/>
                <w:sz w:val="20"/>
                <w:szCs w:val="20"/>
                <w:lang w:bidi="ar"/>
              </w:rPr>
              <w:t>61</w:t>
            </w:r>
          </w:p>
        </w:tc>
        <w:tc>
          <w:tcPr>
            <w:tcW w:w="9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lang w:bidi="ar"/>
              </w:rPr>
              <w:t>总计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31</w:t>
            </w:r>
          </w:p>
        </w:tc>
        <w:tc>
          <w:tcPr>
            <w:tcW w:w="757"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2,699.20</w:t>
            </w:r>
          </w:p>
        </w:tc>
        <w:tc>
          <w:tcPr>
            <w:tcW w:w="132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lang w:bidi="ar"/>
              </w:rPr>
              <w:t>总计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62</w:t>
            </w:r>
          </w:p>
        </w:tc>
        <w:tc>
          <w:tcPr>
            <w:tcW w:w="9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2,699.20</w:t>
            </w:r>
          </w:p>
        </w:tc>
      </w:tr>
      <w:tr>
        <w:tblPrEx>
          <w:tblCellMar>
            <w:top w:w="0" w:type="dxa"/>
            <w:left w:w="108" w:type="dxa"/>
            <w:bottom w:w="0" w:type="dxa"/>
            <w:right w:w="108" w:type="dxa"/>
          </w:tblCellMar>
        </w:tblPrEx>
        <w:trPr>
          <w:trHeight w:val="308" w:hRule="atLeast"/>
        </w:trPr>
        <w:tc>
          <w:tcPr>
            <w:tcW w:w="5000" w:type="pct"/>
            <w:gridSpan w:val="8"/>
            <w:tcBorders>
              <w:top w:val="nil"/>
              <w:left w:val="nil"/>
              <w:bottom w:val="nil"/>
              <w:right w:val="nil"/>
            </w:tcBorders>
            <w:noWrap/>
            <w:vAlign w:val="center"/>
          </w:tcPr>
          <w:p>
            <w:pPr>
              <w:widowControl/>
              <w:jc w:val="left"/>
              <w:textAlignment w:val="center"/>
              <w:rPr>
                <w:rFonts w:ascii="方正仿宋_GB2312" w:hAnsi="方正仿宋_GB2312" w:eastAsia="方正仿宋_GB2312" w:cs="方正仿宋_GB2312"/>
                <w:color w:val="000000"/>
                <w:sz w:val="20"/>
                <w:szCs w:val="20"/>
                <w:lang w:bidi="ar"/>
              </w:rPr>
            </w:pPr>
            <w:r>
              <w:rPr>
                <w:rFonts w:hint="eastAsia" w:ascii="方正仿宋_GB2312" w:hAnsi="方正仿宋_GB2312" w:eastAsia="方正仿宋_GB2312" w:cs="方正仿宋_GB2312"/>
                <w:color w:val="000000"/>
                <w:sz w:val="20"/>
                <w:szCs w:val="20"/>
                <w:lang w:bidi="ar"/>
              </w:rPr>
              <w:t>注：1.本表反映部门本年度的总收支和年末结转结余情况。</w:t>
            </w:r>
          </w:p>
          <w:p>
            <w:pPr>
              <w:widowControl/>
              <w:ind w:firstLine="400" w:firstLineChars="200"/>
              <w:jc w:val="left"/>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2.本套报表金额转换时可能存在尾数误差。</w:t>
            </w:r>
          </w:p>
        </w:tc>
      </w:tr>
    </w:tbl>
    <w:p>
      <w:pPr>
        <w:rPr>
          <w:rFonts w:ascii="仿宋_GB2312" w:hAnsi="宋体" w:eastAsia="仿宋_GB2312"/>
          <w:b/>
          <w:sz w:val="32"/>
          <w:szCs w:val="32"/>
        </w:rPr>
      </w:pPr>
    </w:p>
    <w:p>
      <w:pPr>
        <w:rPr>
          <w:rFonts w:ascii="仿宋_GB2312" w:hAnsi="宋体" w:eastAsia="仿宋_GB2312"/>
          <w:b/>
          <w:sz w:val="32"/>
          <w:szCs w:val="32"/>
        </w:rPr>
      </w:pPr>
      <w:r>
        <w:rPr>
          <w:rFonts w:hint="eastAsia" w:ascii="仿宋_GB2312" w:hAnsi="宋体" w:eastAsia="仿宋_GB2312"/>
          <w:b/>
          <w:sz w:val="32"/>
          <w:szCs w:val="32"/>
        </w:rPr>
        <w:br w:type="page"/>
      </w:r>
    </w:p>
    <w:tbl>
      <w:tblPr>
        <w:tblStyle w:val="11"/>
        <w:tblW w:w="9230" w:type="dxa"/>
        <w:jc w:val="center"/>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tblPrEx>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pPr>
              <w:widowControl/>
              <w:jc w:val="center"/>
              <w:textAlignment w:val="bottom"/>
              <w:rPr>
                <w:rFonts w:ascii="宋体" w:hAnsi="宋体" w:eastAsia="宋体"/>
                <w:color w:val="000000"/>
                <w:sz w:val="20"/>
                <w:szCs w:val="20"/>
              </w:rPr>
            </w:pPr>
            <w:r>
              <w:rPr>
                <w:rFonts w:hint="eastAsia" w:ascii="方正仿宋_GB2312" w:hAnsi="方正仿宋_GB2312" w:eastAsia="方正仿宋_GB2312" w:cs="方正仿宋_GB2312"/>
                <w:bCs/>
                <w:sz w:val="32"/>
                <w:szCs w:val="32"/>
              </w:rPr>
              <w:t>收入决算表</w:t>
            </w:r>
          </w:p>
        </w:tc>
      </w:tr>
      <w:tr>
        <w:tblPrEx>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公开</w:t>
            </w:r>
            <w:r>
              <w:rPr>
                <w:rFonts w:hint="eastAsia" w:ascii="Times New Roman" w:hAnsi="Times New Roman" w:eastAsia="宋体" w:cs="Times New Roman"/>
                <w:color w:val="000000"/>
                <w:sz w:val="20"/>
                <w:szCs w:val="20"/>
              </w:rPr>
              <w:t>02</w:t>
            </w:r>
            <w:r>
              <w:rPr>
                <w:rFonts w:hint="eastAsia" w:ascii="方正仿宋_GB2312" w:hAnsi="方正仿宋_GB2312" w:eastAsia="方正仿宋_GB2312" w:cs="方正仿宋_GB2312"/>
                <w:color w:val="000000"/>
                <w:sz w:val="20"/>
                <w:szCs w:val="20"/>
                <w:lang w:bidi="ar"/>
              </w:rPr>
              <w:t>表</w:t>
            </w:r>
          </w:p>
        </w:tc>
      </w:tr>
      <w:tr>
        <w:tblPrEx>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000000" w:themeColor="text1" w:sz="8" w:space="0"/>
              <w:right w:val="nil"/>
            </w:tcBorders>
            <w:noWrap/>
            <w:vAlign w:val="bottom"/>
          </w:tcPr>
          <w:p>
            <w:pP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部门：中共石家庄市委金融委员会办公室                                                                                                         </w:t>
            </w:r>
          </w:p>
        </w:tc>
        <w:tc>
          <w:tcPr>
            <w:tcW w:w="3405" w:type="dxa"/>
            <w:gridSpan w:val="4"/>
            <w:tcBorders>
              <w:top w:val="nil"/>
              <w:left w:val="nil"/>
              <w:bottom w:val="single" w:color="000000" w:themeColor="text1" w:sz="8" w:space="0"/>
              <w:right w:val="nil"/>
            </w:tcBorders>
            <w:noWrap/>
            <w:vAlign w:val="bottom"/>
          </w:tcPr>
          <w:p>
            <w:pPr>
              <w:jc w:val="center"/>
              <w:rPr>
                <w:rFonts w:ascii="方正仿宋_GB2312" w:hAnsi="方正仿宋_GB2312" w:eastAsia="方正仿宋_GB2312" w:cs="方正仿宋_GB2312"/>
                <w:color w:val="000000"/>
                <w:sz w:val="20"/>
                <w:szCs w:val="20"/>
                <w:lang w:bidi="ar"/>
              </w:rPr>
            </w:pPr>
            <w:r>
              <w:rPr>
                <w:rFonts w:ascii="Times New Roman" w:hAnsi="Times New Roman" w:eastAsia="方正仿宋_GB2312" w:cs="Times New Roman"/>
                <w:color w:val="000000"/>
                <w:sz w:val="20"/>
                <w:szCs w:val="20"/>
              </w:rPr>
              <w:t>202</w:t>
            </w:r>
            <w:r>
              <w:rPr>
                <w:rFonts w:hint="eastAsia" w:ascii="Times New Roman" w:hAnsi="Times New Roman" w:eastAsia="方正仿宋_GB2312" w:cs="Times New Roman"/>
                <w:color w:val="000000"/>
                <w:sz w:val="20"/>
                <w:szCs w:val="20"/>
              </w:rPr>
              <w:t>5</w:t>
            </w:r>
            <w:r>
              <w:rPr>
                <w:rFonts w:hint="eastAsia" w:ascii="方正仿宋_GB2312" w:hAnsi="方正仿宋_GB2312" w:eastAsia="方正仿宋_GB2312" w:cs="方正仿宋_GB2312"/>
                <w:color w:val="000000"/>
                <w:sz w:val="20"/>
                <w:szCs w:val="20"/>
                <w:lang w:bidi="ar"/>
              </w:rPr>
              <w:t>年度</w:t>
            </w:r>
          </w:p>
        </w:tc>
        <w:tc>
          <w:tcPr>
            <w:tcW w:w="2588" w:type="dxa"/>
            <w:gridSpan w:val="3"/>
            <w:tcBorders>
              <w:top w:val="nil"/>
              <w:left w:val="nil"/>
              <w:bottom w:val="single" w:color="000000" w:themeColor="text1" w:sz="8" w:space="0"/>
              <w:right w:val="nil"/>
            </w:tcBorders>
            <w:noWrap/>
            <w:vAlign w:val="bottom"/>
          </w:tcPr>
          <w:p>
            <w:pPr>
              <w:jc w:val="right"/>
              <w:rPr>
                <w:rFonts w:ascii="方正仿宋_GB2312" w:hAnsi="方正仿宋_GB2312" w:eastAsia="方正仿宋_GB2312" w:cs="方正仿宋_GB2312"/>
                <w:color w:val="000000"/>
                <w:sz w:val="20"/>
                <w:szCs w:val="20"/>
                <w:lang w:bidi="ar"/>
              </w:rPr>
            </w:pPr>
            <w:r>
              <w:rPr>
                <w:rFonts w:hint="eastAsia" w:ascii="方正仿宋_GB2312" w:hAnsi="方正仿宋_GB2312" w:eastAsia="方正仿宋_GB2312" w:cs="方正仿宋_GB2312"/>
                <w:color w:val="000000"/>
                <w:sz w:val="20"/>
                <w:szCs w:val="20"/>
                <w:lang w:bidi="ar"/>
              </w:rPr>
              <w:t>金额单位：万元</w:t>
            </w:r>
          </w:p>
        </w:tc>
      </w:tr>
      <w:tr>
        <w:tblPrEx>
          <w:tblCellMar>
            <w:top w:w="0" w:type="dxa"/>
            <w:left w:w="108" w:type="dxa"/>
            <w:bottom w:w="0" w:type="dxa"/>
            <w:right w:w="108" w:type="dxa"/>
          </w:tblCellMar>
        </w:tblPrEx>
        <w:trPr>
          <w:trHeight w:val="510"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项目</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本年收入合计</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财政拨款收入</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上级补助收入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事业收入</w:t>
            </w:r>
          </w:p>
        </w:tc>
        <w:tc>
          <w:tcPr>
            <w:tcW w:w="96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附属单位上缴收入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其他收入</w:t>
            </w:r>
          </w:p>
        </w:tc>
      </w:tr>
      <w:tr>
        <w:tblPrEx>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科目代码</w:t>
            </w:r>
          </w:p>
        </w:tc>
        <w:tc>
          <w:tcPr>
            <w:tcW w:w="11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科目名称</w:t>
            </w: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宋体" w:hAnsi="宋体" w:eastAsia="宋体"/>
                <w:color w:val="000000"/>
                <w:sz w:val="20"/>
                <w:szCs w:val="20"/>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r>
      <w:tr>
        <w:tblPrEx>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方正仿宋_GB2312" w:hAnsi="方正仿宋_GB2312" w:eastAsia="方正仿宋_GB2312" w:cs="方正仿宋_GB2312"/>
                <w:color w:val="000000"/>
                <w:sz w:val="20"/>
                <w:szCs w:val="20"/>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r>
      <w:tr>
        <w:tblPrEx>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方正仿宋_GB2312" w:hAnsi="方正仿宋_GB2312" w:eastAsia="方正仿宋_GB2312" w:cs="方正仿宋_GB2312"/>
                <w:color w:val="000000"/>
                <w:sz w:val="20"/>
                <w:szCs w:val="20"/>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r>
      <w:tr>
        <w:tblPrEx>
          <w:tblCellMar>
            <w:top w:w="0" w:type="dxa"/>
            <w:left w:w="108" w:type="dxa"/>
            <w:bottom w:w="0" w:type="dxa"/>
            <w:right w:w="108" w:type="dxa"/>
          </w:tblCellMar>
        </w:tblPrEx>
        <w:trPr>
          <w:trHeight w:val="454"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栏次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lang w:bidi="ar"/>
              </w:rPr>
              <w:t>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lang w:bidi="ar"/>
              </w:rPr>
              <w:t>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lang w:bidi="ar"/>
              </w:rPr>
              <w:t>3</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rPr>
              <w:t>4</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lang w:bidi="ar"/>
              </w:rPr>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lang w:bidi="ar"/>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lang w:bidi="ar"/>
              </w:rPr>
              <w:t>7</w:t>
            </w:r>
          </w:p>
        </w:tc>
      </w:tr>
      <w:tr>
        <w:tblPrEx>
          <w:tblCellMar>
            <w:top w:w="0" w:type="dxa"/>
            <w:left w:w="108" w:type="dxa"/>
            <w:bottom w:w="0" w:type="dxa"/>
            <w:right w:w="108" w:type="dxa"/>
          </w:tblCellMar>
        </w:tblPrEx>
        <w:trPr>
          <w:trHeight w:val="567"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合计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2,699.20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2,699.20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100.01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100.01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20805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行政事业单位养老支出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100.01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100.01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2080501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行政单位离退休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4.94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4.94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2080505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机关事业单位基本养老保险缴费支出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85.85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85.85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2080506</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机关事业单位职业年金缴费支出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9.22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9.22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卫生健康支出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43.00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43.00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21011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行政事业单位医疗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43.00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43.00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2101101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行政单位医疗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25.87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25.87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2101103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公务员医疗补助</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17.13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17.13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217</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金融支出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2,473.64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2,473.64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21701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金融部门行政支出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1,243.63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1,243.63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2170101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行政运行</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837.46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837.46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2170102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一般行政管理事务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406.17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406.17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21702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金融部门监管支出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39.20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39.20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2170299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金融部门其他监管支出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39.20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39.20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21703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金融发展支出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190.81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190.81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2170399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其他金融发展支出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190.81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190.81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21799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其他金融支出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1,000.00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1,000.00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2179999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其他金融支出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1,000.00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1,000.00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221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住房保障支出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82.55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82.55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22102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住房改革支出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82.55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82.55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spacing w:val="-2"/>
                <w:sz w:val="20"/>
                <w:szCs w:val="20"/>
              </w:rPr>
              <w:t>2210201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spacing w:val="-2"/>
                <w:sz w:val="20"/>
                <w:szCs w:val="20"/>
              </w:rPr>
              <w:t>住房公积金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82.55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spacing w:val="-2"/>
                <w:sz w:val="20"/>
                <w:szCs w:val="20"/>
              </w:rPr>
              <w:t>82.55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9230" w:type="dxa"/>
            <w:gridSpan w:val="10"/>
            <w:tcBorders>
              <w:top w:val="single" w:color="000000" w:themeColor="text1" w:sz="8" w:space="0"/>
              <w:left w:val="nil"/>
              <w:bottom w:val="nil"/>
              <w:right w:val="nil"/>
            </w:tcBorders>
            <w:noWrap/>
            <w:vAlign w:val="center"/>
          </w:tcPr>
          <w:p>
            <w:pPr>
              <w:widowControl/>
              <w:jc w:val="left"/>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注：本表反映部门本年度取得的各项收入情况。</w:t>
            </w:r>
          </w:p>
        </w:tc>
      </w:tr>
    </w:tbl>
    <w:p>
      <w:pPr>
        <w:rPr>
          <w:rFonts w:ascii="仿宋_GB2312" w:hAnsi="宋体" w:eastAsia="仿宋_GB2312"/>
          <w:b/>
          <w:sz w:val="32"/>
          <w:szCs w:val="32"/>
        </w:rPr>
      </w:pPr>
    </w:p>
    <w:p>
      <w:pPr>
        <w:rPr>
          <w:rFonts w:ascii="黑体" w:hAnsi="黑体" w:eastAsia="黑体"/>
          <w:bCs/>
          <w:sz w:val="32"/>
          <w:szCs w:val="32"/>
        </w:rPr>
      </w:pPr>
      <w:r>
        <w:rPr>
          <w:rFonts w:hint="eastAsia" w:ascii="仿宋_GB2312" w:hAnsi="宋体" w:eastAsia="仿宋_GB2312"/>
          <w:b/>
          <w:sz w:val="32"/>
          <w:szCs w:val="32"/>
        </w:rPr>
        <w:br w:type="page"/>
      </w:r>
    </w:p>
    <w:tbl>
      <w:tblPr>
        <w:tblStyle w:val="11"/>
        <w:tblW w:w="5812" w:type="pct"/>
        <w:jc w:val="center"/>
        <w:tblLayout w:type="fixed"/>
        <w:tblCellMar>
          <w:top w:w="0" w:type="dxa"/>
          <w:left w:w="108" w:type="dxa"/>
          <w:bottom w:w="0" w:type="dxa"/>
          <w:right w:w="108" w:type="dxa"/>
        </w:tblCellMar>
      </w:tblPr>
      <w:tblGrid>
        <w:gridCol w:w="1201"/>
        <w:gridCol w:w="1371"/>
        <w:gridCol w:w="1302"/>
        <w:gridCol w:w="147"/>
        <w:gridCol w:w="1153"/>
        <w:gridCol w:w="1300"/>
        <w:gridCol w:w="576"/>
        <w:gridCol w:w="723"/>
        <w:gridCol w:w="1300"/>
        <w:gridCol w:w="1723"/>
      </w:tblGrid>
      <w:tr>
        <w:tblPrEx>
          <w:tblCellMar>
            <w:top w:w="0" w:type="dxa"/>
            <w:left w:w="108" w:type="dxa"/>
            <w:bottom w:w="0" w:type="dxa"/>
            <w:right w:w="108" w:type="dxa"/>
          </w:tblCellMar>
        </w:tblPrEx>
        <w:trPr>
          <w:trHeight w:val="550" w:hRule="atLeast"/>
          <w:jc w:val="center"/>
        </w:trPr>
        <w:tc>
          <w:tcPr>
            <w:tcW w:w="5000" w:type="pct"/>
            <w:gridSpan w:val="10"/>
            <w:tcBorders>
              <w:top w:val="nil"/>
              <w:left w:val="nil"/>
              <w:bottom w:val="nil"/>
              <w:right w:val="nil"/>
            </w:tcBorders>
            <w:noWrap/>
            <w:vAlign w:val="bottom"/>
          </w:tcPr>
          <w:p>
            <w:pPr>
              <w:jc w:val="center"/>
              <w:outlineLvl w:val="1"/>
              <w:rPr>
                <w:rFonts w:ascii="宋体" w:hAnsi="宋体" w:eastAsia="宋体"/>
                <w:color w:val="000000"/>
                <w:sz w:val="20"/>
                <w:szCs w:val="20"/>
              </w:rPr>
            </w:pPr>
            <w:r>
              <w:rPr>
                <w:rFonts w:hint="eastAsia" w:ascii="方正仿宋_GB2312" w:hAnsi="方正仿宋_GB2312" w:eastAsia="方正仿宋_GB2312" w:cs="方正仿宋_GB2312"/>
                <w:bCs/>
                <w:sz w:val="32"/>
                <w:szCs w:val="32"/>
              </w:rPr>
              <w:br w:type="page"/>
            </w:r>
            <w:r>
              <w:rPr>
                <w:rFonts w:hint="eastAsia" w:ascii="方正仿宋_GB2312" w:hAnsi="方正仿宋_GB2312" w:eastAsia="方正仿宋_GB2312" w:cs="方正仿宋_GB2312"/>
                <w:bCs/>
                <w:sz w:val="32"/>
                <w:szCs w:val="32"/>
              </w:rPr>
              <w:t>支出决算表</w:t>
            </w:r>
          </w:p>
        </w:tc>
      </w:tr>
      <w:tr>
        <w:tblPrEx>
          <w:tblCellMar>
            <w:top w:w="0" w:type="dxa"/>
            <w:left w:w="108" w:type="dxa"/>
            <w:bottom w:w="0" w:type="dxa"/>
            <w:right w:w="108" w:type="dxa"/>
          </w:tblCellMar>
        </w:tblPrEx>
        <w:trPr>
          <w:trHeight w:val="300" w:hRule="atLeast"/>
          <w:jc w:val="center"/>
        </w:trPr>
        <w:tc>
          <w:tcPr>
            <w:tcW w:w="5000" w:type="pct"/>
            <w:gridSpan w:val="10"/>
            <w:tcBorders>
              <w:top w:val="nil"/>
              <w:left w:val="nil"/>
              <w:bottom w:val="nil"/>
              <w:right w:val="nil"/>
            </w:tcBorders>
            <w:noWrap/>
            <w:vAlign w:val="bottom"/>
          </w:tcPr>
          <w:p>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公开</w:t>
            </w:r>
            <w:r>
              <w:rPr>
                <w:rFonts w:ascii="Times New Roman" w:hAnsi="Times New Roman" w:eastAsia="宋体" w:cs="Times New Roman"/>
                <w:color w:val="000000"/>
                <w:sz w:val="20"/>
                <w:szCs w:val="20"/>
                <w:lang w:bidi="ar"/>
              </w:rPr>
              <w:t>03</w:t>
            </w:r>
            <w:r>
              <w:rPr>
                <w:rFonts w:hint="eastAsia" w:ascii="方正仿宋_GB2312" w:hAnsi="方正仿宋_GB2312" w:eastAsia="方正仿宋_GB2312" w:cs="方正仿宋_GB2312"/>
                <w:color w:val="000000"/>
                <w:sz w:val="20"/>
                <w:szCs w:val="20"/>
                <w:lang w:bidi="ar"/>
              </w:rPr>
              <w:t>表</w:t>
            </w:r>
          </w:p>
        </w:tc>
      </w:tr>
      <w:tr>
        <w:tblPrEx>
          <w:tblCellMar>
            <w:top w:w="0" w:type="dxa"/>
            <w:left w:w="108" w:type="dxa"/>
            <w:bottom w:w="0" w:type="dxa"/>
            <w:right w:w="108" w:type="dxa"/>
          </w:tblCellMar>
        </w:tblPrEx>
        <w:trPr>
          <w:trHeight w:val="300" w:hRule="atLeast"/>
          <w:jc w:val="center"/>
        </w:trPr>
        <w:tc>
          <w:tcPr>
            <w:tcW w:w="1862" w:type="pct"/>
            <w:gridSpan w:val="4"/>
            <w:tcBorders>
              <w:top w:val="nil"/>
              <w:left w:val="nil"/>
              <w:bottom w:val="single" w:color="000000" w:themeColor="text1" w:sz="8" w:space="0"/>
              <w:right w:val="nil"/>
            </w:tcBorders>
            <w:noWrap/>
            <w:vAlign w:val="bottom"/>
          </w:tcPr>
          <w:p>
            <w:pPr>
              <w:widowControl/>
              <w:jc w:val="lef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 xml:space="preserve">部门：中共石家庄市委金融委员会办公室 </w:t>
            </w:r>
            <w:r>
              <w:rPr>
                <w:rFonts w:hint="eastAsia" w:asciiTheme="minorEastAsia" w:hAnsiTheme="minorEastAsia" w:cstheme="minorEastAsia"/>
                <w:color w:val="000000"/>
                <w:sz w:val="20"/>
                <w:szCs w:val="20"/>
                <w:lang w:bidi="ar"/>
              </w:rPr>
              <w:t xml:space="preserve">                                                                                                         </w:t>
            </w:r>
          </w:p>
        </w:tc>
        <w:tc>
          <w:tcPr>
            <w:tcW w:w="1403" w:type="pct"/>
            <w:gridSpan w:val="3"/>
            <w:tcBorders>
              <w:top w:val="nil"/>
              <w:left w:val="nil"/>
              <w:bottom w:val="single" w:color="000000" w:themeColor="text1" w:sz="8" w:space="0"/>
              <w:right w:val="nil"/>
            </w:tcBorders>
            <w:noWrap/>
            <w:vAlign w:val="bottom"/>
          </w:tcPr>
          <w:p>
            <w:pPr>
              <w:widowControl/>
              <w:jc w:val="center"/>
              <w:textAlignment w:val="bottom"/>
              <w:rPr>
                <w:rFonts w:asciiTheme="minorEastAsia" w:hAnsiTheme="minorEastAsia" w:cstheme="minorEastAsia"/>
                <w:color w:val="000000"/>
                <w:sz w:val="20"/>
                <w:szCs w:val="20"/>
                <w:lang w:bidi="ar"/>
              </w:rPr>
            </w:pPr>
            <w:r>
              <w:rPr>
                <w:rFonts w:ascii="Times New Roman" w:hAnsi="Times New Roman" w:cs="Times New Roman"/>
                <w:color w:val="000000"/>
                <w:sz w:val="20"/>
                <w:szCs w:val="20"/>
                <w:lang w:bidi="ar"/>
              </w:rPr>
              <w:t>202</w:t>
            </w:r>
            <w:r>
              <w:rPr>
                <w:rFonts w:hint="eastAsia" w:ascii="Times New Roman" w:hAnsi="Times New Roman" w:cs="Times New Roman"/>
                <w:color w:val="000000"/>
                <w:sz w:val="20"/>
                <w:szCs w:val="20"/>
                <w:lang w:bidi="ar"/>
              </w:rPr>
              <w:t>5</w:t>
            </w:r>
            <w:r>
              <w:rPr>
                <w:rFonts w:hint="eastAsia" w:ascii="方正仿宋_GB2312" w:hAnsi="方正仿宋_GB2312" w:eastAsia="方正仿宋_GB2312" w:cs="方正仿宋_GB2312"/>
                <w:color w:val="000000"/>
                <w:sz w:val="20"/>
                <w:szCs w:val="20"/>
                <w:lang w:bidi="ar"/>
              </w:rPr>
              <w:t>年度</w:t>
            </w:r>
          </w:p>
        </w:tc>
        <w:tc>
          <w:tcPr>
            <w:tcW w:w="1734" w:type="pct"/>
            <w:gridSpan w:val="3"/>
            <w:tcBorders>
              <w:top w:val="nil"/>
              <w:left w:val="nil"/>
              <w:bottom w:val="single" w:color="000000" w:themeColor="text1" w:sz="8" w:space="0"/>
              <w:right w:val="nil"/>
            </w:tcBorders>
            <w:noWrap/>
            <w:vAlign w:val="bottom"/>
          </w:tcPr>
          <w:p>
            <w:pPr>
              <w:widowControl/>
              <w:jc w:val="right"/>
              <w:textAlignment w:val="bottom"/>
              <w:rPr>
                <w:rFonts w:asciiTheme="minorEastAsia" w:hAnsiTheme="minorEastAsia" w:cstheme="minorEastAsia"/>
                <w:color w:val="000000"/>
                <w:sz w:val="20"/>
                <w:szCs w:val="20"/>
                <w:lang w:bidi="ar"/>
              </w:rPr>
            </w:pPr>
            <w:r>
              <w:rPr>
                <w:rFonts w:hint="eastAsia" w:ascii="方正仿宋_GB2312" w:hAnsi="方正仿宋_GB2312" w:eastAsia="方正仿宋_GB2312" w:cs="方正仿宋_GB2312"/>
                <w:color w:val="000000"/>
                <w:sz w:val="20"/>
                <w:szCs w:val="20"/>
                <w:lang w:bidi="ar"/>
              </w:rPr>
              <w:t xml:space="preserve"> 金额单位：万元</w:t>
            </w:r>
          </w:p>
        </w:tc>
      </w:tr>
      <w:tr>
        <w:trPr>
          <w:trHeight w:val="510"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项目</w:t>
            </w:r>
          </w:p>
        </w:tc>
        <w:tc>
          <w:tcPr>
            <w:tcW w:w="6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本年支出合计</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基本支出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项目支出</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上缴上级支出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经营支出</w:t>
            </w:r>
          </w:p>
        </w:tc>
        <w:tc>
          <w:tcPr>
            <w:tcW w:w="79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对附属单位补助支出</w:t>
            </w:r>
          </w:p>
        </w:tc>
      </w:tr>
      <w:tr>
        <w:tblPrEx>
          <w:tblCellMar>
            <w:top w:w="0" w:type="dxa"/>
            <w:left w:w="108" w:type="dxa"/>
            <w:bottom w:w="0" w:type="dxa"/>
            <w:right w:w="108" w:type="dxa"/>
          </w:tblCellMar>
        </w:tblPrEx>
        <w:trPr>
          <w:trHeight w:val="312" w:hRule="atLeast"/>
          <w:jc w:val="center"/>
        </w:trPr>
        <w:tc>
          <w:tcPr>
            <w:tcW w:w="5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科目代码</w:t>
            </w:r>
          </w:p>
        </w:tc>
        <w:tc>
          <w:tcPr>
            <w:tcW w:w="6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科目名称</w:t>
            </w: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r>
      <w:tr>
        <w:tblPrEx>
          <w:tblCellMar>
            <w:top w:w="0" w:type="dxa"/>
            <w:left w:w="108" w:type="dxa"/>
            <w:bottom w:w="0" w:type="dxa"/>
            <w:right w:w="108" w:type="dxa"/>
          </w:tblCellMar>
        </w:tblPrEx>
        <w:trPr>
          <w:trHeight w:val="312"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宋体" w:hAnsi="宋体" w:eastAsia="宋体"/>
                <w:color w:val="000000"/>
                <w:sz w:val="20"/>
                <w:szCs w:val="20"/>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r>
      <w:tr>
        <w:tblPrEx>
          <w:tblCellMar>
            <w:top w:w="0" w:type="dxa"/>
            <w:left w:w="108" w:type="dxa"/>
            <w:bottom w:w="0" w:type="dxa"/>
            <w:right w:w="108" w:type="dxa"/>
          </w:tblCellMar>
        </w:tblPrEx>
        <w:trPr>
          <w:trHeight w:val="312"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宋体" w:hAnsi="宋体" w:eastAsia="宋体"/>
                <w:color w:val="000000"/>
                <w:sz w:val="20"/>
                <w:szCs w:val="20"/>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r>
      <w:tr>
        <w:trPr>
          <w:trHeight w:val="454"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栏次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6</w:t>
            </w:r>
          </w:p>
        </w:tc>
      </w:tr>
      <w:tr>
        <w:tblPrEx>
          <w:tblCellMar>
            <w:top w:w="0" w:type="dxa"/>
            <w:left w:w="108" w:type="dxa"/>
            <w:bottom w:w="0" w:type="dxa"/>
            <w:right w:w="108" w:type="dxa"/>
          </w:tblCellMar>
        </w:tblPrEx>
        <w:trPr>
          <w:trHeight w:val="308"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合计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2,699.20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1,063.03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1,636.18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社会保障和就业支出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100.01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100.01</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行政事业单位养老支出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100.01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100.01</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2080501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行政单位离退休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4.94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4.94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2080505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机关事业单位基本养老保险缴费支出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85.85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85.85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2080506</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机关事业单位职业年金缴费支出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9.22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9.22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卫生健康支出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43.00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43.00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21011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行政事业单位医疗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43.00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43.00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2101101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25.87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25.87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2101103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公务员医疗补助</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17.13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17.13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217</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金融支出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2,473.64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837.46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1,636.18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21701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金融部门行政支出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1,243.63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837.46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406.17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2170101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行政运行</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837.46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837.46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2170102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一般行政管理事务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406.17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406.17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21702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金融部门监管支出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39.20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39.20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2170299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金融部门其他监管支出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39.20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39.20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21703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金融发展支出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190.81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190.81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2170399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其他金融发展支出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190.81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190.81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21799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其他金融支出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1,000.00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1,000.00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2179999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其他金融支出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1,000.00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1,000.00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221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住房保障支出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82.55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82.55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22102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住房改革支出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82.55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82.55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2210201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住房公积金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82.55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82.55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rPr>
          <w:trHeight w:val="308" w:hRule="atLeast"/>
          <w:jc w:val="center"/>
        </w:trPr>
        <w:tc>
          <w:tcPr>
            <w:tcW w:w="5000" w:type="pct"/>
            <w:gridSpan w:val="10"/>
            <w:tcBorders>
              <w:top w:val="single" w:color="000000" w:themeColor="text1" w:sz="8" w:space="0"/>
              <w:left w:val="nil"/>
              <w:bottom w:val="nil"/>
              <w:right w:val="nil"/>
            </w:tcBorders>
            <w:noWrap/>
            <w:vAlign w:val="center"/>
          </w:tcPr>
          <w:p>
            <w:pPr>
              <w:widowControl/>
              <w:jc w:val="left"/>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注：本表反映部门本年度各项支出情况。</w:t>
            </w:r>
          </w:p>
        </w:tc>
      </w:tr>
    </w:tbl>
    <w:p>
      <w:pPr>
        <w:rPr>
          <w:rFonts w:ascii="仿宋_GB2312" w:hAnsi="宋体" w:eastAsia="仿宋_GB2312"/>
          <w:b/>
          <w:sz w:val="32"/>
          <w:szCs w:val="32"/>
        </w:rPr>
      </w:pPr>
    </w:p>
    <w:p>
      <w:pPr>
        <w:rPr>
          <w:rFonts w:ascii="仿宋_GB2312" w:hAnsi="宋体" w:eastAsia="仿宋_GB2312"/>
          <w:b/>
          <w:sz w:val="32"/>
          <w:szCs w:val="32"/>
        </w:rPr>
      </w:pPr>
      <w:r>
        <w:rPr>
          <w:rFonts w:hint="eastAsia" w:ascii="仿宋_GB2312" w:hAnsi="宋体" w:eastAsia="仿宋_GB2312"/>
          <w:b/>
          <w:sz w:val="32"/>
          <w:szCs w:val="32"/>
        </w:rPr>
        <w:br w:type="page"/>
      </w:r>
    </w:p>
    <w:tbl>
      <w:tblPr>
        <w:tblStyle w:val="11"/>
        <w:tblW w:w="5000" w:type="pct"/>
        <w:tblInd w:w="0" w:type="dxa"/>
        <w:tblLayout w:type="autofit"/>
        <w:tblCellMar>
          <w:top w:w="0" w:type="dxa"/>
          <w:left w:w="108" w:type="dxa"/>
          <w:bottom w:w="0" w:type="dxa"/>
          <w:right w:w="108" w:type="dxa"/>
        </w:tblCellMar>
      </w:tblPr>
      <w:tblGrid>
        <w:gridCol w:w="1660"/>
        <w:gridCol w:w="319"/>
        <w:gridCol w:w="577"/>
        <w:gridCol w:w="1397"/>
        <w:gridCol w:w="375"/>
        <w:gridCol w:w="329"/>
        <w:gridCol w:w="206"/>
        <w:gridCol w:w="371"/>
        <w:gridCol w:w="1248"/>
        <w:gridCol w:w="1351"/>
        <w:gridCol w:w="1455"/>
      </w:tblGrid>
      <w:tr>
        <w:tblPrEx>
          <w:tblCellMar>
            <w:top w:w="0" w:type="dxa"/>
            <w:left w:w="108" w:type="dxa"/>
            <w:bottom w:w="0" w:type="dxa"/>
            <w:right w:w="108" w:type="dxa"/>
          </w:tblCellMar>
        </w:tblPrEx>
        <w:trPr>
          <w:trHeight w:val="550" w:hRule="atLeast"/>
        </w:trPr>
        <w:tc>
          <w:tcPr>
            <w:tcW w:w="5000" w:type="pct"/>
            <w:gridSpan w:val="11"/>
            <w:tcBorders>
              <w:top w:val="nil"/>
              <w:left w:val="nil"/>
              <w:bottom w:val="nil"/>
              <w:right w:val="nil"/>
            </w:tcBorders>
            <w:noWrap/>
            <w:vAlign w:val="bottom"/>
          </w:tcPr>
          <w:p>
            <w:pPr>
              <w:widowControl/>
              <w:jc w:val="center"/>
              <w:textAlignment w:val="bottom"/>
              <w:rPr>
                <w:rFonts w:ascii="宋体" w:hAnsi="宋体" w:eastAsia="宋体"/>
                <w:color w:val="000000"/>
                <w:sz w:val="20"/>
                <w:szCs w:val="20"/>
              </w:rPr>
            </w:pPr>
            <w:r>
              <w:rPr>
                <w:rFonts w:hint="eastAsia" w:ascii="方正仿宋_GB2312" w:hAnsi="方正仿宋_GB2312" w:eastAsia="方正仿宋_GB2312" w:cs="方正仿宋_GB2312"/>
                <w:bCs/>
                <w:sz w:val="32"/>
                <w:szCs w:val="32"/>
              </w:rPr>
              <w:t>财政拨款收入支出决算总表</w:t>
            </w:r>
          </w:p>
        </w:tc>
      </w:tr>
      <w:tr>
        <w:tblPrEx>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公开</w:t>
            </w:r>
            <w:r>
              <w:rPr>
                <w:rFonts w:ascii="Times New Roman" w:hAnsi="Times New Roman" w:eastAsia="方正仿宋_GB2312" w:cs="Times New Roman"/>
                <w:color w:val="000000"/>
                <w:sz w:val="20"/>
                <w:szCs w:val="20"/>
                <w:lang w:bidi="ar"/>
              </w:rPr>
              <w:t>04</w:t>
            </w:r>
            <w:r>
              <w:rPr>
                <w:rFonts w:hint="eastAsia" w:ascii="方正仿宋_GB2312" w:hAnsi="方正仿宋_GB2312" w:eastAsia="方正仿宋_GB2312" w:cs="方正仿宋_GB2312"/>
                <w:color w:val="000000"/>
                <w:sz w:val="20"/>
                <w:szCs w:val="20"/>
                <w:lang w:bidi="ar"/>
              </w:rPr>
              <w:t>表</w:t>
            </w:r>
          </w:p>
        </w:tc>
      </w:tr>
      <w:tr>
        <w:tblPrEx>
          <w:tblCellMar>
            <w:top w:w="0" w:type="dxa"/>
            <w:left w:w="108" w:type="dxa"/>
            <w:bottom w:w="0" w:type="dxa"/>
            <w:right w:w="108" w:type="dxa"/>
          </w:tblCellMar>
        </w:tblPrEx>
        <w:trPr>
          <w:trHeight w:val="300" w:hRule="atLeast"/>
        </w:trPr>
        <w:tc>
          <w:tcPr>
            <w:tcW w:w="2430" w:type="pct"/>
            <w:gridSpan w:val="4"/>
            <w:tcBorders>
              <w:top w:val="nil"/>
              <w:left w:val="nil"/>
              <w:bottom w:val="single" w:color="000000" w:themeColor="text1" w:sz="8" w:space="0"/>
              <w:right w:val="nil"/>
            </w:tcBorders>
            <w:noWrap/>
            <w:vAlign w:val="bottom"/>
          </w:tcPr>
          <w:p>
            <w:pPr>
              <w:rPr>
                <w:rFonts w:ascii="仿宋" w:hAnsi="仿宋" w:eastAsia="仿宋" w:cs="仿宋"/>
                <w:color w:val="000000"/>
                <w:sz w:val="20"/>
                <w:szCs w:val="20"/>
              </w:rPr>
            </w:pPr>
            <w:r>
              <w:rPr>
                <w:rFonts w:hint="eastAsia" w:ascii="方正仿宋_GB2312" w:hAnsi="方正仿宋_GB2312" w:eastAsia="方正仿宋_GB2312" w:cs="方正仿宋_GB2312"/>
                <w:color w:val="000000"/>
                <w:sz w:val="20"/>
                <w:szCs w:val="20"/>
                <w:lang w:bidi="ar"/>
              </w:rPr>
              <w:t xml:space="preserve">部门：中共石家庄市委金融委员会办公室 </w:t>
            </w:r>
            <w:r>
              <w:rPr>
                <w:rFonts w:hint="eastAsia" w:asciiTheme="minorEastAsia" w:hAnsiTheme="minorEastAsia" w:cstheme="minorEastAsia"/>
                <w:color w:val="000000"/>
                <w:sz w:val="20"/>
                <w:szCs w:val="20"/>
                <w:lang w:bidi="ar"/>
              </w:rPr>
              <w:t xml:space="preserve">                                                                                                   </w:t>
            </w:r>
          </w:p>
        </w:tc>
        <w:tc>
          <w:tcPr>
            <w:tcW w:w="648" w:type="pct"/>
            <w:gridSpan w:val="3"/>
            <w:tcBorders>
              <w:top w:val="nil"/>
              <w:left w:val="nil"/>
              <w:bottom w:val="single" w:color="000000" w:themeColor="text1" w:sz="8" w:space="0"/>
              <w:right w:val="nil"/>
            </w:tcBorders>
            <w:noWrap/>
            <w:vAlign w:val="bottom"/>
          </w:tcPr>
          <w:p>
            <w:pPr>
              <w:jc w:val="center"/>
              <w:rPr>
                <w:rFonts w:asciiTheme="minorEastAsia" w:hAnsiTheme="minorEastAsia" w:cstheme="minorEastAsia"/>
                <w:color w:val="000000"/>
                <w:sz w:val="20"/>
                <w:szCs w:val="20"/>
                <w:lang w:bidi="ar"/>
              </w:rPr>
            </w:pPr>
            <w:r>
              <w:rPr>
                <w:rFonts w:ascii="Times New Roman" w:hAnsi="Times New Roman" w:cs="Times New Roman"/>
                <w:color w:val="000000"/>
                <w:sz w:val="20"/>
                <w:szCs w:val="20"/>
                <w:lang w:bidi="ar"/>
              </w:rPr>
              <w:t>202</w:t>
            </w:r>
            <w:r>
              <w:rPr>
                <w:rFonts w:hint="eastAsia" w:ascii="Times New Roman" w:hAnsi="Times New Roman" w:cs="Times New Roman"/>
                <w:color w:val="000000"/>
                <w:sz w:val="20"/>
                <w:szCs w:val="20"/>
                <w:lang w:bidi="ar"/>
              </w:rPr>
              <w:t>5</w:t>
            </w:r>
            <w:r>
              <w:rPr>
                <w:rFonts w:hint="eastAsia" w:ascii="方正仿宋_GB2312" w:hAnsi="方正仿宋_GB2312" w:eastAsia="方正仿宋_GB2312" w:cs="方正仿宋_GB2312"/>
                <w:color w:val="000000"/>
                <w:sz w:val="20"/>
                <w:szCs w:val="20"/>
                <w:lang w:bidi="ar"/>
              </w:rPr>
              <w:t>年度</w:t>
            </w:r>
          </w:p>
        </w:tc>
        <w:tc>
          <w:tcPr>
            <w:tcW w:w="1920" w:type="pct"/>
            <w:gridSpan w:val="4"/>
            <w:tcBorders>
              <w:top w:val="nil"/>
              <w:left w:val="nil"/>
              <w:bottom w:val="single" w:color="000000" w:themeColor="text1" w:sz="8" w:space="0"/>
              <w:right w:val="nil"/>
            </w:tcBorders>
            <w:noWrap/>
            <w:vAlign w:val="bottom"/>
          </w:tcPr>
          <w:p>
            <w:pPr>
              <w:jc w:val="right"/>
              <w:rPr>
                <w:rFonts w:asciiTheme="minorEastAsia" w:hAnsiTheme="minorEastAsia" w:cstheme="minorEastAsia"/>
                <w:color w:val="000000"/>
                <w:sz w:val="20"/>
                <w:szCs w:val="20"/>
                <w:lang w:bidi="ar"/>
              </w:rPr>
            </w:pPr>
            <w:r>
              <w:rPr>
                <w:rFonts w:hint="eastAsia" w:ascii="方正仿宋_GB2312" w:hAnsi="方正仿宋_GB2312" w:eastAsia="方正仿宋_GB2312" w:cs="方正仿宋_GB2312"/>
                <w:color w:val="000000"/>
                <w:sz w:val="20"/>
                <w:szCs w:val="20"/>
                <w:lang w:bidi="ar"/>
              </w:rPr>
              <w:t>金额单位：万元</w:t>
            </w:r>
          </w:p>
        </w:tc>
      </w:tr>
      <w:tr>
        <w:tblPrEx>
          <w:tblCellMar>
            <w:top w:w="0" w:type="dxa"/>
            <w:left w:w="108" w:type="dxa"/>
            <w:bottom w:w="0" w:type="dxa"/>
            <w:right w:w="108" w:type="dxa"/>
          </w:tblCellMar>
        </w:tblPrEx>
        <w:trPr>
          <w:trHeight w:val="308" w:hRule="atLeast"/>
        </w:trPr>
        <w:tc>
          <w:tcPr>
            <w:tcW w:w="172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收入</w:t>
            </w:r>
          </w:p>
        </w:tc>
        <w:tc>
          <w:tcPr>
            <w:tcW w:w="3277" w:type="pct"/>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支出</w:t>
            </w:r>
          </w:p>
        </w:tc>
      </w:tr>
      <w:tr>
        <w:tblPrEx>
          <w:tblCellMar>
            <w:top w:w="0" w:type="dxa"/>
            <w:left w:w="108" w:type="dxa"/>
            <w:bottom w:w="0" w:type="dxa"/>
            <w:right w:w="108" w:type="dxa"/>
          </w:tblCellMar>
        </w:tblPrEx>
        <w:trPr>
          <w:trHeight w:val="312" w:hRule="atLeast"/>
        </w:trPr>
        <w:tc>
          <w:tcPr>
            <w:tcW w:w="84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项    目</w:t>
            </w:r>
          </w:p>
        </w:tc>
        <w:tc>
          <w:tcPr>
            <w:tcW w:w="26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行次</w:t>
            </w:r>
          </w:p>
        </w:tc>
        <w:tc>
          <w:tcPr>
            <w:tcW w:w="61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金额</w:t>
            </w:r>
          </w:p>
        </w:tc>
        <w:tc>
          <w:tcPr>
            <w:tcW w:w="89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项目</w:t>
            </w:r>
          </w:p>
        </w:tc>
        <w:tc>
          <w:tcPr>
            <w:tcW w:w="26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行次</w:t>
            </w:r>
          </w:p>
        </w:tc>
        <w:tc>
          <w:tcPr>
            <w:tcW w:w="551"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合计</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一般公共预算财政拨款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政府性基金预算财政拨款</w:t>
            </w:r>
          </w:p>
        </w:tc>
        <w:tc>
          <w:tcPr>
            <w:tcW w:w="524"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国有资本经营预算财政拨款</w:t>
            </w:r>
          </w:p>
        </w:tc>
      </w:tr>
      <w:tr>
        <w:tblPrEx>
          <w:tblCellMar>
            <w:top w:w="0" w:type="dxa"/>
            <w:left w:w="108" w:type="dxa"/>
            <w:bottom w:w="0" w:type="dxa"/>
            <w:right w:w="108" w:type="dxa"/>
          </w:tblCellMar>
        </w:tblPrEx>
        <w:trPr>
          <w:trHeight w:val="312" w:hRule="atLeast"/>
        </w:trPr>
        <w:tc>
          <w:tcPr>
            <w:tcW w:w="8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p>
        </w:tc>
        <w:tc>
          <w:tcPr>
            <w:tcW w:w="26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p>
        </w:tc>
        <w:tc>
          <w:tcPr>
            <w:tcW w:w="61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p>
        </w:tc>
        <w:tc>
          <w:tcPr>
            <w:tcW w:w="89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p>
        </w:tc>
        <w:tc>
          <w:tcPr>
            <w:tcW w:w="26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p>
        </w:tc>
        <w:tc>
          <w:tcPr>
            <w:tcW w:w="551"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p>
        </w:tc>
        <w:tc>
          <w:tcPr>
            <w:tcW w:w="524"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p>
        </w:tc>
      </w:tr>
      <w:tr>
        <w:tblPrEx>
          <w:tblCellMar>
            <w:top w:w="0" w:type="dxa"/>
            <w:left w:w="108" w:type="dxa"/>
            <w:bottom w:w="0" w:type="dxa"/>
            <w:right w:w="108" w:type="dxa"/>
          </w:tblCellMar>
        </w:tblPrEx>
        <w:trPr>
          <w:trHeight w:val="308" w:hRule="atLeast"/>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栏    次</w:t>
            </w: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宋体" w:hAnsi="宋体" w:eastAsia="宋体"/>
                <w:color w:val="000000"/>
                <w:sz w:val="20"/>
                <w:szCs w:val="20"/>
              </w:rPr>
            </w:pP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lang w:bidi="ar"/>
              </w:rPr>
              <w:t>1</w:t>
            </w:r>
          </w:p>
        </w:tc>
        <w:tc>
          <w:tcPr>
            <w:tcW w:w="89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栏    次</w:t>
            </w: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宋体" w:hAnsi="宋体" w:eastAsia="宋体"/>
                <w:color w:val="000000"/>
                <w:sz w:val="20"/>
                <w:szCs w:val="20"/>
              </w:rPr>
            </w:pPr>
          </w:p>
        </w:tc>
        <w:tc>
          <w:tcPr>
            <w:tcW w:w="55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lang w:bidi="ar"/>
              </w:rPr>
              <w:t>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lang w:bidi="ar"/>
              </w:rPr>
              <w:t>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lang w:bidi="ar"/>
              </w:rPr>
              <w:t>4</w:t>
            </w:r>
          </w:p>
        </w:tc>
        <w:tc>
          <w:tcPr>
            <w:tcW w:w="52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宋体" w:hAnsi="宋体" w:eastAsia="宋体"/>
                <w:color w:val="000000"/>
                <w:sz w:val="20"/>
                <w:szCs w:val="20"/>
              </w:rPr>
            </w:pPr>
            <w:r>
              <w:rPr>
                <w:rFonts w:hint="eastAsia" w:ascii="宋体" w:hAnsi="宋体" w:eastAsia="宋体"/>
                <w:color w:val="000000"/>
                <w:sz w:val="20"/>
                <w:szCs w:val="20"/>
                <w:lang w:bidi="ar"/>
              </w:rPr>
              <w:t>5</w:t>
            </w:r>
          </w:p>
        </w:tc>
      </w:tr>
      <w:tr>
        <w:tblPrEx>
          <w:tblCellMar>
            <w:top w:w="0" w:type="dxa"/>
            <w:left w:w="108" w:type="dxa"/>
            <w:bottom w:w="0" w:type="dxa"/>
            <w:right w:w="108" w:type="dxa"/>
          </w:tblCellMar>
        </w:tblPrEx>
        <w:trPr>
          <w:trHeight w:val="308" w:hRule="atLeast"/>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一、一般公共预算财政拨款</w:t>
            </w: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2,699.20</w:t>
            </w:r>
          </w:p>
        </w:tc>
        <w:tc>
          <w:tcPr>
            <w:tcW w:w="89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一、一般公共服务支出</w:t>
            </w: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33</w:t>
            </w:r>
          </w:p>
        </w:tc>
        <w:tc>
          <w:tcPr>
            <w:tcW w:w="55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二、政府性基金预算财政拨款</w:t>
            </w: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二、外交支出</w:t>
            </w: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34</w:t>
            </w:r>
          </w:p>
        </w:tc>
        <w:tc>
          <w:tcPr>
            <w:tcW w:w="55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三、国有资本经营预算财政拨款</w:t>
            </w: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三、国防支出</w:t>
            </w: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35</w:t>
            </w:r>
          </w:p>
        </w:tc>
        <w:tc>
          <w:tcPr>
            <w:tcW w:w="55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四、公共安全支出</w:t>
            </w: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36</w:t>
            </w:r>
          </w:p>
        </w:tc>
        <w:tc>
          <w:tcPr>
            <w:tcW w:w="55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五、教育支出</w:t>
            </w: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37</w:t>
            </w:r>
          </w:p>
        </w:tc>
        <w:tc>
          <w:tcPr>
            <w:tcW w:w="55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6</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六、科学技术支出</w:t>
            </w: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38</w:t>
            </w:r>
          </w:p>
        </w:tc>
        <w:tc>
          <w:tcPr>
            <w:tcW w:w="55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7</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七、文化旅游体育与传媒支出</w:t>
            </w: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39</w:t>
            </w:r>
          </w:p>
        </w:tc>
        <w:tc>
          <w:tcPr>
            <w:tcW w:w="55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8</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八、社会保障和就业支出</w:t>
            </w: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40</w:t>
            </w:r>
          </w:p>
        </w:tc>
        <w:tc>
          <w:tcPr>
            <w:tcW w:w="55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100.01</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100.01</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9</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九、卫生健康支出</w:t>
            </w: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41</w:t>
            </w:r>
          </w:p>
        </w:tc>
        <w:tc>
          <w:tcPr>
            <w:tcW w:w="55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43.00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43.00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10</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十、节能环保支出</w:t>
            </w: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42</w:t>
            </w:r>
          </w:p>
        </w:tc>
        <w:tc>
          <w:tcPr>
            <w:tcW w:w="55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11</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十一、城乡社区支出</w:t>
            </w: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43</w:t>
            </w:r>
          </w:p>
        </w:tc>
        <w:tc>
          <w:tcPr>
            <w:tcW w:w="55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12</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十二、农林水支出</w:t>
            </w: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44</w:t>
            </w:r>
          </w:p>
        </w:tc>
        <w:tc>
          <w:tcPr>
            <w:tcW w:w="55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13</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十三、交通运输支出</w:t>
            </w: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45</w:t>
            </w:r>
          </w:p>
        </w:tc>
        <w:tc>
          <w:tcPr>
            <w:tcW w:w="55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14</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十四、资源勘探工业信息等支出</w:t>
            </w: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46</w:t>
            </w:r>
          </w:p>
        </w:tc>
        <w:tc>
          <w:tcPr>
            <w:tcW w:w="55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15</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十五、商业服务业等支出</w:t>
            </w: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47</w:t>
            </w:r>
          </w:p>
        </w:tc>
        <w:tc>
          <w:tcPr>
            <w:tcW w:w="55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666" w:hRule="atLeast"/>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16</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十六、金融支出</w:t>
            </w: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48</w:t>
            </w:r>
          </w:p>
        </w:tc>
        <w:tc>
          <w:tcPr>
            <w:tcW w:w="55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2,473.64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2,473.64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441" w:hRule="atLeast"/>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17</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十七、援助其他地区支出</w:t>
            </w: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49</w:t>
            </w:r>
          </w:p>
        </w:tc>
        <w:tc>
          <w:tcPr>
            <w:tcW w:w="55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18</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十八、自然资源海洋气象等支出</w:t>
            </w: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50</w:t>
            </w:r>
          </w:p>
        </w:tc>
        <w:tc>
          <w:tcPr>
            <w:tcW w:w="55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19</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十九、住房保障支出</w:t>
            </w: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51</w:t>
            </w:r>
          </w:p>
        </w:tc>
        <w:tc>
          <w:tcPr>
            <w:tcW w:w="55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82.55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82.55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20</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二十、粮油物资储备支出</w:t>
            </w: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52</w:t>
            </w:r>
          </w:p>
        </w:tc>
        <w:tc>
          <w:tcPr>
            <w:tcW w:w="55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21</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二十一、国有资本经营预算支出</w:t>
            </w: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53</w:t>
            </w:r>
          </w:p>
        </w:tc>
        <w:tc>
          <w:tcPr>
            <w:tcW w:w="55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22</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二十二、灾害防治及应急管理支出</w:t>
            </w: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54</w:t>
            </w:r>
          </w:p>
        </w:tc>
        <w:tc>
          <w:tcPr>
            <w:tcW w:w="55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23</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二十三、其他支出</w:t>
            </w: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55</w:t>
            </w:r>
          </w:p>
        </w:tc>
        <w:tc>
          <w:tcPr>
            <w:tcW w:w="55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宋体" w:hAnsi="宋体" w:eastAsia="宋体"/>
                <w:color w:val="000000"/>
                <w:sz w:val="20"/>
                <w:szCs w:val="20"/>
              </w:rPr>
            </w:pP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24</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二十四、债务还本支出</w:t>
            </w: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56</w:t>
            </w:r>
          </w:p>
        </w:tc>
        <w:tc>
          <w:tcPr>
            <w:tcW w:w="55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宋体" w:hAnsi="宋体" w:eastAsia="宋体"/>
                <w:b/>
                <w:bCs/>
                <w:color w:val="000000"/>
                <w:sz w:val="20"/>
                <w:szCs w:val="20"/>
              </w:rPr>
            </w:pP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25</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二十五、债务付息支出</w:t>
            </w: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57</w:t>
            </w:r>
          </w:p>
        </w:tc>
        <w:tc>
          <w:tcPr>
            <w:tcW w:w="55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宋体" w:hAnsi="宋体" w:eastAsia="宋体"/>
                <w:color w:val="000000"/>
                <w:sz w:val="20"/>
                <w:szCs w:val="20"/>
              </w:rPr>
            </w:pP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26</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二十六、抗疫特别国债安排的支出</w:t>
            </w: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58</w:t>
            </w:r>
          </w:p>
        </w:tc>
        <w:tc>
          <w:tcPr>
            <w:tcW w:w="55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lang w:bidi="ar"/>
              </w:rPr>
              <w:t>本年收入合计</w:t>
            </w: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27</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2,699.20</w:t>
            </w:r>
          </w:p>
        </w:tc>
        <w:tc>
          <w:tcPr>
            <w:tcW w:w="89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lang w:bidi="ar"/>
              </w:rPr>
              <w:t>本年支出合计</w:t>
            </w: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59</w:t>
            </w:r>
          </w:p>
        </w:tc>
        <w:tc>
          <w:tcPr>
            <w:tcW w:w="55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2,699.20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2,699.20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年初财政拨款结转和结余</w:t>
            </w: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28</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年末财政拨款结转和结余</w:t>
            </w: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60</w:t>
            </w:r>
          </w:p>
        </w:tc>
        <w:tc>
          <w:tcPr>
            <w:tcW w:w="55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一、一般公共预算财政拨款</w:t>
            </w: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29</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61</w:t>
            </w:r>
          </w:p>
        </w:tc>
        <w:tc>
          <w:tcPr>
            <w:tcW w:w="55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二、政府性基金预算财政拨款</w:t>
            </w: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30</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62</w:t>
            </w:r>
          </w:p>
        </w:tc>
        <w:tc>
          <w:tcPr>
            <w:tcW w:w="55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left"/>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三、国有资本经营预算财政拨款</w:t>
            </w: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31</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89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63</w:t>
            </w:r>
          </w:p>
        </w:tc>
        <w:tc>
          <w:tcPr>
            <w:tcW w:w="55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8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lang w:bidi="ar"/>
              </w:rPr>
              <w:t>总计</w:t>
            </w: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32</w:t>
            </w:r>
          </w:p>
        </w:tc>
        <w:tc>
          <w:tcPr>
            <w:tcW w:w="6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2,699.20</w:t>
            </w:r>
          </w:p>
        </w:tc>
        <w:tc>
          <w:tcPr>
            <w:tcW w:w="89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b/>
                <w:bCs/>
                <w:color w:val="000000"/>
                <w:sz w:val="20"/>
                <w:szCs w:val="20"/>
              </w:rPr>
            </w:pPr>
            <w:r>
              <w:rPr>
                <w:rFonts w:hint="eastAsia" w:ascii="方正仿宋_GB2312" w:hAnsi="方正仿宋_GB2312" w:eastAsia="方正仿宋_GB2312" w:cs="方正仿宋_GB2312"/>
                <w:b/>
                <w:bCs/>
                <w:color w:val="000000"/>
                <w:sz w:val="20"/>
                <w:szCs w:val="20"/>
                <w:lang w:bidi="ar"/>
              </w:rPr>
              <w:t>总计</w:t>
            </w:r>
          </w:p>
        </w:tc>
        <w:tc>
          <w:tcPr>
            <w:tcW w:w="26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lang w:bidi="ar"/>
              </w:rPr>
              <w:t>64</w:t>
            </w:r>
          </w:p>
        </w:tc>
        <w:tc>
          <w:tcPr>
            <w:tcW w:w="55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2,699.20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cs="Times New Roman"/>
                <w:sz w:val="20"/>
                <w:szCs w:val="20"/>
              </w:rPr>
            </w:pPr>
          </w:p>
          <w:p>
            <w:pPr>
              <w:jc w:val="right"/>
              <w:rPr>
                <w:rFonts w:ascii="Times New Roman" w:hAnsi="Times New Roman" w:cs="Times New Roman"/>
                <w:sz w:val="20"/>
                <w:szCs w:val="20"/>
              </w:rPr>
            </w:pPr>
            <w:r>
              <w:rPr>
                <w:rFonts w:ascii="Times New Roman" w:hAnsi="Times New Roman" w:cs="Times New Roman"/>
                <w:sz w:val="20"/>
                <w:szCs w:val="20"/>
              </w:rPr>
              <w:t>2,699.20</w:t>
            </w:r>
          </w:p>
          <w:p>
            <w:pPr>
              <w:jc w:val="right"/>
              <w:rPr>
                <w:rFonts w:ascii="Times New Roman" w:hAnsi="Times New Roman" w:eastAsia="宋体" w:cs="Times New Roman"/>
                <w:color w:val="000000"/>
                <w:sz w:val="20"/>
                <w:szCs w:val="20"/>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5000" w:type="pct"/>
            <w:gridSpan w:val="11"/>
            <w:tcBorders>
              <w:top w:val="single" w:color="000000" w:themeColor="text1" w:sz="8" w:space="0"/>
              <w:left w:val="nil"/>
              <w:bottom w:val="nil"/>
              <w:right w:val="nil"/>
            </w:tcBorders>
            <w:noWrap/>
            <w:vAlign w:val="center"/>
          </w:tcPr>
          <w:p>
            <w:pPr>
              <w:widowControl/>
              <w:jc w:val="left"/>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注：本表反映部门本年度一般公共预算财政拨款、政府性基金预算财政拨款和国有资本经营预算财政拨款的总收支和年末结转结余情况。</w:t>
            </w:r>
          </w:p>
        </w:tc>
      </w:tr>
    </w:tbl>
    <w:p>
      <w:pPr>
        <w:rPr>
          <w:rFonts w:ascii="仿宋_GB2312" w:hAnsi="宋体" w:eastAsia="仿宋_GB2312"/>
          <w:b/>
          <w:sz w:val="32"/>
          <w:szCs w:val="32"/>
        </w:rPr>
      </w:pPr>
    </w:p>
    <w:p>
      <w:pPr>
        <w:rPr>
          <w:rFonts w:ascii="仿宋_GB2312" w:hAnsi="宋体" w:eastAsia="仿宋_GB2312"/>
          <w:b/>
          <w:sz w:val="32"/>
          <w:szCs w:val="32"/>
        </w:rPr>
      </w:pPr>
      <w:r>
        <w:rPr>
          <w:rFonts w:hint="eastAsia" w:ascii="仿宋_GB2312" w:hAnsi="宋体" w:eastAsia="仿宋_GB2312"/>
          <w:b/>
          <w:sz w:val="32"/>
          <w:szCs w:val="32"/>
        </w:rPr>
        <w:br w:type="page"/>
      </w:r>
    </w:p>
    <w:tbl>
      <w:tblPr>
        <w:tblStyle w:val="11"/>
        <w:tblW w:w="5348" w:type="pct"/>
        <w:tblInd w:w="-657" w:type="dxa"/>
        <w:tblLayout w:type="autofit"/>
        <w:tblCellMar>
          <w:top w:w="0" w:type="dxa"/>
          <w:left w:w="108" w:type="dxa"/>
          <w:bottom w:w="0" w:type="dxa"/>
          <w:right w:w="108" w:type="dxa"/>
        </w:tblCellMar>
      </w:tblPr>
      <w:tblGrid>
        <w:gridCol w:w="1080"/>
        <w:gridCol w:w="3416"/>
        <w:gridCol w:w="490"/>
        <w:gridCol w:w="1177"/>
        <w:gridCol w:w="1247"/>
        <w:gridCol w:w="420"/>
        <w:gridCol w:w="2104"/>
      </w:tblGrid>
      <w:tr>
        <w:tblPrEx>
          <w:tblCellMar>
            <w:top w:w="0" w:type="dxa"/>
            <w:left w:w="108" w:type="dxa"/>
            <w:bottom w:w="0" w:type="dxa"/>
            <w:right w:w="108" w:type="dxa"/>
          </w:tblCellMar>
        </w:tblPrEx>
        <w:trPr>
          <w:trHeight w:val="657" w:hRule="atLeast"/>
        </w:trPr>
        <w:tc>
          <w:tcPr>
            <w:tcW w:w="5000" w:type="pct"/>
            <w:gridSpan w:val="7"/>
            <w:tcBorders>
              <w:top w:val="nil"/>
              <w:left w:val="nil"/>
              <w:bottom w:val="nil"/>
              <w:right w:val="nil"/>
            </w:tcBorders>
            <w:noWrap/>
            <w:vAlign w:val="bottom"/>
          </w:tcPr>
          <w:p>
            <w:pPr>
              <w:widowControl/>
              <w:jc w:val="center"/>
              <w:textAlignment w:val="bottom"/>
              <w:rPr>
                <w:rFonts w:ascii="宋体" w:hAnsi="宋体" w:eastAsia="宋体"/>
                <w:color w:val="000000"/>
                <w:sz w:val="20"/>
                <w:szCs w:val="20"/>
              </w:rPr>
            </w:pPr>
            <w:r>
              <w:rPr>
                <w:rFonts w:hint="eastAsia" w:ascii="方正仿宋_GB2312" w:hAnsi="方正仿宋_GB2312" w:eastAsia="方正仿宋_GB2312" w:cs="方正仿宋_GB2312"/>
                <w:bCs/>
                <w:sz w:val="32"/>
                <w:szCs w:val="32"/>
              </w:rPr>
              <w:t>一般公共预算财政拨款支出决算表</w:t>
            </w:r>
          </w:p>
        </w:tc>
      </w:tr>
      <w:tr>
        <w:tblPrEx>
          <w:tblCellMar>
            <w:top w:w="0" w:type="dxa"/>
            <w:left w:w="108" w:type="dxa"/>
            <w:bottom w:w="0" w:type="dxa"/>
            <w:right w:w="108" w:type="dxa"/>
          </w:tblCellMar>
        </w:tblPrEx>
        <w:trPr>
          <w:trHeight w:val="329" w:hRule="atLeast"/>
        </w:trPr>
        <w:tc>
          <w:tcPr>
            <w:tcW w:w="5000" w:type="pct"/>
            <w:gridSpan w:val="7"/>
            <w:tcBorders>
              <w:top w:val="nil"/>
              <w:left w:val="nil"/>
              <w:bottom w:val="nil"/>
              <w:right w:val="nil"/>
            </w:tcBorders>
            <w:noWrap/>
            <w:vAlign w:val="bottom"/>
          </w:tcPr>
          <w:p>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公开</w:t>
            </w:r>
            <w:r>
              <w:rPr>
                <w:rFonts w:ascii="Times New Roman" w:hAnsi="Times New Roman" w:eastAsia="方正仿宋_GB2312" w:cs="Times New Roman"/>
                <w:color w:val="000000"/>
                <w:sz w:val="20"/>
                <w:szCs w:val="20"/>
                <w:lang w:bidi="ar"/>
              </w:rPr>
              <w:t>05</w:t>
            </w:r>
            <w:r>
              <w:rPr>
                <w:rFonts w:hint="eastAsia" w:ascii="方正仿宋_GB2312" w:hAnsi="方正仿宋_GB2312" w:eastAsia="方正仿宋_GB2312" w:cs="方正仿宋_GB2312"/>
                <w:color w:val="000000"/>
                <w:sz w:val="20"/>
                <w:szCs w:val="20"/>
                <w:lang w:bidi="ar"/>
              </w:rPr>
              <w:t>表</w:t>
            </w:r>
          </w:p>
        </w:tc>
      </w:tr>
      <w:tr>
        <w:tblPrEx>
          <w:tblCellMar>
            <w:top w:w="0" w:type="dxa"/>
            <w:left w:w="108" w:type="dxa"/>
            <w:bottom w:w="0" w:type="dxa"/>
            <w:right w:w="108" w:type="dxa"/>
          </w:tblCellMar>
        </w:tblPrEx>
        <w:trPr>
          <w:trHeight w:val="329" w:hRule="atLeast"/>
        </w:trPr>
        <w:tc>
          <w:tcPr>
            <w:tcW w:w="1868" w:type="pct"/>
            <w:gridSpan w:val="3"/>
            <w:tcBorders>
              <w:top w:val="nil"/>
              <w:left w:val="nil"/>
              <w:bottom w:val="single" w:color="000000" w:themeColor="text1" w:sz="8" w:space="0"/>
              <w:right w:val="nil"/>
            </w:tcBorders>
            <w:noWrap/>
            <w:vAlign w:val="bottom"/>
          </w:tcPr>
          <w:p>
            <w:pPr>
              <w:widowControl/>
              <w:jc w:val="lef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部门：中共石家庄市委金融委员会办公室</w:t>
            </w:r>
          </w:p>
        </w:tc>
        <w:tc>
          <w:tcPr>
            <w:tcW w:w="1541" w:type="pct"/>
            <w:gridSpan w:val="2"/>
            <w:tcBorders>
              <w:top w:val="nil"/>
              <w:left w:val="nil"/>
              <w:bottom w:val="single" w:color="000000" w:themeColor="text1" w:sz="8" w:space="0"/>
              <w:right w:val="nil"/>
            </w:tcBorders>
            <w:noWrap/>
            <w:vAlign w:val="bottom"/>
          </w:tcPr>
          <w:p>
            <w:pPr>
              <w:widowControl/>
              <w:jc w:val="center"/>
              <w:textAlignment w:val="bottom"/>
              <w:rPr>
                <w:rFonts w:asciiTheme="minorEastAsia" w:hAnsiTheme="minorEastAsia" w:cstheme="minorEastAsia"/>
                <w:color w:val="000000"/>
                <w:sz w:val="20"/>
                <w:szCs w:val="20"/>
                <w:lang w:bidi="ar"/>
              </w:rPr>
            </w:pPr>
            <w:r>
              <w:rPr>
                <w:rFonts w:ascii="Times New Roman" w:hAnsi="Times New Roman" w:cs="Times New Roman"/>
                <w:color w:val="000000"/>
                <w:sz w:val="20"/>
                <w:szCs w:val="20"/>
                <w:lang w:bidi="ar"/>
              </w:rPr>
              <w:t>202</w:t>
            </w:r>
            <w:r>
              <w:rPr>
                <w:rFonts w:hint="eastAsia" w:ascii="Times New Roman" w:hAnsi="Times New Roman" w:cs="Times New Roman"/>
                <w:color w:val="000000"/>
                <w:sz w:val="20"/>
                <w:szCs w:val="20"/>
                <w:lang w:bidi="ar"/>
              </w:rPr>
              <w:t>5</w:t>
            </w:r>
            <w:r>
              <w:rPr>
                <w:rFonts w:hint="eastAsia" w:ascii="方正仿宋_GB2312" w:hAnsi="方正仿宋_GB2312" w:eastAsia="方正仿宋_GB2312" w:cs="方正仿宋_GB2312"/>
                <w:color w:val="000000"/>
                <w:sz w:val="20"/>
                <w:szCs w:val="20"/>
                <w:lang w:bidi="ar"/>
              </w:rPr>
              <w:t>年度</w:t>
            </w:r>
          </w:p>
        </w:tc>
        <w:tc>
          <w:tcPr>
            <w:tcW w:w="1590" w:type="pct"/>
            <w:gridSpan w:val="2"/>
            <w:tcBorders>
              <w:top w:val="nil"/>
              <w:left w:val="nil"/>
              <w:bottom w:val="single" w:color="000000" w:themeColor="text1" w:sz="8" w:space="0"/>
              <w:right w:val="nil"/>
            </w:tcBorders>
            <w:noWrap/>
            <w:vAlign w:val="bottom"/>
          </w:tcPr>
          <w:p>
            <w:pPr>
              <w:widowControl/>
              <w:jc w:val="right"/>
              <w:textAlignment w:val="bottom"/>
              <w:rPr>
                <w:rFonts w:ascii="方正仿宋_GB2312" w:hAnsi="方正仿宋_GB2312" w:eastAsia="方正仿宋_GB2312" w:cs="方正仿宋_GB2312"/>
                <w:color w:val="000000"/>
                <w:sz w:val="20"/>
                <w:szCs w:val="20"/>
                <w:lang w:bidi="ar"/>
              </w:rPr>
            </w:pPr>
            <w:r>
              <w:rPr>
                <w:rFonts w:hint="eastAsia" w:ascii="方正仿宋_GB2312" w:hAnsi="方正仿宋_GB2312" w:eastAsia="方正仿宋_GB2312" w:cs="方正仿宋_GB2312"/>
                <w:color w:val="000000"/>
                <w:sz w:val="20"/>
                <w:szCs w:val="20"/>
                <w:lang w:bidi="ar"/>
              </w:rPr>
              <w:t>金额单位：万元</w:t>
            </w:r>
          </w:p>
        </w:tc>
      </w:tr>
      <w:tr>
        <w:tblPrEx>
          <w:tblCellMar>
            <w:top w:w="0" w:type="dxa"/>
            <w:left w:w="108" w:type="dxa"/>
            <w:bottom w:w="0" w:type="dxa"/>
            <w:right w:w="108" w:type="dxa"/>
          </w:tblCellMar>
        </w:tblPrEx>
        <w:trPr>
          <w:trHeight w:val="510"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项目</w:t>
            </w:r>
          </w:p>
        </w:tc>
        <w:tc>
          <w:tcPr>
            <w:tcW w:w="3538" w:type="pct"/>
            <w:gridSpan w:val="5"/>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本年支出</w:t>
            </w:r>
          </w:p>
        </w:tc>
      </w:tr>
      <w:tr>
        <w:tblPrEx>
          <w:tblCellMar>
            <w:top w:w="0" w:type="dxa"/>
            <w:left w:w="108" w:type="dxa"/>
            <w:bottom w:w="0" w:type="dxa"/>
            <w:right w:w="108" w:type="dxa"/>
          </w:tblCellMar>
        </w:tblPrEx>
        <w:trPr>
          <w:trHeight w:val="369" w:hRule="atLeast"/>
        </w:trPr>
        <w:tc>
          <w:tcPr>
            <w:tcW w:w="704" w:type="pct"/>
            <w:vMerge w:val="restart"/>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科目代码</w:t>
            </w:r>
          </w:p>
        </w:tc>
        <w:tc>
          <w:tcPr>
            <w:tcW w:w="7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科目名称</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小计</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基本支出</w:t>
            </w:r>
          </w:p>
        </w:tc>
        <w:tc>
          <w:tcPr>
            <w:tcW w:w="1218" w:type="pct"/>
            <w:vMerge w:val="restart"/>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项目支出</w:t>
            </w:r>
          </w:p>
        </w:tc>
      </w:tr>
      <w:tr>
        <w:tblPrEx>
          <w:tblCellMar>
            <w:top w:w="0" w:type="dxa"/>
            <w:left w:w="108" w:type="dxa"/>
            <w:bottom w:w="0" w:type="dxa"/>
            <w:right w:w="108" w:type="dxa"/>
          </w:tblCellMar>
        </w:tblPrEx>
        <w:trPr>
          <w:trHeight w:val="346"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center"/>
              <w:rPr>
                <w:rFonts w:ascii="宋体" w:hAnsi="宋体" w:eastAsia="宋体"/>
                <w:color w:val="000000"/>
                <w:sz w:val="20"/>
                <w:szCs w:val="20"/>
              </w:rPr>
            </w:pPr>
          </w:p>
        </w:tc>
      </w:tr>
      <w:tr>
        <w:tblPrEx>
          <w:tblCellMar>
            <w:top w:w="0" w:type="dxa"/>
            <w:left w:w="108" w:type="dxa"/>
            <w:bottom w:w="0" w:type="dxa"/>
            <w:right w:w="108" w:type="dxa"/>
          </w:tblCellMar>
        </w:tblPrEx>
        <w:trPr>
          <w:trHeight w:val="369"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宋体" w:hAnsi="宋体" w:eastAsia="宋体"/>
                <w:color w:val="000000"/>
                <w:sz w:val="20"/>
                <w:szCs w:val="20"/>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vAlign w:val="center"/>
          </w:tcPr>
          <w:p>
            <w:pPr>
              <w:jc w:val="center"/>
              <w:rPr>
                <w:rFonts w:ascii="宋体" w:hAnsi="宋体" w:eastAsia="宋体"/>
                <w:color w:val="000000"/>
                <w:sz w:val="20"/>
                <w:szCs w:val="20"/>
              </w:rPr>
            </w:pPr>
          </w:p>
        </w:tc>
      </w:tr>
      <w:tr>
        <w:tblPrEx>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栏次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widowControl/>
              <w:jc w:val="center"/>
              <w:textAlignment w:val="center"/>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w:t>
            </w:r>
          </w:p>
        </w:tc>
      </w:tr>
      <w:tr>
        <w:tblPrEx>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合计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2,699.20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1,063.03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cs="Times New Roman"/>
                <w:sz w:val="20"/>
                <w:szCs w:val="20"/>
              </w:rPr>
              <w:t>1,636.18</w:t>
            </w:r>
          </w:p>
        </w:tc>
      </w:tr>
      <w:tr>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100.01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100.01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行政事业单位养老支出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100.01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100.01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2080501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行政单位离退休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4.94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4.94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2080505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机关事业单位基本养老保险缴费支出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85.85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85.85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2080506</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机关事业单位职业年金缴费支出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9.22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9.22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卫生健康支出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43.00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43.00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21011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行政事业单位医疗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43.00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43.00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2101101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25.87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25.87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2101103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公务员医疗补助</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17.13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17.13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217</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金融支出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2,473.64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837.46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1,636.18</w:t>
            </w:r>
          </w:p>
        </w:tc>
      </w:tr>
      <w:tr>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21701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金融部门行政支出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1,243.63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837.46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406.17</w:t>
            </w:r>
          </w:p>
        </w:tc>
      </w:tr>
      <w:tr>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2170101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行政运行</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837.46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837.46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2170102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一般行政管理事务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406.17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406.17</w:t>
            </w:r>
          </w:p>
        </w:tc>
      </w:tr>
      <w:tr>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21702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金融部门监管支出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39.20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39.20</w:t>
            </w:r>
          </w:p>
        </w:tc>
      </w:tr>
      <w:tr>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2170299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金融部门其他监管支出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39.20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39.20</w:t>
            </w:r>
          </w:p>
        </w:tc>
      </w:tr>
      <w:tr>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21703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金融发展支出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190.81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190.81</w:t>
            </w:r>
          </w:p>
        </w:tc>
      </w:tr>
      <w:tr>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2170399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其他金融发展支出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190.81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190.81</w:t>
            </w:r>
          </w:p>
        </w:tc>
      </w:tr>
      <w:tr>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21799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其他金融支出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1,000.00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1,000.00</w:t>
            </w:r>
          </w:p>
        </w:tc>
      </w:tr>
      <w:tr>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2179999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其他金融支出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1,000.00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1,000.00</w:t>
            </w:r>
          </w:p>
        </w:tc>
      </w:tr>
      <w:tr>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221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住房保障支出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82.55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82.55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22102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住房改革支出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82.55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82.55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ascii="Times New Roman" w:hAnsi="Times New Roman" w:eastAsia="方正仿宋_GB2312" w:cs="Times New Roman"/>
                <w:color w:val="000000"/>
                <w:sz w:val="20"/>
                <w:szCs w:val="20"/>
              </w:rPr>
              <w:t>2210201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住房公积金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82.55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r>
              <w:rPr>
                <w:rFonts w:ascii="Times New Roman" w:hAnsi="Times New Roman" w:eastAsia="宋体" w:cs="Times New Roman"/>
                <w:color w:val="000000"/>
                <w:sz w:val="20"/>
                <w:szCs w:val="20"/>
              </w:rPr>
              <w:t>82.55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661" w:hRule="atLeast"/>
        </w:trPr>
        <w:tc>
          <w:tcPr>
            <w:tcW w:w="5000" w:type="pct"/>
            <w:gridSpan w:val="7"/>
            <w:tcBorders>
              <w:top w:val="single" w:color="000000" w:themeColor="text1" w:sz="8" w:space="0"/>
              <w:left w:val="nil"/>
              <w:bottom w:val="nil"/>
              <w:right w:val="nil"/>
            </w:tcBorders>
            <w:noWrap/>
            <w:vAlign w:val="center"/>
          </w:tcPr>
          <w:p>
            <w:pPr>
              <w:widowControl/>
              <w:jc w:val="left"/>
              <w:textAlignment w:val="center"/>
              <w:rPr>
                <w:rFonts w:ascii="方正仿宋_GB2312" w:hAnsi="方正仿宋_GB2312" w:eastAsia="方正仿宋_GB2312" w:cs="方正仿宋_GB2312"/>
                <w:color w:val="000000"/>
                <w:sz w:val="20"/>
                <w:szCs w:val="20"/>
                <w:lang w:bidi="ar"/>
              </w:rPr>
            </w:pPr>
            <w:r>
              <w:rPr>
                <w:rFonts w:hint="eastAsia" w:ascii="方正仿宋_GB2312" w:hAnsi="方正仿宋_GB2312" w:eastAsia="方正仿宋_GB2312" w:cs="方正仿宋_GB2312"/>
                <w:color w:val="000000"/>
                <w:sz w:val="20"/>
                <w:szCs w:val="20"/>
                <w:lang w:bidi="ar"/>
              </w:rPr>
              <w:t>注：本表反映部门本年度一般公共预算财政拨款支出情况。</w:t>
            </w:r>
          </w:p>
        </w:tc>
      </w:tr>
    </w:tbl>
    <w:p>
      <w:pPr>
        <w:rPr>
          <w:rFonts w:ascii="仿宋_GB2312" w:hAnsi="宋体" w:eastAsia="仿宋_GB2312"/>
          <w:b/>
          <w:sz w:val="32"/>
          <w:szCs w:val="32"/>
        </w:rPr>
      </w:pPr>
    </w:p>
    <w:p>
      <w:pPr>
        <w:rPr>
          <w:rFonts w:ascii="仿宋_GB2312" w:hAnsi="宋体" w:eastAsia="仿宋_GB2312"/>
          <w:b/>
          <w:sz w:val="32"/>
          <w:szCs w:val="32"/>
        </w:rPr>
      </w:pPr>
      <w:r>
        <w:rPr>
          <w:rFonts w:hint="eastAsia" w:ascii="仿宋_GB2312" w:hAnsi="宋体" w:eastAsia="仿宋_GB2312"/>
          <w:b/>
          <w:sz w:val="32"/>
          <w:szCs w:val="32"/>
        </w:rPr>
        <w:br w:type="page"/>
      </w:r>
    </w:p>
    <w:tbl>
      <w:tblPr>
        <w:tblStyle w:val="11"/>
        <w:tblW w:w="11601" w:type="dxa"/>
        <w:jc w:val="center"/>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tblPrEx>
          <w:tblCellMar>
            <w:top w:w="0" w:type="dxa"/>
            <w:left w:w="108" w:type="dxa"/>
            <w:bottom w:w="0" w:type="dxa"/>
            <w:right w:w="108" w:type="dxa"/>
          </w:tblCellMar>
        </w:tblPrEx>
        <w:trPr>
          <w:jc w:val="center"/>
        </w:trPr>
        <w:tc>
          <w:tcPr>
            <w:tcW w:w="11601" w:type="dxa"/>
            <w:gridSpan w:val="10"/>
            <w:tcBorders>
              <w:top w:val="nil"/>
              <w:left w:val="nil"/>
              <w:bottom w:val="nil"/>
              <w:right w:val="nil"/>
            </w:tcBorders>
            <w:shd w:val="clear" w:color="auto" w:fill="auto"/>
            <w:noWrap/>
            <w:vAlign w:val="bottom"/>
          </w:tcPr>
          <w:p>
            <w:pPr>
              <w:widowControl/>
              <w:snapToGrid w:val="0"/>
              <w:jc w:val="center"/>
              <w:textAlignment w:val="bottom"/>
              <w:rPr>
                <w:rFonts w:ascii="方正仿宋_GB2312" w:hAnsi="方正仿宋_GB2312" w:eastAsia="方正仿宋_GB2312" w:cs="方正仿宋_GB2312"/>
                <w:color w:val="000000"/>
                <w:sz w:val="32"/>
                <w:szCs w:val="32"/>
              </w:rPr>
            </w:pPr>
            <w:r>
              <w:rPr>
                <w:rFonts w:hint="eastAsia" w:ascii="方正仿宋_GB2312" w:hAnsi="方正仿宋_GB2312" w:eastAsia="方正仿宋_GB2312" w:cs="方正仿宋_GB2312"/>
                <w:color w:val="000000"/>
                <w:sz w:val="32"/>
                <w:szCs w:val="32"/>
                <w:lang w:bidi="ar"/>
              </w:rPr>
              <w:t>一般公共预算财政拨款基本支出决算明细表</w:t>
            </w:r>
          </w:p>
        </w:tc>
      </w:tr>
      <w:tr>
        <w:tblPrEx>
          <w:tblCellMar>
            <w:top w:w="0" w:type="dxa"/>
            <w:left w:w="108" w:type="dxa"/>
            <w:bottom w:w="0" w:type="dxa"/>
            <w:right w:w="108" w:type="dxa"/>
          </w:tblCellMar>
        </w:tblPrEx>
        <w:trPr>
          <w:jc w:val="center"/>
        </w:trPr>
        <w:tc>
          <w:tcPr>
            <w:tcW w:w="11601" w:type="dxa"/>
            <w:gridSpan w:val="10"/>
            <w:tcBorders>
              <w:top w:val="nil"/>
              <w:left w:val="nil"/>
              <w:bottom w:val="nil"/>
              <w:right w:val="nil"/>
            </w:tcBorders>
            <w:shd w:val="clear" w:color="auto" w:fill="auto"/>
            <w:noWrap/>
            <w:vAlign w:val="bottom"/>
          </w:tcPr>
          <w:p>
            <w:pPr>
              <w:widowControl/>
              <w:snapToGrid w:val="0"/>
              <w:jc w:val="right"/>
              <w:textAlignment w:val="bottom"/>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公开</w:t>
            </w:r>
            <w:r>
              <w:rPr>
                <w:rFonts w:ascii="Times New Roman" w:hAnsi="Times New Roman" w:eastAsia="方正仿宋_GB2312" w:cs="Times New Roman"/>
                <w:color w:val="000000"/>
                <w:sz w:val="18"/>
                <w:szCs w:val="18"/>
                <w:lang w:bidi="ar"/>
              </w:rPr>
              <w:t>06</w:t>
            </w:r>
            <w:r>
              <w:rPr>
                <w:rStyle w:val="25"/>
                <w:rFonts w:hint="default"/>
                <w:lang w:bidi="ar"/>
              </w:rPr>
              <w:t>表</w:t>
            </w:r>
          </w:p>
        </w:tc>
      </w:tr>
      <w:tr>
        <w:tblPrEx>
          <w:tblCellMar>
            <w:top w:w="0" w:type="dxa"/>
            <w:left w:w="108" w:type="dxa"/>
            <w:bottom w:w="0" w:type="dxa"/>
            <w:right w:w="108" w:type="dxa"/>
          </w:tblCellMar>
        </w:tblPrEx>
        <w:trPr>
          <w:jc w:val="center"/>
        </w:trPr>
        <w:tc>
          <w:tcPr>
            <w:tcW w:w="5615" w:type="dxa"/>
            <w:gridSpan w:val="6"/>
            <w:tcBorders>
              <w:top w:val="nil"/>
              <w:left w:val="nil"/>
              <w:bottom w:val="single" w:color="000000" w:sz="8" w:space="0"/>
              <w:right w:val="nil"/>
            </w:tcBorders>
            <w:shd w:val="clear" w:color="auto" w:fill="auto"/>
            <w:noWrap/>
            <w:vAlign w:val="bottom"/>
          </w:tcPr>
          <w:p>
            <w:pPr>
              <w:widowControl/>
              <w:snapToGrid w:val="0"/>
              <w:textAlignment w:val="bottom"/>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部门：中共石家庄市委金融委员会办公室 </w:t>
            </w:r>
            <w:r>
              <w:rPr>
                <w:rFonts w:hint="eastAsia" w:ascii="宋体" w:hAnsi="宋体" w:eastAsia="宋体"/>
                <w:color w:val="000000"/>
                <w:sz w:val="18"/>
                <w:szCs w:val="18"/>
                <w:lang w:bidi="ar"/>
              </w:rPr>
              <w:t xml:space="preserve">                                                                   </w:t>
            </w:r>
          </w:p>
        </w:tc>
        <w:tc>
          <w:tcPr>
            <w:tcW w:w="1774" w:type="dxa"/>
            <w:tcBorders>
              <w:top w:val="nil"/>
              <w:left w:val="nil"/>
              <w:bottom w:val="single" w:color="000000" w:sz="8" w:space="0"/>
              <w:right w:val="nil"/>
            </w:tcBorders>
            <w:shd w:val="clear" w:color="auto" w:fill="auto"/>
            <w:noWrap/>
            <w:vAlign w:val="bottom"/>
          </w:tcPr>
          <w:p>
            <w:pPr>
              <w:widowControl/>
              <w:snapToGrid w:val="0"/>
              <w:jc w:val="center"/>
              <w:textAlignment w:val="bottom"/>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2025</w:t>
            </w:r>
            <w:r>
              <w:rPr>
                <w:rStyle w:val="25"/>
                <w:rFonts w:hint="default"/>
                <w:lang w:bidi="ar"/>
              </w:rPr>
              <w:t>年度</w:t>
            </w:r>
          </w:p>
        </w:tc>
        <w:tc>
          <w:tcPr>
            <w:tcW w:w="4212" w:type="dxa"/>
            <w:gridSpan w:val="3"/>
            <w:tcBorders>
              <w:top w:val="nil"/>
              <w:left w:val="nil"/>
              <w:bottom w:val="single" w:color="000000" w:sz="8" w:space="0"/>
              <w:right w:val="nil"/>
            </w:tcBorders>
            <w:shd w:val="clear" w:color="auto" w:fill="auto"/>
            <w:noWrap/>
            <w:vAlign w:val="bottom"/>
          </w:tcPr>
          <w:p>
            <w:pPr>
              <w:widowControl/>
              <w:snapToGrid w:val="0"/>
              <w:jc w:val="right"/>
              <w:textAlignment w:val="bottom"/>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金额单位：万元</w:t>
            </w:r>
          </w:p>
        </w:tc>
      </w:tr>
      <w:tr>
        <w:trPr>
          <w:jc w:val="center"/>
        </w:trPr>
        <w:tc>
          <w:tcPr>
            <w:tcW w:w="3894" w:type="dxa"/>
            <w:gridSpan w:val="3"/>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人员经费</w:t>
            </w:r>
          </w:p>
        </w:tc>
        <w:tc>
          <w:tcPr>
            <w:tcW w:w="7707" w:type="dxa"/>
            <w:gridSpan w:val="7"/>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公用经费</w:t>
            </w:r>
          </w:p>
        </w:tc>
      </w:tr>
      <w:tr>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科目代码</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科目名称</w:t>
            </w:r>
          </w:p>
        </w:tc>
        <w:tc>
          <w:tcPr>
            <w:tcW w:w="1774" w:type="dxa"/>
            <w:tcBorders>
              <w:top w:val="single" w:color="000000" w:sz="8" w:space="0"/>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科目代码</w:t>
            </w:r>
          </w:p>
        </w:tc>
        <w:tc>
          <w:tcPr>
            <w:tcW w:w="1650" w:type="dxa"/>
            <w:tcBorders>
              <w:top w:val="single" w:color="000000" w:sz="8" w:space="0"/>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金额</w:t>
            </w:r>
          </w:p>
        </w:tc>
      </w:tr>
      <w:tr>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301</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工资福利支出</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944.85</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w:t>
            </w:r>
          </w:p>
        </w:tc>
        <w:tc>
          <w:tcPr>
            <w:tcW w:w="1055"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商品和服务支出</w:t>
            </w:r>
          </w:p>
        </w:tc>
        <w:tc>
          <w:tcPr>
            <w:tcW w:w="1774"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113.23</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307</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债务利息及费用支出</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30101</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  </w:t>
            </w:r>
            <w:r>
              <w:rPr>
                <w:rStyle w:val="25"/>
                <w:rFonts w:hint="default"/>
                <w:lang w:bidi="ar"/>
              </w:rPr>
              <w:t>基本工资</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293.22</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30201</w:t>
            </w:r>
          </w:p>
        </w:tc>
        <w:tc>
          <w:tcPr>
            <w:tcW w:w="1055"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办公费</w:t>
            </w:r>
          </w:p>
        </w:tc>
        <w:tc>
          <w:tcPr>
            <w:tcW w:w="1774"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6.69</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30701</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国内债务付息</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30102</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  </w:t>
            </w:r>
            <w:r>
              <w:rPr>
                <w:rStyle w:val="25"/>
                <w:rFonts w:hint="default"/>
                <w:lang w:bidi="ar"/>
              </w:rPr>
              <w:t>津贴补贴</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193.06</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30202</w:t>
            </w:r>
          </w:p>
        </w:tc>
        <w:tc>
          <w:tcPr>
            <w:tcW w:w="1055"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印刷费</w:t>
            </w:r>
          </w:p>
        </w:tc>
        <w:tc>
          <w:tcPr>
            <w:tcW w:w="1774"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30702</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国外债务付息</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30103</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  </w:t>
            </w:r>
            <w:r>
              <w:rPr>
                <w:rStyle w:val="25"/>
                <w:rFonts w:hint="default"/>
                <w:lang w:bidi="ar"/>
              </w:rPr>
              <w:t>奖金</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223.86</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30204</w:t>
            </w:r>
          </w:p>
        </w:tc>
        <w:tc>
          <w:tcPr>
            <w:tcW w:w="1055"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手续费</w:t>
            </w:r>
          </w:p>
        </w:tc>
        <w:tc>
          <w:tcPr>
            <w:tcW w:w="1774"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310</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资本性支出</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30106</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  </w:t>
            </w:r>
            <w:r>
              <w:rPr>
                <w:rStyle w:val="25"/>
                <w:rFonts w:hint="default"/>
                <w:lang w:bidi="ar"/>
              </w:rPr>
              <w:t>伙食补助费</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30205</w:t>
            </w:r>
          </w:p>
        </w:tc>
        <w:tc>
          <w:tcPr>
            <w:tcW w:w="1055"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水费</w:t>
            </w:r>
          </w:p>
        </w:tc>
        <w:tc>
          <w:tcPr>
            <w:tcW w:w="1774"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31001</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房屋建筑物购建</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30107</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  </w:t>
            </w:r>
            <w:r>
              <w:rPr>
                <w:rStyle w:val="25"/>
                <w:rFonts w:hint="default"/>
                <w:lang w:bidi="ar"/>
              </w:rPr>
              <w:t>绩效工资</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30206</w:t>
            </w:r>
          </w:p>
        </w:tc>
        <w:tc>
          <w:tcPr>
            <w:tcW w:w="1055"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电费</w:t>
            </w:r>
          </w:p>
        </w:tc>
        <w:tc>
          <w:tcPr>
            <w:tcW w:w="1774"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31002</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办公设备购置</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30108</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机关事业单位基本养老保险缴费</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85.85</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30207</w:t>
            </w:r>
          </w:p>
        </w:tc>
        <w:tc>
          <w:tcPr>
            <w:tcW w:w="1055"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邮电费</w:t>
            </w:r>
          </w:p>
        </w:tc>
        <w:tc>
          <w:tcPr>
            <w:tcW w:w="1774"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29.44</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31003</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专用设备购置</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30109</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职业年金缴费</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9.22</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30208</w:t>
            </w:r>
          </w:p>
        </w:tc>
        <w:tc>
          <w:tcPr>
            <w:tcW w:w="1055"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取暖费</w:t>
            </w:r>
          </w:p>
        </w:tc>
        <w:tc>
          <w:tcPr>
            <w:tcW w:w="1774"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31005</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基础设施建设</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30110</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职工基本医疗保险缴费</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46.63</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30209</w:t>
            </w:r>
          </w:p>
        </w:tc>
        <w:tc>
          <w:tcPr>
            <w:tcW w:w="1055"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物业管理费</w:t>
            </w:r>
          </w:p>
        </w:tc>
        <w:tc>
          <w:tcPr>
            <w:tcW w:w="1774"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31006</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大型修缮</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30111</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公务员医疗补助缴费</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10.46</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30211</w:t>
            </w:r>
          </w:p>
        </w:tc>
        <w:tc>
          <w:tcPr>
            <w:tcW w:w="1055"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差旅费</w:t>
            </w:r>
          </w:p>
        </w:tc>
        <w:tc>
          <w:tcPr>
            <w:tcW w:w="1774"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12.37</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31007</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信息网络及软件购置更新</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30112</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其他社会保障缴费</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30212</w:t>
            </w:r>
          </w:p>
        </w:tc>
        <w:tc>
          <w:tcPr>
            <w:tcW w:w="1055"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因公出国（境）费用</w:t>
            </w:r>
          </w:p>
        </w:tc>
        <w:tc>
          <w:tcPr>
            <w:tcW w:w="1774"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31008</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物资储备</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30113</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住房公积金</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82.55</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30213</w:t>
            </w:r>
          </w:p>
        </w:tc>
        <w:tc>
          <w:tcPr>
            <w:tcW w:w="1055"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维修（护）费</w:t>
            </w:r>
          </w:p>
        </w:tc>
        <w:tc>
          <w:tcPr>
            <w:tcW w:w="1774"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31009</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土地补偿</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30114</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医疗费</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30214</w:t>
            </w:r>
          </w:p>
        </w:tc>
        <w:tc>
          <w:tcPr>
            <w:tcW w:w="1055"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 xml:space="preserve">  </w:t>
            </w:r>
            <w:r>
              <w:rPr>
                <w:rStyle w:val="25"/>
                <w:rFonts w:hint="default"/>
                <w:lang w:bidi="ar"/>
              </w:rPr>
              <w:t>租赁费</w:t>
            </w:r>
          </w:p>
        </w:tc>
        <w:tc>
          <w:tcPr>
            <w:tcW w:w="1774"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31010</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安置补助</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30199</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其他工资福利支出</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30215</w:t>
            </w:r>
          </w:p>
        </w:tc>
        <w:tc>
          <w:tcPr>
            <w:tcW w:w="1055"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会议费</w:t>
            </w:r>
          </w:p>
        </w:tc>
        <w:tc>
          <w:tcPr>
            <w:tcW w:w="1774"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0.60</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31011</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地上附着物和青苗补偿</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303</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4.94</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30216</w:t>
            </w:r>
          </w:p>
        </w:tc>
        <w:tc>
          <w:tcPr>
            <w:tcW w:w="1055"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培训费</w:t>
            </w:r>
          </w:p>
        </w:tc>
        <w:tc>
          <w:tcPr>
            <w:tcW w:w="1774"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1.41</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31012</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拆迁补偿</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30301</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离休费</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30217</w:t>
            </w:r>
          </w:p>
        </w:tc>
        <w:tc>
          <w:tcPr>
            <w:tcW w:w="1055"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公务接待费</w:t>
            </w:r>
          </w:p>
        </w:tc>
        <w:tc>
          <w:tcPr>
            <w:tcW w:w="1774"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31013</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公务用车购置</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30302</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退休费</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4.94</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30218</w:t>
            </w:r>
          </w:p>
        </w:tc>
        <w:tc>
          <w:tcPr>
            <w:tcW w:w="1055"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专用材料费</w:t>
            </w:r>
          </w:p>
        </w:tc>
        <w:tc>
          <w:tcPr>
            <w:tcW w:w="1774"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31019</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其他交通工具购置</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30303</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退职（役）费</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30224</w:t>
            </w:r>
          </w:p>
        </w:tc>
        <w:tc>
          <w:tcPr>
            <w:tcW w:w="1055"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被装购置费</w:t>
            </w:r>
          </w:p>
        </w:tc>
        <w:tc>
          <w:tcPr>
            <w:tcW w:w="1774"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31021</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文物和陈列品购置</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30304</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抚恤金</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30225</w:t>
            </w:r>
          </w:p>
        </w:tc>
        <w:tc>
          <w:tcPr>
            <w:tcW w:w="1055"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专用燃料费</w:t>
            </w:r>
          </w:p>
        </w:tc>
        <w:tc>
          <w:tcPr>
            <w:tcW w:w="1774"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31022</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无形资产购置</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30305</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生活补助</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30226</w:t>
            </w:r>
          </w:p>
        </w:tc>
        <w:tc>
          <w:tcPr>
            <w:tcW w:w="1055"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劳务费</w:t>
            </w:r>
          </w:p>
        </w:tc>
        <w:tc>
          <w:tcPr>
            <w:tcW w:w="1774"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31099</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其他资本性支出</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30306</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救济费</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30227</w:t>
            </w:r>
          </w:p>
        </w:tc>
        <w:tc>
          <w:tcPr>
            <w:tcW w:w="1055"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委托业务费</w:t>
            </w:r>
          </w:p>
        </w:tc>
        <w:tc>
          <w:tcPr>
            <w:tcW w:w="1774"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399</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30307</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医疗费补助</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30228</w:t>
            </w:r>
          </w:p>
        </w:tc>
        <w:tc>
          <w:tcPr>
            <w:tcW w:w="1055"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工会经费</w:t>
            </w:r>
          </w:p>
        </w:tc>
        <w:tc>
          <w:tcPr>
            <w:tcW w:w="1774"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8.47</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39907</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国家赔偿费用支出</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30308</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助学金</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30229</w:t>
            </w:r>
          </w:p>
        </w:tc>
        <w:tc>
          <w:tcPr>
            <w:tcW w:w="1055"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福利费</w:t>
            </w:r>
          </w:p>
        </w:tc>
        <w:tc>
          <w:tcPr>
            <w:tcW w:w="1774"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6.00</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39908</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对民间非营利组织和群众性自治组织补贴</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30309</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奖励金</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30231</w:t>
            </w:r>
          </w:p>
        </w:tc>
        <w:tc>
          <w:tcPr>
            <w:tcW w:w="933"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公务用车运行维护费</w:t>
            </w:r>
          </w:p>
        </w:tc>
        <w:tc>
          <w:tcPr>
            <w:tcW w:w="1896"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2.30</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39909</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经常性赠与</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30310</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个人农业生产补贴</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30239</w:t>
            </w:r>
          </w:p>
        </w:tc>
        <w:tc>
          <w:tcPr>
            <w:tcW w:w="933"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其他交通费用</w:t>
            </w:r>
          </w:p>
        </w:tc>
        <w:tc>
          <w:tcPr>
            <w:tcW w:w="1896"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37.99</w:t>
            </w: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39910</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资本性赠与</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30311</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代缴社会保险费</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30240</w:t>
            </w:r>
          </w:p>
        </w:tc>
        <w:tc>
          <w:tcPr>
            <w:tcW w:w="933"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税金及附加费用</w:t>
            </w:r>
          </w:p>
        </w:tc>
        <w:tc>
          <w:tcPr>
            <w:tcW w:w="1896"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39999</w:t>
            </w:r>
          </w:p>
        </w:tc>
        <w:tc>
          <w:tcPr>
            <w:tcW w:w="1650"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30399</w:t>
            </w:r>
          </w:p>
        </w:tc>
        <w:tc>
          <w:tcPr>
            <w:tcW w:w="1332"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其他对个人和家庭的补助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p>
        </w:tc>
        <w:tc>
          <w:tcPr>
            <w:tcW w:w="666" w:type="dxa"/>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30299</w:t>
            </w:r>
          </w:p>
        </w:tc>
        <w:tc>
          <w:tcPr>
            <w:tcW w:w="933" w:type="dxa"/>
            <w:tcBorders>
              <w:top w:val="nil"/>
              <w:left w:val="nil"/>
              <w:bottom w:val="single" w:color="000000" w:sz="8" w:space="0"/>
              <w:right w:val="single" w:color="000000" w:sz="8" w:space="0"/>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其他商品和服务支出</w:t>
            </w:r>
          </w:p>
        </w:tc>
        <w:tc>
          <w:tcPr>
            <w:tcW w:w="1896" w:type="dxa"/>
            <w:gridSpan w:val="2"/>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7.96</w:t>
            </w:r>
          </w:p>
        </w:tc>
        <w:tc>
          <w:tcPr>
            <w:tcW w:w="666" w:type="dxa"/>
            <w:tcBorders>
              <w:top w:val="nil"/>
              <w:left w:val="nil"/>
              <w:bottom w:val="single" w:color="000000" w:sz="8" w:space="0"/>
              <w:right w:val="single" w:color="000000" w:sz="8" w:space="0"/>
            </w:tcBorders>
            <w:shd w:val="clear" w:color="auto" w:fill="auto"/>
            <w:noWrap/>
            <w:vAlign w:val="center"/>
          </w:tcPr>
          <w:p>
            <w:pPr>
              <w:snapToGrid w:val="0"/>
              <w:jc w:val="center"/>
              <w:rPr>
                <w:rFonts w:ascii="Times New Roman" w:hAnsi="Times New Roman" w:eastAsia="宋体" w:cs="Times New Roman"/>
                <w:color w:val="000000"/>
                <w:sz w:val="18"/>
                <w:szCs w:val="18"/>
              </w:rPr>
            </w:pPr>
          </w:p>
        </w:tc>
        <w:tc>
          <w:tcPr>
            <w:tcW w:w="1650" w:type="dxa"/>
            <w:tcBorders>
              <w:top w:val="nil"/>
              <w:left w:val="nil"/>
              <w:bottom w:val="single" w:color="000000" w:sz="8" w:space="0"/>
              <w:right w:val="single" w:color="000000" w:sz="8" w:space="0"/>
            </w:tcBorders>
            <w:shd w:val="clear" w:color="auto" w:fill="auto"/>
            <w:noWrap/>
            <w:vAlign w:val="center"/>
          </w:tcPr>
          <w:p>
            <w:pPr>
              <w:snapToGrid w:val="0"/>
              <w:jc w:val="left"/>
              <w:rPr>
                <w:rFonts w:ascii="方正仿宋_GB2312" w:hAnsi="方正仿宋_GB2312" w:eastAsia="方正仿宋_GB2312" w:cs="方正仿宋_GB2312"/>
                <w:color w:val="000000"/>
                <w:sz w:val="18"/>
                <w:szCs w:val="18"/>
              </w:rPr>
            </w:pPr>
          </w:p>
        </w:tc>
        <w:tc>
          <w:tcPr>
            <w:tcW w:w="1896" w:type="dxa"/>
            <w:tcBorders>
              <w:top w:val="nil"/>
              <w:left w:val="nil"/>
              <w:bottom w:val="single" w:color="000000" w:sz="8" w:space="0"/>
              <w:right w:val="single" w:color="000000" w:sz="8" w:space="0"/>
            </w:tcBorders>
            <w:shd w:val="clear" w:color="auto" w:fill="auto"/>
            <w:noWrap/>
            <w:vAlign w:val="center"/>
          </w:tcPr>
          <w:p>
            <w:pPr>
              <w:snapToGrid w:val="0"/>
              <w:jc w:val="right"/>
              <w:rPr>
                <w:rFonts w:ascii="Times New Roman" w:hAnsi="Times New Roman" w:eastAsia="宋体" w:cs="Times New Roman"/>
                <w:color w:val="000000"/>
                <w:sz w:val="18"/>
                <w:szCs w:val="18"/>
              </w:rPr>
            </w:pPr>
          </w:p>
        </w:tc>
      </w:tr>
      <w:tr>
        <w:tblPrEx>
          <w:tblCellMar>
            <w:top w:w="0" w:type="dxa"/>
            <w:left w:w="108" w:type="dxa"/>
            <w:bottom w:w="0" w:type="dxa"/>
            <w:right w:w="108" w:type="dxa"/>
          </w:tblCellMar>
        </w:tblPrEx>
        <w:trPr>
          <w:jc w:val="center"/>
        </w:trPr>
        <w:tc>
          <w:tcPr>
            <w:tcW w:w="1998" w:type="dxa"/>
            <w:gridSpan w:val="2"/>
            <w:tcBorders>
              <w:top w:val="nil"/>
              <w:left w:val="single" w:color="000000" w:sz="8" w:space="0"/>
              <w:bottom w:val="single" w:color="000000" w:sz="8" w:space="0"/>
              <w:right w:val="single" w:color="000000" w:sz="8" w:space="0"/>
            </w:tcBorders>
            <w:shd w:val="clear" w:color="auto" w:fill="auto"/>
            <w:noWrap/>
            <w:vAlign w:val="center"/>
          </w:tcPr>
          <w:p>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人员经费合计</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949.80</w:t>
            </w:r>
          </w:p>
        </w:tc>
        <w:tc>
          <w:tcPr>
            <w:tcW w:w="5811" w:type="dxa"/>
            <w:gridSpan w:val="6"/>
            <w:tcBorders>
              <w:top w:val="nil"/>
              <w:left w:val="nil"/>
              <w:bottom w:val="single" w:color="000000" w:sz="8" w:space="0"/>
              <w:right w:val="single" w:color="000000" w:sz="8" w:space="0"/>
            </w:tcBorders>
            <w:shd w:val="clear" w:color="auto" w:fill="auto"/>
            <w:noWrap/>
            <w:vAlign w:val="center"/>
          </w:tcPr>
          <w:p>
            <w:pPr>
              <w:widowControl/>
              <w:snapToGrid w:val="0"/>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公用经费合计</w:t>
            </w:r>
          </w:p>
        </w:tc>
        <w:tc>
          <w:tcPr>
            <w:tcW w:w="1896" w:type="dxa"/>
            <w:tcBorders>
              <w:top w:val="nil"/>
              <w:left w:val="nil"/>
              <w:bottom w:val="single" w:color="000000" w:sz="8" w:space="0"/>
              <w:right w:val="single" w:color="000000" w:sz="8" w:space="0"/>
            </w:tcBorders>
            <w:shd w:val="clear" w:color="auto" w:fill="auto"/>
            <w:noWrap/>
            <w:vAlign w:val="center"/>
          </w:tcPr>
          <w:p>
            <w:pPr>
              <w:widowControl/>
              <w:snapToGrid w:val="0"/>
              <w:jc w:val="right"/>
              <w:textAlignment w:val="center"/>
              <w:rPr>
                <w:rFonts w:ascii="Times New Roman" w:hAnsi="Times New Roman" w:eastAsia="宋体" w:cs="Times New Roman"/>
                <w:color w:val="000000"/>
                <w:sz w:val="18"/>
                <w:szCs w:val="18"/>
              </w:rPr>
            </w:pPr>
            <w:r>
              <w:rPr>
                <w:rFonts w:ascii="Times New Roman" w:hAnsi="Times New Roman" w:eastAsia="宋体" w:cs="Times New Roman"/>
                <w:color w:val="000000"/>
                <w:sz w:val="18"/>
                <w:szCs w:val="18"/>
                <w:lang w:bidi="ar"/>
              </w:rPr>
              <w:t>113.23</w:t>
            </w:r>
          </w:p>
        </w:tc>
      </w:tr>
      <w:tr>
        <w:tblPrEx>
          <w:tblCellMar>
            <w:top w:w="0" w:type="dxa"/>
            <w:left w:w="108" w:type="dxa"/>
            <w:bottom w:w="0" w:type="dxa"/>
            <w:right w:w="108" w:type="dxa"/>
          </w:tblCellMar>
        </w:tblPrEx>
        <w:trPr>
          <w:jc w:val="center"/>
        </w:trPr>
        <w:tc>
          <w:tcPr>
            <w:tcW w:w="11601" w:type="dxa"/>
            <w:gridSpan w:val="10"/>
            <w:tcBorders>
              <w:top w:val="nil"/>
              <w:left w:val="nil"/>
              <w:bottom w:val="nil"/>
              <w:right w:val="nil"/>
            </w:tcBorders>
            <w:shd w:val="clear" w:color="auto" w:fill="auto"/>
            <w:noWrap/>
            <w:vAlign w:val="center"/>
          </w:tcPr>
          <w:p>
            <w:pPr>
              <w:widowControl/>
              <w:snapToGrid w:val="0"/>
              <w:jc w:val="left"/>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注：本表反映部门本年度一般公共预算财政拨款基本支出明细情况。</w:t>
            </w:r>
          </w:p>
        </w:tc>
      </w:tr>
    </w:tbl>
    <w:p>
      <w:pPr>
        <w:rPr>
          <w:rFonts w:ascii="仿宋_GB2312" w:hAnsi="宋体" w:eastAsia="仿宋_GB2312"/>
          <w:b/>
          <w:sz w:val="32"/>
          <w:szCs w:val="32"/>
        </w:rPr>
      </w:pPr>
    </w:p>
    <w:p>
      <w:pPr>
        <w:rPr>
          <w:rFonts w:ascii="仿宋_GB2312" w:hAnsi="宋体" w:eastAsia="仿宋_GB2312"/>
          <w:b/>
          <w:sz w:val="32"/>
          <w:szCs w:val="32"/>
        </w:rPr>
      </w:pPr>
      <w:r>
        <w:rPr>
          <w:rFonts w:hint="eastAsia" w:ascii="仿宋_GB2312" w:hAnsi="宋体" w:eastAsia="仿宋_GB2312"/>
          <w:b/>
          <w:sz w:val="32"/>
          <w:szCs w:val="32"/>
        </w:rPr>
        <w:br w:type="page"/>
      </w:r>
    </w:p>
    <w:tbl>
      <w:tblPr>
        <w:tblStyle w:val="11"/>
        <w:tblW w:w="5000" w:type="pct"/>
        <w:tblInd w:w="0" w:type="dxa"/>
        <w:tblLayout w:type="autofit"/>
        <w:tblCellMar>
          <w:top w:w="0" w:type="dxa"/>
          <w:left w:w="108" w:type="dxa"/>
          <w:bottom w:w="0" w:type="dxa"/>
          <w:right w:w="108" w:type="dxa"/>
        </w:tblCellMar>
      </w:tblPr>
      <w:tblGrid>
        <w:gridCol w:w="1116"/>
        <w:gridCol w:w="1301"/>
        <w:gridCol w:w="1159"/>
        <w:gridCol w:w="914"/>
        <w:gridCol w:w="986"/>
        <w:gridCol w:w="374"/>
        <w:gridCol w:w="622"/>
        <w:gridCol w:w="1020"/>
        <w:gridCol w:w="1796"/>
      </w:tblGrid>
      <w:tr>
        <w:tblPrEx>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pPr>
              <w:widowControl/>
              <w:jc w:val="center"/>
              <w:textAlignment w:val="bottom"/>
              <w:rPr>
                <w:rFonts w:ascii="宋体" w:hAnsi="宋体" w:eastAsia="宋体"/>
                <w:color w:val="000000"/>
                <w:sz w:val="20"/>
                <w:szCs w:val="20"/>
              </w:rPr>
            </w:pPr>
            <w:r>
              <w:rPr>
                <w:rFonts w:hint="eastAsia" w:ascii="方正仿宋_GB2312" w:hAnsi="方正仿宋_GB2312" w:eastAsia="方正仿宋_GB2312" w:cs="方正仿宋_GB2312"/>
                <w:bCs/>
                <w:sz w:val="32"/>
                <w:szCs w:val="32"/>
              </w:rPr>
              <w:t>政府性基金预算财政拨款收入支出决算表</w:t>
            </w:r>
          </w:p>
        </w:tc>
      </w:tr>
      <w:tr>
        <w:trPr>
          <w:trHeight w:val="90" w:hRule="atLeast"/>
        </w:trPr>
        <w:tc>
          <w:tcPr>
            <w:tcW w:w="5000" w:type="pct"/>
            <w:gridSpan w:val="9"/>
            <w:tcBorders>
              <w:top w:val="nil"/>
              <w:left w:val="nil"/>
              <w:bottom w:val="nil"/>
              <w:right w:val="nil"/>
            </w:tcBorders>
            <w:noWrap/>
            <w:vAlign w:val="bottom"/>
          </w:tcPr>
          <w:p>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公开</w:t>
            </w:r>
            <w:r>
              <w:rPr>
                <w:rFonts w:ascii="Times New Roman" w:hAnsi="Times New Roman" w:eastAsia="宋体" w:cs="Times New Roman"/>
                <w:color w:val="000000"/>
                <w:sz w:val="20"/>
                <w:szCs w:val="20"/>
                <w:lang w:bidi="ar"/>
              </w:rPr>
              <w:t>07</w:t>
            </w:r>
            <w:r>
              <w:rPr>
                <w:rFonts w:hint="eastAsia" w:ascii="方正仿宋_GB2312" w:hAnsi="方正仿宋_GB2312" w:eastAsia="方正仿宋_GB2312" w:cs="方正仿宋_GB2312"/>
                <w:color w:val="000000"/>
                <w:sz w:val="20"/>
                <w:szCs w:val="20"/>
                <w:lang w:bidi="ar"/>
              </w:rPr>
              <w:t>表</w:t>
            </w:r>
          </w:p>
        </w:tc>
      </w:tr>
      <w:tr>
        <w:tblPrEx>
          <w:tblCellMar>
            <w:top w:w="0" w:type="dxa"/>
            <w:left w:w="108" w:type="dxa"/>
            <w:bottom w:w="0" w:type="dxa"/>
            <w:right w:w="108" w:type="dxa"/>
          </w:tblCellMar>
        </w:tblPrEx>
        <w:trPr>
          <w:trHeight w:val="300" w:hRule="atLeast"/>
        </w:trPr>
        <w:tc>
          <w:tcPr>
            <w:tcW w:w="1927" w:type="pct"/>
            <w:gridSpan w:val="3"/>
            <w:tcBorders>
              <w:top w:val="nil"/>
              <w:left w:val="nil"/>
              <w:bottom w:val="single" w:color="000000" w:themeColor="text1" w:sz="8" w:space="0"/>
              <w:right w:val="nil"/>
            </w:tcBorders>
            <w:noWrap/>
            <w:vAlign w:val="bottom"/>
          </w:tcPr>
          <w:p>
            <w:pPr>
              <w:widowControl/>
              <w:jc w:val="lef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 xml:space="preserve">部门：中共石家庄市委金融委员会办公室 </w:t>
            </w:r>
            <w:r>
              <w:rPr>
                <w:rFonts w:hint="eastAsia" w:ascii="宋体" w:hAnsi="宋体" w:eastAsia="宋体"/>
                <w:color w:val="000000"/>
                <w:sz w:val="20"/>
                <w:szCs w:val="20"/>
                <w:lang w:bidi="ar"/>
              </w:rPr>
              <w:t xml:space="preserve">                                                                                     </w:t>
            </w:r>
          </w:p>
        </w:tc>
        <w:tc>
          <w:tcPr>
            <w:tcW w:w="1216" w:type="pct"/>
            <w:gridSpan w:val="3"/>
            <w:tcBorders>
              <w:top w:val="nil"/>
              <w:left w:val="nil"/>
              <w:bottom w:val="single" w:color="000000" w:themeColor="text1" w:sz="8" w:space="0"/>
              <w:right w:val="nil"/>
            </w:tcBorders>
            <w:noWrap/>
            <w:vAlign w:val="bottom"/>
          </w:tcPr>
          <w:p>
            <w:pPr>
              <w:widowControl/>
              <w:jc w:val="center"/>
              <w:textAlignment w:val="bottom"/>
              <w:rPr>
                <w:rFonts w:ascii="宋体" w:hAnsi="宋体" w:eastAsia="宋体"/>
                <w:color w:val="000000"/>
                <w:sz w:val="20"/>
                <w:szCs w:val="20"/>
                <w:lang w:bidi="ar"/>
              </w:rPr>
            </w:pPr>
            <w:r>
              <w:rPr>
                <w:rFonts w:ascii="Times New Roman" w:hAnsi="Times New Roman" w:eastAsia="宋体" w:cs="Times New Roman"/>
                <w:color w:val="000000"/>
                <w:sz w:val="20"/>
                <w:szCs w:val="20"/>
                <w:lang w:bidi="ar"/>
              </w:rPr>
              <w:t>202</w:t>
            </w:r>
            <w:r>
              <w:rPr>
                <w:rFonts w:hint="eastAsia" w:ascii="Times New Roman" w:hAnsi="Times New Roman" w:eastAsia="宋体" w:cs="Times New Roman"/>
                <w:color w:val="000000"/>
                <w:sz w:val="20"/>
                <w:szCs w:val="20"/>
                <w:lang w:bidi="ar"/>
              </w:rPr>
              <w:t>5</w:t>
            </w:r>
            <w:r>
              <w:rPr>
                <w:rFonts w:hint="eastAsia" w:ascii="方正仿宋_GB2312" w:hAnsi="方正仿宋_GB2312" w:eastAsia="方正仿宋_GB2312" w:cs="方正仿宋_GB2312"/>
                <w:color w:val="000000"/>
                <w:sz w:val="20"/>
                <w:szCs w:val="20"/>
                <w:lang w:bidi="ar"/>
              </w:rPr>
              <w:t>年度</w:t>
            </w:r>
          </w:p>
        </w:tc>
        <w:tc>
          <w:tcPr>
            <w:tcW w:w="1856" w:type="pct"/>
            <w:gridSpan w:val="3"/>
            <w:tcBorders>
              <w:top w:val="nil"/>
              <w:left w:val="nil"/>
              <w:bottom w:val="single" w:color="000000" w:themeColor="text1" w:sz="8" w:space="0"/>
              <w:right w:val="nil"/>
            </w:tcBorders>
            <w:noWrap/>
            <w:vAlign w:val="bottom"/>
          </w:tcPr>
          <w:p>
            <w:pPr>
              <w:widowControl/>
              <w:jc w:val="right"/>
              <w:textAlignment w:val="bottom"/>
              <w:rPr>
                <w:rFonts w:ascii="宋体" w:hAnsi="宋体" w:eastAsia="宋体"/>
                <w:color w:val="000000"/>
                <w:sz w:val="20"/>
                <w:szCs w:val="20"/>
                <w:lang w:bidi="ar"/>
              </w:rPr>
            </w:pPr>
            <w:r>
              <w:rPr>
                <w:rFonts w:hint="eastAsia" w:ascii="方正仿宋_GB2312" w:hAnsi="方正仿宋_GB2312" w:eastAsia="方正仿宋_GB2312" w:cs="方正仿宋_GB2312"/>
                <w:color w:val="000000"/>
                <w:sz w:val="20"/>
                <w:szCs w:val="20"/>
                <w:lang w:bidi="ar"/>
              </w:rPr>
              <w:t>金额单位：万元</w:t>
            </w:r>
          </w:p>
        </w:tc>
      </w:tr>
      <w:tr>
        <w:trPr>
          <w:trHeight w:val="308" w:hRule="atLeast"/>
        </w:trPr>
        <w:tc>
          <w:tcPr>
            <w:tcW w:w="130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项目</w:t>
            </w:r>
          </w:p>
        </w:tc>
        <w:tc>
          <w:tcPr>
            <w:tcW w:w="62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年初结转和结余</w:t>
            </w:r>
          </w:p>
        </w:tc>
        <w:tc>
          <w:tcPr>
            <w:tcW w:w="48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本年收入</w:t>
            </w:r>
          </w:p>
        </w:tc>
        <w:tc>
          <w:tcPr>
            <w:tcW w:w="1608"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本年支出</w:t>
            </w:r>
          </w:p>
        </w:tc>
        <w:tc>
          <w:tcPr>
            <w:tcW w:w="97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年末结转和结余</w:t>
            </w:r>
          </w:p>
        </w:tc>
      </w:tr>
      <w:tr>
        <w:tblPrEx>
          <w:tblCellMar>
            <w:top w:w="0" w:type="dxa"/>
            <w:left w:w="108" w:type="dxa"/>
            <w:bottom w:w="0" w:type="dxa"/>
            <w:right w:w="108" w:type="dxa"/>
          </w:tblCellMar>
        </w:tblPrEx>
        <w:trPr>
          <w:trHeight w:val="312" w:hRule="atLeast"/>
        </w:trPr>
        <w:tc>
          <w:tcPr>
            <w:tcW w:w="60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科目代码</w:t>
            </w:r>
          </w:p>
        </w:tc>
        <w:tc>
          <w:tcPr>
            <w:tcW w:w="7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科目名称</w:t>
            </w: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p>
        </w:tc>
        <w:tc>
          <w:tcPr>
            <w:tcW w:w="48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小计</w:t>
            </w:r>
          </w:p>
        </w:tc>
        <w:tc>
          <w:tcPr>
            <w:tcW w:w="533"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基本支出</w:t>
            </w:r>
          </w:p>
        </w:tc>
        <w:tc>
          <w:tcPr>
            <w:tcW w:w="54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项目支出</w:t>
            </w:r>
          </w:p>
        </w:tc>
        <w:tc>
          <w:tcPr>
            <w:tcW w:w="97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合计</w:t>
            </w:r>
          </w:p>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结转</w:t>
            </w:r>
          </w:p>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结余</w:t>
            </w:r>
          </w:p>
        </w:tc>
      </w:tr>
      <w:tr>
        <w:trPr>
          <w:trHeight w:val="312" w:hRule="atLeast"/>
        </w:trPr>
        <w:tc>
          <w:tcPr>
            <w:tcW w:w="60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p>
        </w:tc>
        <w:tc>
          <w:tcPr>
            <w:tcW w:w="48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p>
        </w:tc>
        <w:tc>
          <w:tcPr>
            <w:tcW w:w="533"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p>
        </w:tc>
        <w:tc>
          <w:tcPr>
            <w:tcW w:w="97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p>
        </w:tc>
      </w:tr>
      <w:tr>
        <w:tblPrEx>
          <w:tblCellMar>
            <w:top w:w="0" w:type="dxa"/>
            <w:left w:w="108" w:type="dxa"/>
            <w:bottom w:w="0" w:type="dxa"/>
            <w:right w:w="108" w:type="dxa"/>
          </w:tblCellMar>
        </w:tblPrEx>
        <w:trPr>
          <w:trHeight w:val="312" w:hRule="atLeast"/>
        </w:trPr>
        <w:tc>
          <w:tcPr>
            <w:tcW w:w="60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p>
        </w:tc>
        <w:tc>
          <w:tcPr>
            <w:tcW w:w="48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p>
        </w:tc>
        <w:tc>
          <w:tcPr>
            <w:tcW w:w="533"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p>
        </w:tc>
        <w:tc>
          <w:tcPr>
            <w:tcW w:w="97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p>
        </w:tc>
      </w:tr>
      <w:tr>
        <w:trPr>
          <w:trHeight w:val="308" w:hRule="atLeast"/>
        </w:trPr>
        <w:tc>
          <w:tcPr>
            <w:tcW w:w="130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栏次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sz w:val="20"/>
                <w:szCs w:val="20"/>
                <w:lang w:bidi="ar"/>
              </w:rPr>
              <w:t>1</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sz w:val="20"/>
                <w:szCs w:val="20"/>
                <w:lang w:bidi="ar"/>
              </w:rPr>
              <w:t>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sz w:val="20"/>
                <w:szCs w:val="20"/>
                <w:lang w:bidi="ar"/>
              </w:rPr>
              <w:t>3</w:t>
            </w:r>
          </w:p>
        </w:tc>
        <w:tc>
          <w:tcPr>
            <w:tcW w:w="53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sz w:val="20"/>
                <w:szCs w:val="20"/>
                <w:lang w:bidi="ar"/>
              </w:rPr>
              <w:t>4</w:t>
            </w: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sz w:val="20"/>
                <w:szCs w:val="20"/>
                <w:lang w:bidi="ar"/>
              </w:rPr>
              <w:t>5</w:t>
            </w:r>
          </w:p>
        </w:tc>
        <w:tc>
          <w:tcPr>
            <w:tcW w:w="9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方正仿宋_GB2312" w:cs="Times New Roman"/>
                <w:color w:val="000000"/>
                <w:sz w:val="20"/>
                <w:szCs w:val="20"/>
              </w:rPr>
            </w:pPr>
            <w:r>
              <w:rPr>
                <w:rFonts w:ascii="Times New Roman" w:hAnsi="Times New Roman" w:eastAsia="方正仿宋_GB2312" w:cs="Times New Roman"/>
                <w:color w:val="000000"/>
                <w:sz w:val="20"/>
                <w:szCs w:val="20"/>
              </w:rPr>
              <w:t>6</w:t>
            </w:r>
          </w:p>
        </w:tc>
      </w:tr>
      <w:tr>
        <w:tblPrEx>
          <w:tblCellMar>
            <w:top w:w="0" w:type="dxa"/>
            <w:left w:w="108" w:type="dxa"/>
            <w:bottom w:w="0" w:type="dxa"/>
            <w:right w:w="108" w:type="dxa"/>
          </w:tblCellMar>
        </w:tblPrEx>
        <w:trPr>
          <w:trHeight w:val="869" w:hRule="atLeast"/>
        </w:trPr>
        <w:tc>
          <w:tcPr>
            <w:tcW w:w="130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合计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33"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r>
      <w:tr>
        <w:trPr>
          <w:trHeight w:val="308" w:hRule="atLeast"/>
        </w:trPr>
        <w:tc>
          <w:tcPr>
            <w:tcW w:w="5000" w:type="pct"/>
            <w:gridSpan w:val="9"/>
            <w:tcBorders>
              <w:top w:val="single" w:color="000000" w:themeColor="text1" w:sz="8" w:space="0"/>
              <w:left w:val="nil"/>
              <w:bottom w:val="nil"/>
              <w:right w:val="nil"/>
            </w:tcBorders>
            <w:noWrap/>
            <w:vAlign w:val="center"/>
          </w:tcPr>
          <w:p>
            <w:pP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注：本表反映部门本年度政府性基金预算财政拨款收入、支出及结转和结余情况。（如无相关数据，则需注明空表列示）</w:t>
            </w:r>
            <w:r>
              <w:rPr>
                <w:rFonts w:hint="eastAsia" w:ascii="方正仿宋_GB2312" w:hAnsi="方正仿宋_GB2312" w:eastAsia="方正仿宋_GB2312" w:cs="方正仿宋_GB2312"/>
                <w:color w:val="000000"/>
                <w:sz w:val="20"/>
                <w:szCs w:val="20"/>
                <w:lang w:bidi="ar"/>
              </w:rPr>
              <w:br w:type="page"/>
            </w:r>
          </w:p>
        </w:tc>
      </w:tr>
    </w:tbl>
    <w:p>
      <w:pPr>
        <w:rPr>
          <w:rFonts w:ascii="仿宋_GB2312" w:hAnsi="宋体" w:eastAsia="仿宋_GB2312"/>
          <w:b/>
          <w:sz w:val="32"/>
          <w:szCs w:val="32"/>
        </w:rPr>
      </w:pPr>
    </w:p>
    <w:p>
      <w:pPr>
        <w:rPr>
          <w:rFonts w:ascii="仿宋_GB2312" w:hAnsi="宋体" w:eastAsia="仿宋_GB2312"/>
          <w:b/>
          <w:sz w:val="32"/>
          <w:szCs w:val="32"/>
        </w:rPr>
      </w:pPr>
      <w:r>
        <w:rPr>
          <w:rFonts w:hint="eastAsia" w:ascii="仿宋_GB2312" w:hAnsi="宋体" w:eastAsia="仿宋_GB2312"/>
          <w:b/>
          <w:sz w:val="32"/>
          <w:szCs w:val="32"/>
        </w:rPr>
        <w:br w:type="page"/>
      </w:r>
    </w:p>
    <w:tbl>
      <w:tblPr>
        <w:tblStyle w:val="11"/>
        <w:tblW w:w="5863" w:type="pct"/>
        <w:tblInd w:w="-976" w:type="dxa"/>
        <w:tblLayout w:type="fixed"/>
        <w:tblCellMar>
          <w:top w:w="0" w:type="dxa"/>
          <w:left w:w="108" w:type="dxa"/>
          <w:bottom w:w="0" w:type="dxa"/>
          <w:right w:w="108" w:type="dxa"/>
        </w:tblCellMar>
      </w:tblPr>
      <w:tblGrid>
        <w:gridCol w:w="3456"/>
        <w:gridCol w:w="843"/>
        <w:gridCol w:w="1498"/>
        <w:gridCol w:w="1544"/>
        <w:gridCol w:w="52"/>
        <w:gridCol w:w="1486"/>
        <w:gridCol w:w="7"/>
        <w:gridCol w:w="2004"/>
      </w:tblGrid>
      <w:tr>
        <w:tblPrEx>
          <w:tblCellMar>
            <w:top w:w="0" w:type="dxa"/>
            <w:left w:w="108" w:type="dxa"/>
            <w:bottom w:w="0" w:type="dxa"/>
            <w:right w:w="108" w:type="dxa"/>
          </w:tblCellMar>
        </w:tblPrEx>
        <w:trPr>
          <w:trHeight w:val="550" w:hRule="atLeast"/>
        </w:trPr>
        <w:tc>
          <w:tcPr>
            <w:tcW w:w="5000" w:type="pct"/>
            <w:gridSpan w:val="8"/>
            <w:tcBorders>
              <w:top w:val="nil"/>
              <w:left w:val="nil"/>
              <w:bottom w:val="nil"/>
              <w:right w:val="nil"/>
            </w:tcBorders>
            <w:noWrap/>
            <w:vAlign w:val="bottom"/>
          </w:tcPr>
          <w:p>
            <w:pPr>
              <w:widowControl/>
              <w:jc w:val="center"/>
              <w:textAlignment w:val="bottom"/>
              <w:rPr>
                <w:rFonts w:ascii="宋体" w:hAnsi="宋体" w:eastAsia="宋体"/>
                <w:color w:val="000000"/>
                <w:sz w:val="20"/>
                <w:szCs w:val="20"/>
              </w:rPr>
            </w:pPr>
            <w:r>
              <w:rPr>
                <w:rFonts w:hint="eastAsia" w:ascii="方正仿宋_GB2312" w:hAnsi="方正仿宋_GB2312" w:eastAsia="方正仿宋_GB2312" w:cs="方正仿宋_GB2312"/>
                <w:bCs/>
                <w:sz w:val="32"/>
                <w:szCs w:val="32"/>
              </w:rPr>
              <w:t>国有资本经营预算财政拨款支出决算表</w:t>
            </w:r>
          </w:p>
        </w:tc>
      </w:tr>
      <w:tr>
        <w:tblPrEx>
          <w:tblCellMar>
            <w:top w:w="0" w:type="dxa"/>
            <w:left w:w="108" w:type="dxa"/>
            <w:bottom w:w="0" w:type="dxa"/>
            <w:right w:w="108" w:type="dxa"/>
          </w:tblCellMar>
        </w:tblPrEx>
        <w:trPr>
          <w:trHeight w:val="300" w:hRule="atLeast"/>
        </w:trPr>
        <w:tc>
          <w:tcPr>
            <w:tcW w:w="5000" w:type="pct"/>
            <w:gridSpan w:val="8"/>
            <w:tcBorders>
              <w:top w:val="nil"/>
              <w:left w:val="nil"/>
              <w:bottom w:val="nil"/>
              <w:right w:val="nil"/>
            </w:tcBorders>
            <w:noWrap/>
            <w:vAlign w:val="bottom"/>
          </w:tcPr>
          <w:p>
            <w:pPr>
              <w:widowControl/>
              <w:jc w:val="right"/>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公开</w:t>
            </w:r>
            <w:r>
              <w:rPr>
                <w:rFonts w:ascii="Times New Roman" w:hAnsi="Times New Roman" w:eastAsia="方正仿宋_GB2312" w:cs="Times New Roman"/>
                <w:color w:val="000000"/>
                <w:sz w:val="20"/>
                <w:szCs w:val="20"/>
                <w:lang w:bidi="ar"/>
              </w:rPr>
              <w:t>08</w:t>
            </w:r>
            <w:r>
              <w:rPr>
                <w:rFonts w:hint="eastAsia" w:ascii="方正仿宋_GB2312" w:hAnsi="方正仿宋_GB2312" w:eastAsia="方正仿宋_GB2312" w:cs="方正仿宋_GB2312"/>
                <w:color w:val="000000"/>
                <w:sz w:val="20"/>
                <w:szCs w:val="20"/>
                <w:lang w:bidi="ar"/>
              </w:rPr>
              <w:t>表</w:t>
            </w:r>
          </w:p>
        </w:tc>
      </w:tr>
      <w:tr>
        <w:tblPrEx>
          <w:tblCellMar>
            <w:top w:w="0" w:type="dxa"/>
            <w:left w:w="108" w:type="dxa"/>
            <w:bottom w:w="0" w:type="dxa"/>
            <w:right w:w="108" w:type="dxa"/>
          </w:tblCellMar>
        </w:tblPrEx>
        <w:trPr>
          <w:trHeight w:val="300" w:hRule="atLeast"/>
        </w:trPr>
        <w:tc>
          <w:tcPr>
            <w:tcW w:w="1974" w:type="pct"/>
            <w:gridSpan w:val="2"/>
            <w:tcBorders>
              <w:top w:val="nil"/>
              <w:left w:val="nil"/>
              <w:bottom w:val="single" w:color="000000" w:themeColor="text1" w:sz="8" w:space="0"/>
              <w:right w:val="nil"/>
            </w:tcBorders>
            <w:noWrap/>
            <w:vAlign w:val="bottom"/>
          </w:tcPr>
          <w:p>
            <w:pPr>
              <w:widowControl/>
              <w:textAlignment w:val="bottom"/>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部门：中共石家庄市委金融委员会办公室</w:t>
            </w:r>
          </w:p>
        </w:tc>
        <w:tc>
          <w:tcPr>
            <w:tcW w:w="1421" w:type="pct"/>
            <w:gridSpan w:val="3"/>
            <w:tcBorders>
              <w:top w:val="nil"/>
              <w:left w:val="nil"/>
              <w:bottom w:val="single" w:color="000000" w:themeColor="text1" w:sz="8" w:space="0"/>
              <w:right w:val="nil"/>
            </w:tcBorders>
            <w:noWrap/>
            <w:vAlign w:val="bottom"/>
          </w:tcPr>
          <w:p>
            <w:pPr>
              <w:widowControl/>
              <w:jc w:val="center"/>
              <w:textAlignment w:val="bottom"/>
              <w:rPr>
                <w:rFonts w:ascii="宋体" w:hAnsi="宋体" w:eastAsia="宋体"/>
                <w:color w:val="000000"/>
                <w:sz w:val="20"/>
                <w:szCs w:val="20"/>
                <w:lang w:bidi="ar"/>
              </w:rPr>
            </w:pPr>
            <w:r>
              <w:rPr>
                <w:rFonts w:ascii="Times New Roman" w:hAnsi="Times New Roman" w:eastAsia="宋体" w:cs="Times New Roman"/>
                <w:color w:val="000000"/>
                <w:sz w:val="20"/>
                <w:szCs w:val="20"/>
                <w:lang w:bidi="ar"/>
              </w:rPr>
              <w:t>202</w:t>
            </w:r>
            <w:r>
              <w:rPr>
                <w:rFonts w:hint="eastAsia" w:ascii="Times New Roman" w:hAnsi="Times New Roman" w:eastAsia="宋体" w:cs="Times New Roman"/>
                <w:color w:val="000000"/>
                <w:sz w:val="20"/>
                <w:szCs w:val="20"/>
                <w:lang w:bidi="ar"/>
              </w:rPr>
              <w:t>5</w:t>
            </w:r>
            <w:r>
              <w:rPr>
                <w:rFonts w:hint="eastAsia" w:ascii="方正仿宋_GB2312" w:hAnsi="方正仿宋_GB2312" w:eastAsia="方正仿宋_GB2312" w:cs="方正仿宋_GB2312"/>
                <w:color w:val="000000"/>
                <w:sz w:val="20"/>
                <w:szCs w:val="20"/>
                <w:lang w:bidi="ar"/>
              </w:rPr>
              <w:t>年度</w:t>
            </w:r>
          </w:p>
        </w:tc>
        <w:tc>
          <w:tcPr>
            <w:tcW w:w="1603" w:type="pct"/>
            <w:gridSpan w:val="3"/>
            <w:tcBorders>
              <w:top w:val="nil"/>
              <w:left w:val="nil"/>
              <w:bottom w:val="single" w:color="000000" w:themeColor="text1" w:sz="8" w:space="0"/>
              <w:right w:val="nil"/>
            </w:tcBorders>
            <w:noWrap/>
            <w:vAlign w:val="bottom"/>
          </w:tcPr>
          <w:p>
            <w:pPr>
              <w:widowControl/>
              <w:jc w:val="right"/>
              <w:textAlignment w:val="bottom"/>
              <w:rPr>
                <w:rFonts w:ascii="宋体" w:hAnsi="宋体" w:eastAsia="宋体"/>
                <w:color w:val="000000"/>
                <w:sz w:val="20"/>
                <w:szCs w:val="20"/>
                <w:lang w:bidi="ar"/>
              </w:rPr>
            </w:pPr>
            <w:r>
              <w:rPr>
                <w:rFonts w:hint="eastAsia" w:ascii="方正仿宋_GB2312" w:hAnsi="方正仿宋_GB2312" w:eastAsia="方正仿宋_GB2312" w:cs="方正仿宋_GB2312"/>
                <w:color w:val="000000"/>
                <w:sz w:val="20"/>
                <w:szCs w:val="20"/>
                <w:lang w:bidi="ar"/>
              </w:rPr>
              <w:t>金额单位：万元</w:t>
            </w:r>
          </w:p>
        </w:tc>
      </w:tr>
      <w:tr>
        <w:trPr>
          <w:trHeight w:val="312" w:hRule="atLeast"/>
        </w:trPr>
        <w:tc>
          <w:tcPr>
            <w:tcW w:w="2662"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lang w:bidi="ar"/>
              </w:rPr>
              <w:t xml:space="preserve"> 项目</w:t>
            </w:r>
          </w:p>
        </w:tc>
        <w:tc>
          <w:tcPr>
            <w:tcW w:w="2337" w:type="pct"/>
            <w:gridSpan w:val="5"/>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本年支出</w:t>
            </w:r>
          </w:p>
        </w:tc>
      </w:tr>
      <w:tr>
        <w:tblPrEx>
          <w:tblCellMar>
            <w:top w:w="0" w:type="dxa"/>
            <w:left w:w="108" w:type="dxa"/>
            <w:bottom w:w="0" w:type="dxa"/>
            <w:right w:w="108" w:type="dxa"/>
          </w:tblCellMar>
        </w:tblPrEx>
        <w:trPr>
          <w:trHeight w:val="312" w:hRule="atLeast"/>
        </w:trPr>
        <w:tc>
          <w:tcPr>
            <w:tcW w:w="2662"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p>
        </w:tc>
        <w:tc>
          <w:tcPr>
            <w:tcW w:w="2337" w:type="pct"/>
            <w:gridSpan w:val="5"/>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widowControl/>
              <w:jc w:val="center"/>
              <w:textAlignment w:val="center"/>
              <w:rPr>
                <w:rFonts w:ascii="方正仿宋_GB2312" w:hAnsi="方正仿宋_GB2312" w:eastAsia="方正仿宋_GB2312" w:cs="方正仿宋_GB2312"/>
                <w:color w:val="000000"/>
                <w:sz w:val="20"/>
                <w:szCs w:val="20"/>
              </w:rPr>
            </w:pPr>
          </w:p>
        </w:tc>
      </w:tr>
      <w:tr>
        <w:tblPrEx>
          <w:tblCellMar>
            <w:top w:w="0" w:type="dxa"/>
            <w:left w:w="108" w:type="dxa"/>
            <w:bottom w:w="0" w:type="dxa"/>
            <w:right w:w="108" w:type="dxa"/>
          </w:tblCellMar>
        </w:tblPrEx>
        <w:trPr>
          <w:trHeight w:val="312" w:hRule="atLeast"/>
        </w:trPr>
        <w:tc>
          <w:tcPr>
            <w:tcW w:w="158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科目代码</w:t>
            </w:r>
          </w:p>
        </w:tc>
        <w:tc>
          <w:tcPr>
            <w:tcW w:w="107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科目名称</w:t>
            </w:r>
          </w:p>
        </w:tc>
        <w:tc>
          <w:tcPr>
            <w:tcW w:w="70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合计</w:t>
            </w:r>
          </w:p>
        </w:tc>
        <w:tc>
          <w:tcPr>
            <w:tcW w:w="709"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基本支出</w:t>
            </w:r>
          </w:p>
        </w:tc>
        <w:tc>
          <w:tcPr>
            <w:tcW w:w="919" w:type="pct"/>
            <w:vMerge w:val="restart"/>
            <w:tcBorders>
              <w:top w:val="single" w:color="000000" w:themeColor="text1" w:sz="8" w:space="0"/>
              <w:left w:val="single" w:color="000000" w:themeColor="text1" w:sz="8" w:space="0"/>
              <w:bottom w:val="single" w:color="000000" w:themeColor="text1" w:sz="8" w:space="0"/>
              <w:right w:val="single" w:color="000000" w:sz="4" w:space="0"/>
            </w:tcBorders>
            <w:vAlign w:val="center"/>
          </w:tcPr>
          <w:p>
            <w:pPr>
              <w:jc w:val="center"/>
              <w:rPr>
                <w:rFonts w:ascii="方正仿宋_GB2312" w:hAnsi="方正仿宋_GB2312" w:eastAsia="方正仿宋_GB2312" w:cs="方正仿宋_GB2312"/>
                <w:color w:val="000000"/>
                <w:sz w:val="20"/>
                <w:szCs w:val="20"/>
              </w:rPr>
            </w:pPr>
            <w:r>
              <w:rPr>
                <w:rFonts w:hint="eastAsia" w:ascii="方正仿宋_GB2312" w:hAnsi="方正仿宋_GB2312" w:eastAsia="方正仿宋_GB2312" w:cs="方正仿宋_GB2312"/>
                <w:color w:val="000000"/>
                <w:sz w:val="20"/>
                <w:szCs w:val="20"/>
              </w:rPr>
              <w:t>项目支出</w:t>
            </w:r>
          </w:p>
        </w:tc>
      </w:tr>
      <w:tr>
        <w:tblPrEx>
          <w:tblCellMar>
            <w:top w:w="0" w:type="dxa"/>
            <w:left w:w="108" w:type="dxa"/>
            <w:bottom w:w="0" w:type="dxa"/>
            <w:right w:w="108" w:type="dxa"/>
          </w:tblCellMar>
        </w:tblPrEx>
        <w:trPr>
          <w:trHeight w:val="312" w:hRule="atLeast"/>
        </w:trPr>
        <w:tc>
          <w:tcPr>
            <w:tcW w:w="158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p>
        </w:tc>
        <w:tc>
          <w:tcPr>
            <w:tcW w:w="107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p>
        </w:tc>
        <w:tc>
          <w:tcPr>
            <w:tcW w:w="70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p>
        </w:tc>
        <w:tc>
          <w:tcPr>
            <w:tcW w:w="709"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vAlign w:val="center"/>
          </w:tcPr>
          <w:p>
            <w:pPr>
              <w:jc w:val="center"/>
              <w:rPr>
                <w:rFonts w:ascii="方正仿宋_GB2312" w:hAnsi="方正仿宋_GB2312" w:eastAsia="方正仿宋_GB2312" w:cs="方正仿宋_GB2312"/>
                <w:color w:val="000000"/>
                <w:sz w:val="20"/>
                <w:szCs w:val="20"/>
              </w:rPr>
            </w:pPr>
          </w:p>
        </w:tc>
        <w:tc>
          <w:tcPr>
            <w:tcW w:w="919" w:type="pct"/>
            <w:vMerge w:val="continue"/>
            <w:tcBorders>
              <w:top w:val="single" w:color="000000" w:themeColor="text1" w:sz="8" w:space="0"/>
              <w:left w:val="single" w:color="000000" w:themeColor="text1" w:sz="8" w:space="0"/>
              <w:bottom w:val="single" w:color="000000" w:themeColor="text1" w:sz="8" w:space="0"/>
              <w:right w:val="single" w:color="000000" w:sz="4" w:space="0"/>
            </w:tcBorders>
            <w:vAlign w:val="center"/>
          </w:tcPr>
          <w:p>
            <w:pPr>
              <w:jc w:val="center"/>
              <w:rPr>
                <w:rFonts w:ascii="方正仿宋_GB2312" w:hAnsi="方正仿宋_GB2312" w:eastAsia="方正仿宋_GB2312" w:cs="方正仿宋_GB2312"/>
                <w:color w:val="000000"/>
                <w:sz w:val="20"/>
                <w:szCs w:val="20"/>
              </w:rPr>
            </w:pPr>
          </w:p>
        </w:tc>
      </w:tr>
      <w:tr>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方正仿宋_GB2312" w:cs="Times New Roman"/>
                <w:color w:val="000000"/>
                <w:sz w:val="20"/>
                <w:szCs w:val="20"/>
              </w:rPr>
            </w:pPr>
            <w:r>
              <w:rPr>
                <w:rFonts w:hint="eastAsia" w:ascii="Times New Roman" w:hAnsi="Times New Roman" w:eastAsia="方正仿宋_GB2312" w:cs="Times New Roman"/>
                <w:color w:val="000000"/>
                <w:sz w:val="20"/>
                <w:szCs w:val="20"/>
              </w:rPr>
              <w:t>栏次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方正仿宋_GB2312" w:cs="Times New Roman"/>
                <w:color w:val="000000"/>
                <w:sz w:val="20"/>
                <w:szCs w:val="20"/>
              </w:rPr>
            </w:pPr>
            <w:r>
              <w:rPr>
                <w:rFonts w:hint="eastAsia" w:ascii="Times New Roman" w:hAnsi="Times New Roman" w:eastAsia="方正仿宋_GB2312" w:cs="Times New Roman"/>
                <w:color w:val="000000"/>
                <w:sz w:val="20"/>
                <w:szCs w:val="20"/>
              </w:rPr>
              <w:t>1</w:t>
            </w:r>
          </w:p>
        </w:tc>
        <w:tc>
          <w:tcPr>
            <w:tcW w:w="70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方正仿宋_GB2312" w:cs="Times New Roman"/>
                <w:color w:val="000000"/>
                <w:sz w:val="20"/>
                <w:szCs w:val="20"/>
              </w:rPr>
            </w:pPr>
            <w:r>
              <w:rPr>
                <w:rFonts w:hint="eastAsia" w:ascii="Times New Roman" w:hAnsi="Times New Roman" w:eastAsia="方正仿宋_GB2312" w:cs="Times New Roman"/>
                <w:color w:val="000000"/>
                <w:sz w:val="20"/>
                <w:szCs w:val="20"/>
              </w:rPr>
              <w:t>2</w:t>
            </w: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pPr>
              <w:widowControl/>
              <w:jc w:val="center"/>
              <w:textAlignment w:val="center"/>
              <w:rPr>
                <w:rFonts w:ascii="Times New Roman" w:hAnsi="Times New Roman" w:eastAsia="方正仿宋_GB2312" w:cs="Times New Roman"/>
                <w:color w:val="000000"/>
                <w:sz w:val="20"/>
                <w:szCs w:val="20"/>
              </w:rPr>
            </w:pPr>
            <w:r>
              <w:rPr>
                <w:rFonts w:hint="eastAsia" w:ascii="Times New Roman" w:hAnsi="Times New Roman" w:eastAsia="方正仿宋_GB2312" w:cs="Times New Roman"/>
                <w:color w:val="000000"/>
                <w:sz w:val="20"/>
                <w:szCs w:val="20"/>
              </w:rPr>
              <w:t>3</w:t>
            </w:r>
          </w:p>
        </w:tc>
      </w:tr>
      <w:tr>
        <w:tblPrEx>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Times New Roman" w:hAnsi="Times New Roman" w:eastAsia="宋体" w:cs="Times New Roman"/>
                <w:color w:val="000000"/>
                <w:sz w:val="20"/>
                <w:szCs w:val="20"/>
              </w:rPr>
            </w:pPr>
            <w:r>
              <w:rPr>
                <w:rFonts w:hint="eastAsia" w:ascii="Times New Roman" w:hAnsi="Times New Roman" w:eastAsia="方正仿宋_GB2312" w:cs="Times New Roman"/>
                <w:color w:val="000000"/>
                <w:sz w:val="20"/>
                <w:szCs w:val="20"/>
              </w:rPr>
              <w:t>合计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70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宋体" w:cs="Times New Roman"/>
                <w:color w:val="000000"/>
                <w:sz w:val="20"/>
                <w:szCs w:val="20"/>
              </w:rPr>
            </w:pP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pPr>
              <w:jc w:val="right"/>
              <w:rPr>
                <w:rFonts w:ascii="Times New Roman" w:hAnsi="Times New Roman" w:eastAsia="宋体" w:cs="Times New Roman"/>
                <w:color w:val="000000"/>
                <w:sz w:val="20"/>
                <w:szCs w:val="20"/>
              </w:rPr>
            </w:pPr>
          </w:p>
        </w:tc>
      </w:tr>
      <w:tr>
        <w:tblPrEx>
          <w:tblCellMar>
            <w:top w:w="0" w:type="dxa"/>
            <w:left w:w="108" w:type="dxa"/>
            <w:bottom w:w="0" w:type="dxa"/>
            <w:right w:w="108" w:type="dxa"/>
          </w:tblCellMar>
        </w:tblPrEx>
        <w:trPr>
          <w:trHeight w:val="308" w:hRule="atLeast"/>
        </w:trPr>
        <w:tc>
          <w:tcPr>
            <w:tcW w:w="5000" w:type="pct"/>
            <w:gridSpan w:val="8"/>
            <w:tcBorders>
              <w:top w:val="single" w:color="000000" w:themeColor="text1" w:sz="8" w:space="0"/>
              <w:left w:val="nil"/>
              <w:bottom w:val="nil"/>
              <w:right w:val="nil"/>
            </w:tcBorders>
            <w:noWrap/>
            <w:vAlign w:val="center"/>
          </w:tcPr>
          <w:p>
            <w:pPr>
              <w:widowControl/>
              <w:jc w:val="left"/>
              <w:textAlignment w:val="center"/>
              <w:rPr>
                <w:rFonts w:ascii="宋体" w:hAnsi="宋体" w:eastAsia="宋体"/>
                <w:color w:val="000000"/>
                <w:sz w:val="20"/>
                <w:szCs w:val="20"/>
              </w:rPr>
            </w:pPr>
            <w:r>
              <w:rPr>
                <w:rFonts w:hint="eastAsia" w:ascii="方正仿宋_GB2312" w:hAnsi="方正仿宋_GB2312" w:eastAsia="方正仿宋_GB2312" w:cs="方正仿宋_GB2312"/>
                <w:color w:val="000000"/>
                <w:sz w:val="20"/>
                <w:szCs w:val="20"/>
                <w:lang w:bidi="ar"/>
              </w:rPr>
              <w:t>注：本表反映部门本年度国有资本经营预算财政拨款支出情况。（如无相关数据，则需注明空表列示）</w:t>
            </w:r>
          </w:p>
        </w:tc>
      </w:tr>
    </w:tbl>
    <w:p>
      <w:pPr>
        <w:rPr>
          <w:rFonts w:ascii="仿宋_GB2312" w:hAnsi="宋体" w:eastAsia="仿宋_GB2312"/>
          <w:b/>
          <w:sz w:val="32"/>
          <w:szCs w:val="32"/>
        </w:rPr>
      </w:pPr>
    </w:p>
    <w:p>
      <w:pPr>
        <w:rPr>
          <w:rFonts w:ascii="仿宋_GB2312" w:hAnsi="宋体" w:eastAsia="仿宋_GB2312"/>
          <w:b/>
          <w:sz w:val="32"/>
          <w:szCs w:val="32"/>
        </w:rPr>
      </w:pPr>
      <w:r>
        <w:rPr>
          <w:rFonts w:hint="eastAsia" w:ascii="仿宋_GB2312" w:hAnsi="宋体" w:eastAsia="仿宋_GB2312"/>
          <w:b/>
          <w:sz w:val="32"/>
          <w:szCs w:val="32"/>
        </w:rPr>
        <w:br w:type="page"/>
      </w:r>
    </w:p>
    <w:tbl>
      <w:tblPr>
        <w:tblStyle w:val="11"/>
        <w:tblpPr w:leftFromText="180" w:rightFromText="180" w:vertAnchor="text" w:horzAnchor="page" w:tblpXSpec="center" w:tblpY="39"/>
        <w:tblOverlap w:val="never"/>
        <w:tblW w:w="5000" w:type="pct"/>
        <w:jc w:val="center"/>
        <w:tblLayout w:type="autofit"/>
        <w:tblCellMar>
          <w:top w:w="0" w:type="dxa"/>
          <w:left w:w="108" w:type="dxa"/>
          <w:bottom w:w="0" w:type="dxa"/>
          <w:right w:w="108" w:type="dxa"/>
        </w:tblCellMar>
      </w:tblPr>
      <w:tblGrid>
        <w:gridCol w:w="751"/>
        <w:gridCol w:w="906"/>
        <w:gridCol w:w="640"/>
        <w:gridCol w:w="776"/>
        <w:gridCol w:w="464"/>
        <w:gridCol w:w="472"/>
        <w:gridCol w:w="622"/>
        <w:gridCol w:w="668"/>
        <w:gridCol w:w="856"/>
        <w:gridCol w:w="530"/>
        <w:gridCol w:w="777"/>
        <w:gridCol w:w="936"/>
        <w:gridCol w:w="890"/>
      </w:tblGrid>
      <w:tr>
        <w:tblPrEx>
          <w:tblCellMar>
            <w:top w:w="0" w:type="dxa"/>
            <w:left w:w="108" w:type="dxa"/>
            <w:bottom w:w="0" w:type="dxa"/>
            <w:right w:w="108" w:type="dxa"/>
          </w:tblCellMar>
        </w:tblPrEx>
        <w:trPr>
          <w:trHeight w:val="550" w:hRule="atLeast"/>
          <w:jc w:val="center"/>
        </w:trPr>
        <w:tc>
          <w:tcPr>
            <w:tcW w:w="5000" w:type="pct"/>
            <w:gridSpan w:val="13"/>
            <w:tcBorders>
              <w:top w:val="nil"/>
              <w:left w:val="nil"/>
              <w:bottom w:val="nil"/>
              <w:right w:val="nil"/>
            </w:tcBorders>
            <w:noWrap/>
            <w:vAlign w:val="bottom"/>
          </w:tcPr>
          <w:p>
            <w:pPr>
              <w:widowControl/>
              <w:jc w:val="center"/>
              <w:textAlignment w:val="bottom"/>
              <w:rPr>
                <w:rFonts w:ascii="宋体" w:hAnsi="宋体" w:eastAsia="宋体"/>
                <w:color w:val="000000"/>
                <w:sz w:val="18"/>
                <w:szCs w:val="18"/>
              </w:rPr>
            </w:pPr>
            <w:r>
              <w:rPr>
                <w:rFonts w:hint="eastAsia" w:ascii="方正仿宋_GB2312" w:hAnsi="方正仿宋_GB2312" w:eastAsia="方正仿宋_GB2312" w:cs="方正仿宋_GB2312"/>
                <w:bCs/>
                <w:sz w:val="32"/>
                <w:szCs w:val="32"/>
              </w:rPr>
              <w:t>财政拨款“三公”经费支出决算表</w:t>
            </w:r>
          </w:p>
        </w:tc>
      </w:tr>
      <w:tr>
        <w:tblPrEx>
          <w:tblCellMar>
            <w:top w:w="0" w:type="dxa"/>
            <w:left w:w="108" w:type="dxa"/>
            <w:bottom w:w="0" w:type="dxa"/>
            <w:right w:w="108" w:type="dxa"/>
          </w:tblCellMar>
        </w:tblPrEx>
        <w:trPr>
          <w:trHeight w:val="260" w:hRule="atLeast"/>
          <w:jc w:val="center"/>
        </w:trPr>
        <w:tc>
          <w:tcPr>
            <w:tcW w:w="5000" w:type="pct"/>
            <w:gridSpan w:val="13"/>
            <w:tcBorders>
              <w:top w:val="nil"/>
              <w:left w:val="nil"/>
              <w:bottom w:val="nil"/>
              <w:right w:val="nil"/>
            </w:tcBorders>
            <w:noWrap/>
            <w:vAlign w:val="bottom"/>
          </w:tcPr>
          <w:p>
            <w:pPr>
              <w:widowControl/>
              <w:jc w:val="right"/>
              <w:textAlignment w:val="bottom"/>
              <w:rPr>
                <w:rFonts w:ascii="宋体" w:hAnsi="宋体" w:eastAsia="宋体"/>
                <w:color w:val="000000"/>
                <w:sz w:val="18"/>
                <w:szCs w:val="18"/>
              </w:rPr>
            </w:pPr>
            <w:r>
              <w:rPr>
                <w:rFonts w:hint="eastAsia" w:ascii="方正仿宋_GB2312" w:hAnsi="方正仿宋_GB2312" w:eastAsia="方正仿宋_GB2312" w:cs="方正仿宋_GB2312"/>
                <w:color w:val="000000"/>
                <w:sz w:val="18"/>
                <w:szCs w:val="18"/>
                <w:lang w:bidi="ar"/>
              </w:rPr>
              <w:t>公开</w:t>
            </w:r>
            <w:r>
              <w:rPr>
                <w:rFonts w:ascii="Times New Roman" w:hAnsi="Times New Roman" w:eastAsia="方正仿宋_GB2312" w:cs="Times New Roman"/>
                <w:color w:val="000000"/>
                <w:sz w:val="18"/>
                <w:szCs w:val="18"/>
                <w:lang w:bidi="ar"/>
              </w:rPr>
              <w:t>09</w:t>
            </w:r>
            <w:r>
              <w:rPr>
                <w:rFonts w:hint="eastAsia" w:ascii="方正仿宋_GB2312" w:hAnsi="方正仿宋_GB2312" w:eastAsia="方正仿宋_GB2312" w:cs="方正仿宋_GB2312"/>
                <w:color w:val="000000"/>
                <w:sz w:val="18"/>
                <w:szCs w:val="18"/>
                <w:lang w:bidi="ar"/>
              </w:rPr>
              <w:t>表</w:t>
            </w:r>
          </w:p>
        </w:tc>
      </w:tr>
      <w:tr>
        <w:tblPrEx>
          <w:tblCellMar>
            <w:top w:w="0" w:type="dxa"/>
            <w:left w:w="108" w:type="dxa"/>
            <w:bottom w:w="0" w:type="dxa"/>
            <w:right w:w="108" w:type="dxa"/>
          </w:tblCellMar>
        </w:tblPrEx>
        <w:trPr>
          <w:trHeight w:val="260" w:hRule="atLeast"/>
          <w:jc w:val="center"/>
        </w:trPr>
        <w:tc>
          <w:tcPr>
            <w:tcW w:w="1935" w:type="pct"/>
            <w:gridSpan w:val="5"/>
            <w:tcBorders>
              <w:top w:val="nil"/>
              <w:left w:val="nil"/>
              <w:bottom w:val="single" w:color="000000" w:themeColor="text1" w:sz="8" w:space="0"/>
              <w:right w:val="nil"/>
            </w:tcBorders>
            <w:noWrap/>
            <w:vAlign w:val="bottom"/>
          </w:tcPr>
          <w:p>
            <w:pPr>
              <w:widowControl/>
              <w:jc w:val="left"/>
              <w:textAlignment w:val="bottom"/>
              <w:rPr>
                <w:rFonts w:ascii="宋体" w:hAnsi="宋体" w:eastAsia="宋体"/>
                <w:color w:val="000000"/>
                <w:sz w:val="18"/>
                <w:szCs w:val="18"/>
              </w:rPr>
            </w:pPr>
            <w:r>
              <w:rPr>
                <w:rFonts w:hint="eastAsia" w:ascii="方正仿宋_GB2312" w:hAnsi="方正仿宋_GB2312" w:eastAsia="方正仿宋_GB2312" w:cs="方正仿宋_GB2312"/>
                <w:color w:val="000000"/>
                <w:sz w:val="18"/>
                <w:szCs w:val="18"/>
                <w:lang w:bidi="ar"/>
              </w:rPr>
              <w:t>部门：中共石家庄市委金融委员会办公室</w:t>
            </w:r>
          </w:p>
        </w:tc>
        <w:tc>
          <w:tcPr>
            <w:tcW w:w="936" w:type="pct"/>
            <w:gridSpan w:val="3"/>
            <w:tcBorders>
              <w:top w:val="nil"/>
              <w:left w:val="nil"/>
              <w:bottom w:val="single" w:color="000000" w:themeColor="text1" w:sz="8" w:space="0"/>
              <w:right w:val="nil"/>
            </w:tcBorders>
            <w:noWrap/>
            <w:vAlign w:val="bottom"/>
          </w:tcPr>
          <w:p>
            <w:pPr>
              <w:widowControl/>
              <w:jc w:val="center"/>
              <w:textAlignment w:val="bottom"/>
              <w:rPr>
                <w:rFonts w:ascii="宋体" w:hAnsi="宋体" w:eastAsia="宋体"/>
                <w:color w:val="000000"/>
                <w:sz w:val="18"/>
                <w:szCs w:val="18"/>
                <w:lang w:bidi="ar"/>
              </w:rPr>
            </w:pPr>
            <w:r>
              <w:rPr>
                <w:rFonts w:ascii="Times New Roman" w:hAnsi="Times New Roman" w:eastAsia="宋体" w:cs="Times New Roman"/>
                <w:color w:val="000000"/>
                <w:sz w:val="18"/>
                <w:szCs w:val="18"/>
                <w:lang w:bidi="ar"/>
              </w:rPr>
              <w:t>202</w:t>
            </w:r>
            <w:r>
              <w:rPr>
                <w:rFonts w:hint="eastAsia" w:ascii="Times New Roman" w:hAnsi="Times New Roman" w:eastAsia="宋体" w:cs="Times New Roman"/>
                <w:color w:val="000000"/>
                <w:sz w:val="18"/>
                <w:szCs w:val="18"/>
                <w:lang w:bidi="ar"/>
              </w:rPr>
              <w:t>5</w:t>
            </w:r>
            <w:r>
              <w:rPr>
                <w:rFonts w:hint="eastAsia" w:ascii="方正仿宋_GB2312" w:hAnsi="方正仿宋_GB2312" w:eastAsia="方正仿宋_GB2312" w:cs="方正仿宋_GB2312"/>
                <w:color w:val="000000"/>
                <w:sz w:val="18"/>
                <w:szCs w:val="18"/>
                <w:lang w:bidi="ar"/>
              </w:rPr>
              <w:t>年度</w:t>
            </w:r>
          </w:p>
        </w:tc>
        <w:tc>
          <w:tcPr>
            <w:tcW w:w="2128" w:type="pct"/>
            <w:gridSpan w:val="5"/>
            <w:tcBorders>
              <w:top w:val="nil"/>
              <w:left w:val="nil"/>
              <w:bottom w:val="single" w:color="000000" w:themeColor="text1" w:sz="8" w:space="0"/>
              <w:right w:val="nil"/>
            </w:tcBorders>
            <w:noWrap/>
            <w:vAlign w:val="bottom"/>
          </w:tcPr>
          <w:p>
            <w:pPr>
              <w:widowControl/>
              <w:jc w:val="right"/>
              <w:textAlignment w:val="bottom"/>
              <w:rPr>
                <w:rFonts w:ascii="宋体" w:hAnsi="宋体" w:eastAsia="宋体"/>
                <w:color w:val="000000"/>
                <w:sz w:val="18"/>
                <w:szCs w:val="18"/>
                <w:lang w:bidi="ar"/>
              </w:rPr>
            </w:pPr>
            <w:r>
              <w:rPr>
                <w:rFonts w:hint="eastAsia" w:ascii="方正仿宋_GB2312" w:hAnsi="方正仿宋_GB2312" w:eastAsia="方正仿宋_GB2312" w:cs="方正仿宋_GB2312"/>
                <w:color w:val="000000"/>
                <w:sz w:val="18"/>
                <w:szCs w:val="18"/>
                <w:lang w:bidi="ar"/>
              </w:rPr>
              <w:t>金额单位：万元</w:t>
            </w:r>
          </w:p>
        </w:tc>
      </w:tr>
      <w:tr>
        <w:tblPrEx>
          <w:tblCellMar>
            <w:top w:w="0" w:type="dxa"/>
            <w:left w:w="108" w:type="dxa"/>
            <w:bottom w:w="0" w:type="dxa"/>
            <w:right w:w="108" w:type="dxa"/>
          </w:tblCellMar>
        </w:tblPrEx>
        <w:trPr>
          <w:trHeight w:val="431" w:hRule="atLeast"/>
          <w:jc w:val="center"/>
        </w:trPr>
        <w:tc>
          <w:tcPr>
            <w:tcW w:w="2505"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预算数</w:t>
            </w:r>
          </w:p>
        </w:tc>
        <w:tc>
          <w:tcPr>
            <w:tcW w:w="2494" w:type="pct"/>
            <w:gridSpan w:val="6"/>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决算数</w:t>
            </w:r>
          </w:p>
        </w:tc>
      </w:tr>
      <w:tr>
        <w:tblPrEx>
          <w:tblCellMar>
            <w:top w:w="0" w:type="dxa"/>
            <w:left w:w="108" w:type="dxa"/>
            <w:bottom w:w="0" w:type="dxa"/>
            <w:right w:w="108" w:type="dxa"/>
          </w:tblCellMar>
        </w:tblPrEx>
        <w:trPr>
          <w:trHeight w:val="431" w:hRule="atLeast"/>
          <w:jc w:val="center"/>
        </w:trPr>
        <w:tc>
          <w:tcPr>
            <w:tcW w:w="424"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合计</w:t>
            </w:r>
          </w:p>
        </w:tc>
        <w:tc>
          <w:tcPr>
            <w:tcW w:w="52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因公出国（境）费</w:t>
            </w:r>
          </w:p>
        </w:tc>
        <w:tc>
          <w:tcPr>
            <w:tcW w:w="1217"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公务用车购置及运行维护费</w:t>
            </w:r>
          </w:p>
        </w:tc>
        <w:tc>
          <w:tcPr>
            <w:tcW w:w="3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公务接待费</w:t>
            </w:r>
          </w:p>
        </w:tc>
        <w:tc>
          <w:tcPr>
            <w:tcW w:w="3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合计</w:t>
            </w:r>
          </w:p>
        </w:tc>
        <w:tc>
          <w:tcPr>
            <w:tcW w:w="48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因公出国（境）费</w:t>
            </w:r>
          </w:p>
        </w:tc>
        <w:tc>
          <w:tcPr>
            <w:tcW w:w="1125"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公务用车购置及运行维护费</w:t>
            </w:r>
          </w:p>
        </w:tc>
        <w:tc>
          <w:tcPr>
            <w:tcW w:w="51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公务接待费</w:t>
            </w:r>
          </w:p>
        </w:tc>
      </w:tr>
      <w:tr>
        <w:tblPrEx>
          <w:tblCellMar>
            <w:top w:w="0" w:type="dxa"/>
            <w:left w:w="108" w:type="dxa"/>
            <w:bottom w:w="0" w:type="dxa"/>
            <w:right w:w="108" w:type="dxa"/>
          </w:tblCellMar>
        </w:tblPrEx>
        <w:trPr>
          <w:trHeight w:val="431" w:hRule="atLeast"/>
          <w:jc w:val="center"/>
        </w:trPr>
        <w:tc>
          <w:tcPr>
            <w:tcW w:w="424"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方正仿宋_GB2312" w:hAnsi="方正仿宋_GB2312" w:eastAsia="方正仿宋_GB2312" w:cs="方正仿宋_GB2312"/>
                <w:color w:val="000000"/>
                <w:sz w:val="18"/>
                <w:szCs w:val="18"/>
              </w:rPr>
            </w:pPr>
          </w:p>
        </w:tc>
        <w:tc>
          <w:tcPr>
            <w:tcW w:w="52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方正仿宋_GB2312" w:hAnsi="方正仿宋_GB2312" w:eastAsia="方正仿宋_GB2312" w:cs="方正仿宋_GB2312"/>
                <w:color w:val="000000"/>
                <w:sz w:val="18"/>
                <w:szCs w:val="18"/>
              </w:rPr>
            </w:pPr>
          </w:p>
        </w:tc>
        <w:tc>
          <w:tcPr>
            <w:tcW w:w="34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小计</w:t>
            </w:r>
          </w:p>
        </w:tc>
        <w:tc>
          <w:tcPr>
            <w:tcW w:w="4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公务用车购置费</w:t>
            </w:r>
          </w:p>
        </w:tc>
        <w:tc>
          <w:tcPr>
            <w:tcW w:w="4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公务用车运行维护费</w:t>
            </w:r>
          </w:p>
        </w:tc>
        <w:tc>
          <w:tcPr>
            <w:tcW w:w="3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方正仿宋_GB2312" w:hAnsi="方正仿宋_GB2312" w:eastAsia="方正仿宋_GB2312" w:cs="方正仿宋_GB2312"/>
                <w:color w:val="000000"/>
                <w:sz w:val="18"/>
                <w:szCs w:val="18"/>
              </w:rPr>
            </w:pPr>
          </w:p>
        </w:tc>
        <w:tc>
          <w:tcPr>
            <w:tcW w:w="3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方正仿宋_GB2312" w:hAnsi="方正仿宋_GB2312" w:eastAsia="方正仿宋_GB2312" w:cs="方正仿宋_GB2312"/>
                <w:color w:val="000000"/>
                <w:sz w:val="18"/>
                <w:szCs w:val="18"/>
              </w:rPr>
            </w:pPr>
          </w:p>
        </w:tc>
        <w:tc>
          <w:tcPr>
            <w:tcW w:w="48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方正仿宋_GB2312" w:hAnsi="方正仿宋_GB2312" w:eastAsia="方正仿宋_GB2312" w:cs="方正仿宋_GB2312"/>
                <w:color w:val="000000"/>
                <w:sz w:val="18"/>
                <w:szCs w:val="18"/>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小计</w:t>
            </w:r>
          </w:p>
        </w:tc>
        <w:tc>
          <w:tcPr>
            <w:tcW w:w="44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公务用车购置费</w:t>
            </w:r>
          </w:p>
        </w:tc>
        <w:tc>
          <w:tcPr>
            <w:tcW w:w="4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方正仿宋_GB2312" w:hAnsi="方正仿宋_GB2312" w:eastAsia="方正仿宋_GB2312" w:cs="方正仿宋_GB2312"/>
                <w:color w:val="000000"/>
                <w:sz w:val="18"/>
                <w:szCs w:val="18"/>
              </w:rPr>
            </w:pPr>
            <w:r>
              <w:rPr>
                <w:rFonts w:hint="eastAsia" w:ascii="方正仿宋_GB2312" w:hAnsi="方正仿宋_GB2312" w:eastAsia="方正仿宋_GB2312" w:cs="方正仿宋_GB2312"/>
                <w:color w:val="000000"/>
                <w:sz w:val="18"/>
                <w:szCs w:val="18"/>
                <w:lang w:bidi="ar"/>
              </w:rPr>
              <w:t>公务用车运行维护费</w:t>
            </w:r>
          </w:p>
        </w:tc>
        <w:tc>
          <w:tcPr>
            <w:tcW w:w="51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ascii="方正仿宋_GB2312" w:hAnsi="方正仿宋_GB2312" w:eastAsia="方正仿宋_GB2312" w:cs="方正仿宋_GB2312"/>
                <w:color w:val="000000"/>
                <w:sz w:val="18"/>
                <w:szCs w:val="18"/>
              </w:rPr>
            </w:pPr>
          </w:p>
        </w:tc>
      </w:tr>
      <w:tr>
        <w:tblPrEx>
          <w:tblCellMar>
            <w:top w:w="0" w:type="dxa"/>
            <w:left w:w="108" w:type="dxa"/>
            <w:bottom w:w="0" w:type="dxa"/>
            <w:right w:w="108" w:type="dxa"/>
          </w:tblCellMar>
        </w:tblPrEx>
        <w:trPr>
          <w:trHeight w:val="431" w:hRule="atLeast"/>
          <w:jc w:val="center"/>
        </w:trPr>
        <w:tc>
          <w:tcPr>
            <w:tcW w:w="42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lang w:bidi="ar"/>
              </w:rPr>
              <w:t>1</w:t>
            </w:r>
          </w:p>
        </w:tc>
        <w:tc>
          <w:tcPr>
            <w:tcW w:w="52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lang w:bidi="ar"/>
              </w:rPr>
              <w:t>2</w:t>
            </w:r>
          </w:p>
        </w:tc>
        <w:tc>
          <w:tcPr>
            <w:tcW w:w="34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lang w:bidi="ar"/>
              </w:rPr>
              <w:t>3</w:t>
            </w:r>
          </w:p>
        </w:tc>
        <w:tc>
          <w:tcPr>
            <w:tcW w:w="4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lang w:bidi="ar"/>
              </w:rPr>
              <w:t>4</w:t>
            </w:r>
          </w:p>
        </w:tc>
        <w:tc>
          <w:tcPr>
            <w:tcW w:w="4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lang w:bidi="ar"/>
              </w:rPr>
              <w:t>5</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lang w:bidi="ar"/>
              </w:rPr>
              <w:t>6</w:t>
            </w:r>
          </w:p>
        </w:tc>
        <w:tc>
          <w:tcPr>
            <w:tcW w:w="3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lang w:bidi="ar"/>
              </w:rPr>
              <w:t>7</w:t>
            </w:r>
          </w:p>
        </w:tc>
        <w:tc>
          <w:tcPr>
            <w:tcW w:w="48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lang w:bidi="ar"/>
              </w:rPr>
              <w:t>8</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lang w:bidi="ar"/>
              </w:rPr>
              <w:t>9</w:t>
            </w:r>
          </w:p>
        </w:tc>
        <w:tc>
          <w:tcPr>
            <w:tcW w:w="44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lang w:bidi="ar"/>
              </w:rPr>
              <w:t>10</w:t>
            </w:r>
          </w:p>
        </w:tc>
        <w:tc>
          <w:tcPr>
            <w:tcW w:w="4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lang w:bidi="ar"/>
              </w:rPr>
              <w:t>11</w:t>
            </w:r>
          </w:p>
        </w:tc>
        <w:tc>
          <w:tcPr>
            <w:tcW w:w="51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widowControl/>
              <w:jc w:val="center"/>
              <w:textAlignment w:val="center"/>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lang w:bidi="ar"/>
              </w:rPr>
              <w:t>12</w:t>
            </w:r>
          </w:p>
        </w:tc>
      </w:tr>
      <w:tr>
        <w:tblPrEx>
          <w:tblCellMar>
            <w:top w:w="0" w:type="dxa"/>
            <w:left w:w="108" w:type="dxa"/>
            <w:bottom w:w="0" w:type="dxa"/>
            <w:right w:w="108" w:type="dxa"/>
          </w:tblCellMar>
        </w:tblPrEx>
        <w:trPr>
          <w:trHeight w:val="431" w:hRule="atLeast"/>
          <w:jc w:val="center"/>
        </w:trPr>
        <w:tc>
          <w:tcPr>
            <w:tcW w:w="42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3.99</w:t>
            </w:r>
          </w:p>
        </w:tc>
        <w:tc>
          <w:tcPr>
            <w:tcW w:w="52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1.21</w:t>
            </w:r>
          </w:p>
        </w:tc>
        <w:tc>
          <w:tcPr>
            <w:tcW w:w="34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2.30</w:t>
            </w:r>
          </w:p>
        </w:tc>
        <w:tc>
          <w:tcPr>
            <w:tcW w:w="4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方正仿宋_GB2312" w:cs="Times New Roman"/>
                <w:color w:val="000000"/>
                <w:sz w:val="18"/>
                <w:szCs w:val="18"/>
              </w:rPr>
            </w:pPr>
          </w:p>
        </w:tc>
        <w:tc>
          <w:tcPr>
            <w:tcW w:w="4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2.30</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0.48</w:t>
            </w:r>
          </w:p>
        </w:tc>
        <w:tc>
          <w:tcPr>
            <w:tcW w:w="3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3.51</w:t>
            </w:r>
          </w:p>
        </w:tc>
        <w:tc>
          <w:tcPr>
            <w:tcW w:w="48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1.21</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2.30</w:t>
            </w:r>
          </w:p>
        </w:tc>
        <w:tc>
          <w:tcPr>
            <w:tcW w:w="44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方正仿宋_GB2312" w:cs="Times New Roman"/>
                <w:color w:val="000000"/>
                <w:sz w:val="18"/>
                <w:szCs w:val="18"/>
              </w:rPr>
            </w:pPr>
          </w:p>
        </w:tc>
        <w:tc>
          <w:tcPr>
            <w:tcW w:w="4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方正仿宋_GB2312" w:cs="Times New Roman"/>
                <w:color w:val="000000"/>
                <w:sz w:val="18"/>
                <w:szCs w:val="18"/>
              </w:rPr>
            </w:pPr>
            <w:r>
              <w:rPr>
                <w:rFonts w:ascii="Times New Roman" w:hAnsi="Times New Roman" w:eastAsia="方正仿宋_GB2312" w:cs="Times New Roman"/>
                <w:color w:val="000000"/>
                <w:sz w:val="18"/>
                <w:szCs w:val="18"/>
              </w:rPr>
              <w:t>2.30</w:t>
            </w:r>
          </w:p>
        </w:tc>
        <w:tc>
          <w:tcPr>
            <w:tcW w:w="51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ascii="Times New Roman" w:hAnsi="Times New Roman" w:eastAsia="方正仿宋_GB2312" w:cs="Times New Roman"/>
                <w:color w:val="000000"/>
                <w:sz w:val="18"/>
                <w:szCs w:val="18"/>
              </w:rPr>
            </w:pPr>
          </w:p>
        </w:tc>
      </w:tr>
      <w:tr>
        <w:tblPrEx>
          <w:tblCellMar>
            <w:top w:w="0" w:type="dxa"/>
            <w:left w:w="108" w:type="dxa"/>
            <w:bottom w:w="0" w:type="dxa"/>
            <w:right w:w="108" w:type="dxa"/>
          </w:tblCellMar>
        </w:tblPrEx>
        <w:trPr>
          <w:trHeight w:val="431" w:hRule="atLeast"/>
          <w:jc w:val="center"/>
        </w:trPr>
        <w:tc>
          <w:tcPr>
            <w:tcW w:w="5000" w:type="pct"/>
            <w:gridSpan w:val="13"/>
            <w:tcBorders>
              <w:top w:val="single" w:color="000000" w:themeColor="text1" w:sz="8" w:space="0"/>
              <w:left w:val="nil"/>
              <w:bottom w:val="nil"/>
              <w:right w:val="nil"/>
            </w:tcBorders>
            <w:noWrap/>
            <w:vAlign w:val="center"/>
          </w:tcPr>
          <w:p>
            <w:pPr>
              <w:widowControl/>
              <w:jc w:val="left"/>
              <w:textAlignment w:val="center"/>
              <w:rPr>
                <w:rFonts w:ascii="宋体" w:hAnsi="宋体" w:eastAsia="宋体"/>
                <w:color w:val="000000"/>
                <w:sz w:val="18"/>
                <w:szCs w:val="18"/>
              </w:rPr>
            </w:pPr>
            <w:r>
              <w:rPr>
                <w:rFonts w:hint="eastAsia" w:ascii="方正仿宋_GB2312" w:hAnsi="方正仿宋_GB2312" w:eastAsia="方正仿宋_GB2312" w:cs="方正仿宋_GB2312"/>
                <w:color w:val="000000"/>
                <w:sz w:val="18"/>
                <w:szCs w:val="18"/>
                <w:lang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pPr>
        <w:rPr>
          <w:rFonts w:ascii="仿宋_GB2312" w:hAnsi="宋体" w:eastAsia="仿宋_GB2312"/>
          <w:b/>
          <w:sz w:val="32"/>
          <w:szCs w:val="32"/>
        </w:rPr>
      </w:pPr>
    </w:p>
    <w:p>
      <w:pPr>
        <w:rPr>
          <w:rFonts w:ascii="仿宋_GB2312" w:hAnsi="宋体" w:eastAsia="仿宋_GB2312"/>
          <w:b/>
          <w:sz w:val="32"/>
          <w:szCs w:val="32"/>
        </w:rPr>
      </w:pPr>
      <w:r>
        <w:rPr>
          <w:rFonts w:hint="eastAsia" w:ascii="仿宋_GB2312" w:hAnsi="宋体" w:eastAsia="仿宋_GB2312"/>
          <w:b/>
          <w:sz w:val="32"/>
          <w:szCs w:val="32"/>
        </w:rPr>
        <w:br w:type="page"/>
      </w:r>
    </w:p>
    <w:p>
      <w:pPr>
        <w:pStyle w:val="10"/>
        <w:widowControl/>
        <w:spacing w:beforeAutospacing="0" w:afterAutospacing="0"/>
        <w:jc w:val="both"/>
        <w:rPr>
          <w:rFonts w:ascii="黑体" w:hAnsi="宋体" w:eastAsia="黑体" w:cs="黑体"/>
          <w:color w:val="000000"/>
          <w:spacing w:val="-20"/>
          <w:sz w:val="72"/>
          <w:szCs w:val="72"/>
          <w:shd w:val="clear" w:color="auto" w:fill="FFFFFF"/>
        </w:rPr>
      </w:pPr>
    </w:p>
    <w:p>
      <w:pPr>
        <w:pStyle w:val="10"/>
        <w:widowControl/>
        <w:spacing w:beforeAutospacing="0" w:afterAutospacing="0"/>
        <w:jc w:val="both"/>
        <w:rPr>
          <w:rFonts w:ascii="黑体" w:hAnsi="宋体" w:eastAsia="黑体" w:cs="黑体"/>
          <w:color w:val="000000"/>
          <w:spacing w:val="-20"/>
          <w:sz w:val="72"/>
          <w:szCs w:val="72"/>
          <w:shd w:val="clear" w:color="auto" w:fill="FFFFFF"/>
        </w:rPr>
      </w:pPr>
    </w:p>
    <w:p>
      <w:pPr>
        <w:pStyle w:val="10"/>
        <w:widowControl/>
        <w:spacing w:beforeAutospacing="0" w:afterAutospacing="0"/>
        <w:jc w:val="both"/>
        <w:rPr>
          <w:rFonts w:ascii="黑体" w:hAnsi="宋体" w:eastAsia="黑体" w:cs="黑体"/>
          <w:color w:val="000000"/>
          <w:spacing w:val="-20"/>
          <w:sz w:val="72"/>
          <w:szCs w:val="72"/>
          <w:shd w:val="clear" w:color="auto" w:fill="FFFFFF"/>
        </w:rPr>
      </w:pPr>
    </w:p>
    <w:p>
      <w:pPr>
        <w:pStyle w:val="10"/>
        <w:widowControl/>
        <w:spacing w:beforeAutospacing="0" w:afterAutospacing="0"/>
        <w:jc w:val="both"/>
        <w:rPr>
          <w:rFonts w:ascii="黑体" w:hAnsi="宋体" w:eastAsia="黑体" w:cs="黑体"/>
          <w:color w:val="000000"/>
          <w:spacing w:val="-20"/>
          <w:sz w:val="72"/>
          <w:szCs w:val="72"/>
          <w:shd w:val="clear" w:color="auto" w:fill="FFFFFF"/>
        </w:rPr>
      </w:pPr>
    </w:p>
    <w:p>
      <w:pPr>
        <w:widowControl/>
        <w:spacing w:line="360" w:lineRule="auto"/>
        <w:jc w:val="center"/>
        <w:outlineLvl w:val="0"/>
        <w:rPr>
          <w:rFonts w:ascii="Times New Roman" w:eastAsia="黑体"/>
          <w:sz w:val="44"/>
          <w:szCs w:val="44"/>
        </w:rPr>
      </w:pPr>
      <w:r>
        <w:rPr>
          <w:rFonts w:ascii="Times New Roman" w:eastAsia="黑体"/>
          <w:sz w:val="44"/>
          <w:szCs w:val="44"/>
        </w:rPr>
        <w:t>第三部分</w:t>
      </w:r>
    </w:p>
    <w:p>
      <w:pPr>
        <w:widowControl/>
        <w:spacing w:line="360" w:lineRule="auto"/>
        <w:jc w:val="center"/>
        <w:outlineLvl w:val="0"/>
        <w:rPr>
          <w:rFonts w:ascii="Times New Roman" w:eastAsia="黑体"/>
          <w:sz w:val="44"/>
          <w:szCs w:val="44"/>
        </w:rPr>
      </w:pPr>
      <w:r>
        <w:rPr>
          <w:rFonts w:ascii="Times New Roman" w:eastAsia="仿宋_GB2312"/>
          <w:sz w:val="44"/>
          <w:szCs w:val="44"/>
        </w:rPr>
        <w:t>2025</w:t>
      </w:r>
      <w:r>
        <w:rPr>
          <w:rFonts w:ascii="Times New Roman" w:eastAsia="黑体"/>
          <w:sz w:val="44"/>
          <w:szCs w:val="44"/>
        </w:rPr>
        <w:t>年度部门决算情况说明</w:t>
      </w:r>
    </w:p>
    <w:p>
      <w:pPr>
        <w:pStyle w:val="10"/>
        <w:widowControl/>
        <w:spacing w:beforeAutospacing="0" w:afterAutospacing="0"/>
        <w:jc w:val="both"/>
        <w:outlineLvl w:val="1"/>
        <w:rPr>
          <w:rFonts w:ascii="黑体" w:hAnsi="Calibri" w:eastAsia="黑体"/>
          <w:kern w:val="2"/>
          <w:sz w:val="32"/>
          <w:szCs w:val="32"/>
        </w:rPr>
      </w:pPr>
    </w:p>
    <w:p>
      <w:pPr>
        <w:pStyle w:val="10"/>
        <w:widowControl/>
        <w:spacing w:beforeAutospacing="0" w:afterAutospacing="0"/>
        <w:jc w:val="both"/>
        <w:outlineLvl w:val="1"/>
        <w:rPr>
          <w:rFonts w:ascii="黑体" w:hAnsi="Calibri" w:eastAsia="黑体"/>
          <w:kern w:val="2"/>
          <w:sz w:val="32"/>
          <w:szCs w:val="32"/>
        </w:rPr>
      </w:pPr>
    </w:p>
    <w:p>
      <w:pPr>
        <w:pStyle w:val="10"/>
        <w:widowControl/>
        <w:spacing w:beforeAutospacing="0" w:afterAutospacing="0"/>
        <w:jc w:val="both"/>
        <w:outlineLvl w:val="1"/>
        <w:rPr>
          <w:rFonts w:ascii="黑体" w:hAnsi="Calibri" w:eastAsia="黑体"/>
          <w:kern w:val="2"/>
          <w:sz w:val="32"/>
          <w:szCs w:val="32"/>
        </w:rPr>
      </w:pPr>
    </w:p>
    <w:p>
      <w:pPr>
        <w:pStyle w:val="10"/>
        <w:widowControl/>
        <w:spacing w:beforeAutospacing="0" w:afterAutospacing="0"/>
        <w:jc w:val="both"/>
        <w:outlineLvl w:val="1"/>
        <w:rPr>
          <w:rFonts w:ascii="黑体" w:hAnsi="Calibri" w:eastAsia="黑体"/>
          <w:kern w:val="2"/>
          <w:sz w:val="32"/>
          <w:szCs w:val="32"/>
        </w:rPr>
      </w:pPr>
    </w:p>
    <w:p>
      <w:pPr>
        <w:pStyle w:val="10"/>
        <w:widowControl/>
        <w:spacing w:beforeAutospacing="0" w:afterAutospacing="0"/>
        <w:jc w:val="both"/>
        <w:outlineLvl w:val="1"/>
        <w:rPr>
          <w:rFonts w:ascii="黑体" w:hAnsi="Calibri" w:eastAsia="黑体"/>
          <w:kern w:val="2"/>
          <w:sz w:val="32"/>
          <w:szCs w:val="32"/>
        </w:rPr>
      </w:pPr>
    </w:p>
    <w:p>
      <w:pPr>
        <w:pStyle w:val="10"/>
        <w:widowControl/>
        <w:spacing w:beforeAutospacing="0" w:afterAutospacing="0"/>
        <w:jc w:val="both"/>
        <w:outlineLvl w:val="1"/>
        <w:rPr>
          <w:rFonts w:ascii="黑体" w:hAnsi="Calibri" w:eastAsia="黑体"/>
          <w:kern w:val="2"/>
          <w:sz w:val="32"/>
          <w:szCs w:val="32"/>
        </w:rPr>
      </w:pPr>
    </w:p>
    <w:p>
      <w:pPr>
        <w:pStyle w:val="10"/>
        <w:widowControl/>
        <w:spacing w:beforeAutospacing="0" w:afterAutospacing="0"/>
        <w:jc w:val="both"/>
        <w:outlineLvl w:val="1"/>
        <w:rPr>
          <w:rFonts w:ascii="黑体" w:hAnsi="Calibri" w:eastAsia="黑体"/>
          <w:kern w:val="2"/>
          <w:sz w:val="32"/>
          <w:szCs w:val="32"/>
        </w:rPr>
      </w:pPr>
    </w:p>
    <w:p>
      <w:pPr>
        <w:pStyle w:val="10"/>
        <w:widowControl/>
        <w:spacing w:beforeAutospacing="0" w:afterAutospacing="0"/>
        <w:jc w:val="both"/>
        <w:outlineLvl w:val="1"/>
        <w:rPr>
          <w:rFonts w:ascii="黑体" w:hAnsi="Calibri" w:eastAsia="黑体"/>
          <w:kern w:val="2"/>
          <w:sz w:val="32"/>
          <w:szCs w:val="32"/>
        </w:rPr>
      </w:pPr>
    </w:p>
    <w:p>
      <w:pPr>
        <w:pStyle w:val="10"/>
        <w:widowControl/>
        <w:spacing w:beforeAutospacing="0" w:afterAutospacing="0"/>
        <w:jc w:val="both"/>
        <w:outlineLvl w:val="1"/>
        <w:rPr>
          <w:rFonts w:ascii="黑体" w:hAnsi="Calibri" w:eastAsia="黑体"/>
          <w:kern w:val="2"/>
          <w:sz w:val="32"/>
          <w:szCs w:val="32"/>
        </w:rPr>
      </w:pPr>
    </w:p>
    <w:p>
      <w:pPr>
        <w:pStyle w:val="10"/>
        <w:widowControl/>
        <w:spacing w:beforeAutospacing="0" w:afterAutospacing="0"/>
        <w:jc w:val="both"/>
        <w:outlineLvl w:val="1"/>
        <w:rPr>
          <w:rFonts w:ascii="黑体" w:hAnsi="Calibri" w:eastAsia="黑体"/>
          <w:kern w:val="2"/>
          <w:sz w:val="32"/>
          <w:szCs w:val="32"/>
        </w:rPr>
        <w:sectPr>
          <w:headerReference r:id="rId7" w:type="default"/>
          <w:footerReference r:id="rId8" w:type="default"/>
          <w:pgSz w:w="11906" w:h="16838"/>
          <w:pgMar w:top="2098" w:right="1417" w:bottom="1871" w:left="1417" w:header="851" w:footer="992" w:gutter="0"/>
          <w:cols w:space="0" w:num="1"/>
          <w:docGrid w:type="lines" w:linePitch="329" w:charSpace="0"/>
        </w:sectPr>
      </w:pPr>
    </w:p>
    <w:p>
      <w:pPr>
        <w:widowControl/>
        <w:spacing w:line="360" w:lineRule="auto"/>
        <w:jc w:val="left"/>
        <w:outlineLvl w:val="1"/>
        <w:rPr>
          <w:rFonts w:ascii="Times New Roman" w:eastAsia="黑体"/>
          <w:sz w:val="32"/>
          <w:szCs w:val="32"/>
        </w:rPr>
      </w:pPr>
      <w:r>
        <w:rPr>
          <w:rFonts w:ascii="Times New Roman" w:eastAsia="黑体"/>
          <w:sz w:val="32"/>
          <w:szCs w:val="32"/>
        </w:rPr>
        <w:t>一、收入支出决算总体情况说明</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w:t>
      </w:r>
      <w:r>
        <w:rPr>
          <w:rFonts w:hint="eastAsia" w:ascii="Times New Roman" w:eastAsia="仿宋_GB2312"/>
          <w:sz w:val="32"/>
          <w:szCs w:val="32"/>
          <w:lang w:eastAsia="zh-CN"/>
        </w:rPr>
        <w:t>部门</w:t>
      </w:r>
      <w:r>
        <w:rPr>
          <w:rFonts w:ascii="Times New Roman" w:eastAsia="仿宋_GB2312"/>
          <w:sz w:val="32"/>
          <w:szCs w:val="32"/>
        </w:rPr>
        <w:t>2025年度收、支总计（含结转和结余）均为2,699.20万元。与2024年度决算相比，收支各减少4,084.58万元，下降60.2%，主要原因是</w:t>
      </w:r>
      <w:r>
        <w:rPr>
          <w:rFonts w:hint="eastAsia" w:ascii="Times New Roman" w:eastAsia="仿宋_GB2312"/>
          <w:sz w:val="32"/>
          <w:szCs w:val="32"/>
          <w:lang w:eastAsia="zh-CN"/>
        </w:rPr>
        <w:t>政策原因，“金十条”政策奖补资金发放减少</w:t>
      </w:r>
      <w:r>
        <w:rPr>
          <w:rFonts w:ascii="Times New Roman" w:eastAsia="仿宋_GB2312"/>
          <w:sz w:val="32"/>
          <w:szCs w:val="32"/>
        </w:rPr>
        <w:t>。</w:t>
      </w:r>
    </w:p>
    <w:p>
      <w:pPr>
        <w:pStyle w:val="10"/>
        <w:widowControl/>
        <w:spacing w:beforeAutospacing="0" w:afterAutospacing="0"/>
        <w:jc w:val="center"/>
        <w:rPr>
          <w:rFonts w:ascii="Times New Roman" w:hAnsi="Times New Roman" w:eastAsia="Arial"/>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r>
        <w:rPr>
          <w:rFonts w:ascii="Times New Roman" w:hAnsi="Times New Roman" w:eastAsia="Arial"/>
          <w:color w:val="000000"/>
          <w:sz w:val="18"/>
          <w:szCs w:val="18"/>
          <w:shd w:val="clear" w:color="auto" w:fill="FFFFFF"/>
        </w:rPr>
        <w:t> </w:t>
      </w:r>
    </w:p>
    <w:p>
      <w:pPr>
        <w:widowControl/>
        <w:spacing w:line="360" w:lineRule="auto"/>
        <w:jc w:val="left"/>
        <w:outlineLvl w:val="1"/>
        <w:rPr>
          <w:rFonts w:ascii="Times New Roman" w:eastAsia="黑体"/>
          <w:sz w:val="32"/>
          <w:szCs w:val="32"/>
        </w:rPr>
      </w:pPr>
      <w:r>
        <w:rPr>
          <w:rFonts w:ascii="Times New Roman" w:eastAsia="黑体"/>
          <w:sz w:val="32"/>
          <w:szCs w:val="32"/>
        </w:rPr>
        <w:t>二、收入决算情况说明</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w:t>
      </w:r>
      <w:r>
        <w:rPr>
          <w:rFonts w:hint="eastAsia" w:ascii="Times New Roman" w:eastAsia="仿宋_GB2312"/>
          <w:sz w:val="32"/>
          <w:szCs w:val="32"/>
          <w:lang w:eastAsia="zh-CN"/>
        </w:rPr>
        <w:t>部门</w:t>
      </w:r>
      <w:r>
        <w:rPr>
          <w:rFonts w:ascii="Times New Roman" w:eastAsia="仿宋_GB2312"/>
          <w:sz w:val="32"/>
          <w:szCs w:val="32"/>
        </w:rPr>
        <w:t>2025年度本年收入合计2,699.20万元，其中：财政拨款收入2,699.20万元，占100</w:t>
      </w:r>
      <w:r>
        <w:rPr>
          <w:rFonts w:hint="default" w:ascii="Times New Roman" w:eastAsia="仿宋_GB2312"/>
          <w:sz w:val="32"/>
          <w:szCs w:val="32"/>
          <w:lang w:val="en"/>
        </w:rPr>
        <w:t>.0</w:t>
      </w:r>
      <w:r>
        <w:rPr>
          <w:rFonts w:ascii="Times New Roman" w:eastAsia="仿宋_GB2312"/>
          <w:sz w:val="32"/>
          <w:szCs w:val="32"/>
        </w:rPr>
        <w:t>%；上级补助收入</w:t>
      </w:r>
      <w:r>
        <w:rPr>
          <w:rFonts w:hint="eastAsia" w:ascii="Times New Roman" w:eastAsia="仿宋_GB2312"/>
          <w:sz w:val="32"/>
          <w:szCs w:val="32"/>
          <w:lang w:val="en-US" w:eastAsia="zh-CN"/>
        </w:rPr>
        <w:t>0</w:t>
      </w:r>
      <w:r>
        <w:rPr>
          <w:rFonts w:ascii="Times New Roman" w:eastAsia="仿宋_GB2312"/>
          <w:sz w:val="32"/>
          <w:szCs w:val="32"/>
        </w:rPr>
        <w:t>万元，占0</w:t>
      </w:r>
      <w:r>
        <w:rPr>
          <w:rFonts w:hint="default" w:ascii="Times New Roman" w:eastAsia="仿宋_GB2312"/>
          <w:sz w:val="32"/>
          <w:szCs w:val="32"/>
          <w:lang w:val="en"/>
        </w:rPr>
        <w:t>.0</w:t>
      </w:r>
      <w:r>
        <w:rPr>
          <w:rFonts w:ascii="Times New Roman" w:eastAsia="仿宋_GB2312"/>
          <w:sz w:val="32"/>
          <w:szCs w:val="32"/>
        </w:rPr>
        <w:t>%；事业收入0万元，占0</w:t>
      </w:r>
      <w:r>
        <w:rPr>
          <w:rFonts w:hint="default" w:ascii="Times New Roman" w:eastAsia="仿宋_GB2312"/>
          <w:sz w:val="32"/>
          <w:szCs w:val="32"/>
          <w:lang w:val="en"/>
        </w:rPr>
        <w:t>.0</w:t>
      </w:r>
      <w:r>
        <w:rPr>
          <w:rFonts w:ascii="Times New Roman" w:eastAsia="仿宋_GB2312"/>
          <w:sz w:val="32"/>
          <w:szCs w:val="32"/>
        </w:rPr>
        <w:t>%；经营收入0万元，占0</w:t>
      </w:r>
      <w:r>
        <w:rPr>
          <w:rFonts w:hint="default" w:ascii="Times New Roman" w:eastAsia="仿宋_GB2312"/>
          <w:sz w:val="32"/>
          <w:szCs w:val="32"/>
          <w:lang w:val="en"/>
        </w:rPr>
        <w:t>.0</w:t>
      </w:r>
      <w:r>
        <w:rPr>
          <w:rFonts w:ascii="Times New Roman" w:eastAsia="仿宋_GB2312"/>
          <w:sz w:val="32"/>
          <w:szCs w:val="32"/>
        </w:rPr>
        <w:t>%；附属单位上缴收入0万元，占0</w:t>
      </w:r>
      <w:r>
        <w:rPr>
          <w:rFonts w:hint="default" w:ascii="Times New Roman" w:eastAsia="仿宋_GB2312"/>
          <w:sz w:val="32"/>
          <w:szCs w:val="32"/>
          <w:lang w:val="en"/>
        </w:rPr>
        <w:t>.0</w:t>
      </w:r>
      <w:r>
        <w:rPr>
          <w:rFonts w:ascii="Times New Roman" w:eastAsia="仿宋_GB2312"/>
          <w:sz w:val="32"/>
          <w:szCs w:val="32"/>
        </w:rPr>
        <w:t>%；其他收入0万元，占0</w:t>
      </w:r>
      <w:r>
        <w:rPr>
          <w:rFonts w:hint="default" w:ascii="Times New Roman" w:eastAsia="仿宋_GB2312"/>
          <w:sz w:val="32"/>
          <w:szCs w:val="32"/>
          <w:lang w:val="en"/>
        </w:rPr>
        <w:t>.0</w:t>
      </w:r>
      <w:r>
        <w:rPr>
          <w:rFonts w:ascii="Times New Roman" w:eastAsia="仿宋_GB2312"/>
          <w:sz w:val="32"/>
          <w:szCs w:val="32"/>
        </w:rPr>
        <w:t>%。</w:t>
      </w:r>
    </w:p>
    <w:p>
      <w:pPr>
        <w:adjustRightInd w:val="0"/>
        <w:snapToGrid w:val="0"/>
        <w:spacing w:line="580" w:lineRule="exact"/>
        <w:rPr>
          <w:rFonts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rPr>
        <w:drawing>
          <wp:anchor distT="0" distB="0" distL="114300" distR="114300" simplePos="0" relativeHeight="251660288"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pPr>
        <w:widowControl/>
        <w:spacing w:line="360" w:lineRule="auto"/>
        <w:jc w:val="left"/>
        <w:outlineLvl w:val="1"/>
        <w:rPr>
          <w:rFonts w:ascii="Times New Roman" w:eastAsia="黑体"/>
          <w:sz w:val="32"/>
          <w:szCs w:val="32"/>
        </w:rPr>
      </w:pPr>
      <w:r>
        <w:rPr>
          <w:rFonts w:ascii="Times New Roman" w:eastAsia="黑体"/>
          <w:sz w:val="32"/>
          <w:szCs w:val="32"/>
        </w:rPr>
        <w:t>三、支出决算情况说明</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w:t>
      </w:r>
      <w:r>
        <w:rPr>
          <w:rFonts w:hint="eastAsia" w:ascii="Times New Roman" w:eastAsia="仿宋_GB2312"/>
          <w:sz w:val="32"/>
          <w:szCs w:val="32"/>
          <w:lang w:eastAsia="zh-CN"/>
        </w:rPr>
        <w:t>部门</w:t>
      </w:r>
      <w:r>
        <w:rPr>
          <w:rFonts w:ascii="Times New Roman" w:eastAsia="仿宋_GB2312"/>
          <w:sz w:val="32"/>
          <w:szCs w:val="32"/>
        </w:rPr>
        <w:t>2025年度本年支出合计2,699.20万元，其中：基本支出1,063.03万元，占39.4%；项目支出1,636.18万元，占60.6%；经营支出0万元，占0</w:t>
      </w:r>
      <w:r>
        <w:rPr>
          <w:rFonts w:hint="default" w:ascii="Times New Roman" w:eastAsia="仿宋_GB2312"/>
          <w:sz w:val="32"/>
          <w:szCs w:val="32"/>
          <w:lang w:val="en"/>
        </w:rPr>
        <w:t>.0</w:t>
      </w:r>
      <w:r>
        <w:rPr>
          <w:rFonts w:ascii="Times New Roman" w:eastAsia="仿宋_GB2312"/>
          <w:sz w:val="32"/>
          <w:szCs w:val="32"/>
        </w:rPr>
        <w:t>%；上缴上级支出0万元，占0</w:t>
      </w:r>
      <w:r>
        <w:rPr>
          <w:rFonts w:hint="default" w:ascii="Times New Roman" w:eastAsia="仿宋_GB2312"/>
          <w:sz w:val="32"/>
          <w:szCs w:val="32"/>
          <w:lang w:val="en"/>
        </w:rPr>
        <w:t>.0</w:t>
      </w:r>
      <w:r>
        <w:rPr>
          <w:rFonts w:ascii="Times New Roman" w:eastAsia="仿宋_GB2312"/>
          <w:sz w:val="32"/>
          <w:szCs w:val="32"/>
        </w:rPr>
        <w:t>%；对附属单位补助支出0万元，占0</w:t>
      </w:r>
      <w:r>
        <w:rPr>
          <w:rFonts w:hint="default" w:ascii="Times New Roman" w:eastAsia="仿宋_GB2312"/>
          <w:sz w:val="32"/>
          <w:szCs w:val="32"/>
          <w:lang w:val="en"/>
        </w:rPr>
        <w:t>.0</w:t>
      </w:r>
      <w:r>
        <w:rPr>
          <w:rFonts w:ascii="Times New Roman" w:eastAsia="仿宋_GB2312"/>
          <w:sz w:val="32"/>
          <w:szCs w:val="32"/>
        </w:rPr>
        <w:t>%。</w:t>
      </w:r>
    </w:p>
    <w:p>
      <w:pPr>
        <w:autoSpaceDE w:val="0"/>
        <w:autoSpaceDN w:val="0"/>
        <w:adjustRightInd w:val="0"/>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pPr>
        <w:widowControl/>
        <w:spacing w:line="360" w:lineRule="auto"/>
        <w:ind w:firstLine="640" w:firstLineChars="200"/>
        <w:jc w:val="left"/>
        <w:outlineLvl w:val="1"/>
        <w:rPr>
          <w:rFonts w:ascii="Times New Roman" w:eastAsia="黑体"/>
          <w:sz w:val="32"/>
          <w:szCs w:val="32"/>
        </w:rPr>
      </w:pPr>
      <w:r>
        <w:rPr>
          <w:rFonts w:ascii="Times New Roman" w:eastAsia="黑体"/>
          <w:sz w:val="32"/>
          <w:szCs w:val="32"/>
        </w:rPr>
        <w:t>四、财政拨款收入支出决算总体情况说明</w:t>
      </w:r>
    </w:p>
    <w:p>
      <w:pPr>
        <w:widowControl/>
        <w:spacing w:line="360" w:lineRule="auto"/>
        <w:ind w:firstLine="642"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w:t>
      </w:r>
      <w:r>
        <w:rPr>
          <w:rFonts w:hint="eastAsia" w:ascii="Times New Roman" w:eastAsia="仿宋_GB2312"/>
          <w:sz w:val="32"/>
          <w:szCs w:val="32"/>
          <w:lang w:eastAsia="zh-CN"/>
        </w:rPr>
        <w:t>部门</w:t>
      </w:r>
      <w:r>
        <w:rPr>
          <w:rFonts w:ascii="Times New Roman" w:eastAsia="仿宋_GB2312"/>
          <w:sz w:val="32"/>
          <w:szCs w:val="32"/>
        </w:rPr>
        <w:t>2025年度财政拨款收、支总计（含结转和结余）均为2,699.20万元。与2024年度相比，财政拨款收支各减少4,084.58万元，降低60.2%，主要原因是</w:t>
      </w:r>
      <w:r>
        <w:rPr>
          <w:rFonts w:hint="eastAsia" w:ascii="Times New Roman" w:eastAsia="仿宋_GB2312"/>
          <w:sz w:val="32"/>
          <w:szCs w:val="32"/>
        </w:rPr>
        <w:t>政策原因，“金十条”政策奖补资金发放减少</w:t>
      </w:r>
      <w:r>
        <w:rPr>
          <w:rFonts w:ascii="Times New Roman" w:eastAsia="仿宋_GB2312"/>
          <w:sz w:val="32"/>
          <w:szCs w:val="32"/>
        </w:rPr>
        <w:t>。</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w:t>
      </w:r>
      <w:r>
        <w:rPr>
          <w:rFonts w:hint="eastAsia" w:ascii="Times New Roman" w:eastAsia="仿宋_GB2312"/>
          <w:sz w:val="32"/>
          <w:szCs w:val="32"/>
          <w:lang w:eastAsia="zh-CN"/>
        </w:rPr>
        <w:t>部门</w:t>
      </w:r>
      <w:r>
        <w:rPr>
          <w:rFonts w:ascii="Times New Roman" w:eastAsia="仿宋_GB2312"/>
          <w:sz w:val="32"/>
          <w:szCs w:val="32"/>
        </w:rPr>
        <w:t>2025年度财政拨款本年收入2,699.20万元,比上年减少4,084.58万元，降低60.2%，主要原因是</w:t>
      </w:r>
      <w:r>
        <w:rPr>
          <w:rFonts w:hint="eastAsia" w:ascii="Times New Roman" w:eastAsia="仿宋_GB2312"/>
          <w:sz w:val="32"/>
          <w:szCs w:val="32"/>
        </w:rPr>
        <w:t>政策原因，“金十条”政策奖补资金发放减少</w:t>
      </w:r>
      <w:r>
        <w:rPr>
          <w:rFonts w:ascii="Times New Roman" w:eastAsia="仿宋_GB2312"/>
          <w:sz w:val="32"/>
          <w:szCs w:val="32"/>
        </w:rPr>
        <w:t>；本年支出2,699.20万元，比上年减少4,084.58万元，降低60.2%，主要原因是</w:t>
      </w:r>
      <w:r>
        <w:rPr>
          <w:rFonts w:hint="eastAsia" w:ascii="Times New Roman" w:eastAsia="仿宋_GB2312"/>
          <w:sz w:val="32"/>
          <w:szCs w:val="32"/>
        </w:rPr>
        <w:t>政策原因，“金十条”政策奖补资金发放减少</w:t>
      </w:r>
      <w:r>
        <w:rPr>
          <w:rFonts w:ascii="Times New Roman" w:eastAsia="仿宋_GB2312"/>
          <w:sz w:val="32"/>
          <w:szCs w:val="32"/>
        </w:rPr>
        <w:t>。具体情况如下：</w:t>
      </w:r>
    </w:p>
    <w:p>
      <w:pPr>
        <w:widowControl/>
        <w:spacing w:line="360" w:lineRule="auto"/>
        <w:ind w:firstLine="640" w:firstLineChars="200"/>
        <w:jc w:val="left"/>
        <w:outlineLvl w:val="1"/>
        <w:rPr>
          <w:rFonts w:ascii="Times New Roman" w:eastAsia="仿宋_GB2312"/>
          <w:sz w:val="32"/>
          <w:szCs w:val="32"/>
        </w:rPr>
      </w:pPr>
      <w:r>
        <w:rPr>
          <w:rFonts w:ascii="Times New Roman" w:eastAsia="仿宋_GB2312"/>
          <w:sz w:val="32"/>
          <w:szCs w:val="32"/>
        </w:rPr>
        <w:t>1. 一般公共预算财政拨款本年收入2,699.20万元,比上年减少4,084.58万元，降低60.2%，主要原因是</w:t>
      </w:r>
      <w:r>
        <w:rPr>
          <w:rFonts w:hint="eastAsia" w:ascii="Times New Roman" w:eastAsia="仿宋_GB2312"/>
          <w:sz w:val="32"/>
          <w:szCs w:val="32"/>
        </w:rPr>
        <w:t>政策原因</w:t>
      </w:r>
      <w:r>
        <w:rPr>
          <w:rFonts w:hint="eastAsia" w:ascii="Times New Roman" w:eastAsia="仿宋_GB2312"/>
          <w:sz w:val="32"/>
          <w:szCs w:val="32"/>
          <w:lang w:eastAsia="zh-CN"/>
        </w:rPr>
        <w:t>，</w:t>
      </w:r>
      <w:r>
        <w:rPr>
          <w:rFonts w:hint="eastAsia" w:ascii="Times New Roman" w:eastAsia="仿宋_GB2312"/>
          <w:sz w:val="32"/>
          <w:szCs w:val="32"/>
        </w:rPr>
        <w:t>“金十条”政策奖补资金发放减少</w:t>
      </w:r>
      <w:r>
        <w:rPr>
          <w:rFonts w:ascii="Times New Roman" w:eastAsia="仿宋_GB2312"/>
          <w:sz w:val="32"/>
          <w:szCs w:val="32"/>
        </w:rPr>
        <w:t>；本年支出2,699.20万元，比上年减少4,084.58万元，降低60.2%，主要原因是</w:t>
      </w:r>
      <w:r>
        <w:rPr>
          <w:rFonts w:hint="eastAsia" w:ascii="Times New Roman" w:eastAsia="仿宋_GB2312"/>
          <w:sz w:val="32"/>
          <w:szCs w:val="32"/>
        </w:rPr>
        <w:t>政策原因，“金十条”政策奖补资金发放减少</w:t>
      </w:r>
      <w:r>
        <w:rPr>
          <w:rFonts w:ascii="Times New Roman" w:eastAsia="仿宋_GB2312"/>
          <w:sz w:val="32"/>
          <w:szCs w:val="32"/>
        </w:rPr>
        <w:t>。</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2. 政府性基金预算财政拨款本年收入0万元，比上年增加0万元，增长0</w:t>
      </w:r>
      <w:r>
        <w:rPr>
          <w:rFonts w:hint="default" w:ascii="Times New Roman" w:eastAsia="仿宋_GB2312"/>
          <w:sz w:val="32"/>
          <w:szCs w:val="32"/>
          <w:lang w:val="en"/>
        </w:rPr>
        <w:t>.0</w:t>
      </w:r>
      <w:r>
        <w:rPr>
          <w:rFonts w:ascii="Times New Roman" w:eastAsia="仿宋_GB2312"/>
          <w:sz w:val="32"/>
          <w:szCs w:val="32"/>
        </w:rPr>
        <w:t>%，主要原因是</w:t>
      </w:r>
      <w:r>
        <w:rPr>
          <w:rFonts w:hint="eastAsia" w:ascii="Times New Roman" w:eastAsia="仿宋_GB2312"/>
          <w:sz w:val="32"/>
          <w:szCs w:val="32"/>
        </w:rPr>
        <w:t>本年度无政府性基金预算财政拨款收入</w:t>
      </w:r>
      <w:r>
        <w:rPr>
          <w:rFonts w:ascii="Times New Roman" w:eastAsia="仿宋_GB2312"/>
          <w:sz w:val="32"/>
          <w:szCs w:val="32"/>
        </w:rPr>
        <w:t>；本年支出0万元，比上年增加0万元，增长0</w:t>
      </w:r>
      <w:r>
        <w:rPr>
          <w:rFonts w:hint="default" w:ascii="Times New Roman" w:eastAsia="仿宋_GB2312"/>
          <w:sz w:val="32"/>
          <w:szCs w:val="32"/>
          <w:lang w:val="en"/>
        </w:rPr>
        <w:t>.0</w:t>
      </w:r>
      <w:r>
        <w:rPr>
          <w:rFonts w:ascii="Times New Roman" w:eastAsia="仿宋_GB2312"/>
          <w:sz w:val="32"/>
          <w:szCs w:val="32"/>
        </w:rPr>
        <w:t>%，主要原因是</w:t>
      </w:r>
      <w:r>
        <w:rPr>
          <w:rFonts w:hint="eastAsia" w:ascii="Times New Roman" w:eastAsia="仿宋_GB2312"/>
          <w:sz w:val="32"/>
          <w:szCs w:val="32"/>
        </w:rPr>
        <w:t>本年度无政府性基金预算财政拨款支出</w:t>
      </w:r>
      <w:r>
        <w:rPr>
          <w:rFonts w:ascii="Times New Roman" w:eastAsia="仿宋_GB2312"/>
          <w:sz w:val="32"/>
          <w:szCs w:val="32"/>
        </w:rPr>
        <w:t>。</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3. 国有资本经营预算财政拨款本年收入0万元，比上年增加0万元，增长0</w:t>
      </w:r>
      <w:r>
        <w:rPr>
          <w:rFonts w:hint="default" w:ascii="Times New Roman" w:eastAsia="仿宋_GB2312"/>
          <w:sz w:val="32"/>
          <w:szCs w:val="32"/>
          <w:lang w:val="en"/>
        </w:rPr>
        <w:t>.0</w:t>
      </w:r>
      <w:r>
        <w:rPr>
          <w:rFonts w:ascii="Times New Roman" w:eastAsia="仿宋_GB2312"/>
          <w:sz w:val="32"/>
          <w:szCs w:val="32"/>
        </w:rPr>
        <w:t>%，主要原因是</w:t>
      </w:r>
      <w:r>
        <w:rPr>
          <w:rFonts w:hint="eastAsia" w:ascii="Times New Roman" w:eastAsia="仿宋_GB2312"/>
          <w:sz w:val="32"/>
          <w:szCs w:val="32"/>
        </w:rPr>
        <w:t>本年度无国有资本经营预算财政拨款收入</w:t>
      </w:r>
      <w:r>
        <w:rPr>
          <w:rFonts w:ascii="Times New Roman" w:eastAsia="仿宋_GB2312"/>
          <w:sz w:val="32"/>
          <w:szCs w:val="32"/>
        </w:rPr>
        <w:t>；本年支出0万元，比上年增加</w:t>
      </w:r>
      <w:r>
        <w:rPr>
          <w:rFonts w:hint="eastAsia" w:ascii="Times New Roman" w:eastAsia="仿宋_GB2312"/>
          <w:sz w:val="32"/>
          <w:szCs w:val="32"/>
          <w:lang w:val="en-US" w:eastAsia="zh-CN"/>
        </w:rPr>
        <w:t>0</w:t>
      </w:r>
      <w:r>
        <w:rPr>
          <w:rFonts w:ascii="Times New Roman" w:eastAsia="仿宋_GB2312"/>
          <w:sz w:val="32"/>
          <w:szCs w:val="32"/>
        </w:rPr>
        <w:t>万元，增长0</w:t>
      </w:r>
      <w:r>
        <w:rPr>
          <w:rFonts w:hint="default" w:ascii="Times New Roman" w:eastAsia="仿宋_GB2312"/>
          <w:sz w:val="32"/>
          <w:szCs w:val="32"/>
          <w:lang w:val="en"/>
        </w:rPr>
        <w:t>.0</w:t>
      </w:r>
      <w:r>
        <w:rPr>
          <w:rFonts w:ascii="Times New Roman" w:eastAsia="仿宋_GB2312"/>
          <w:sz w:val="32"/>
          <w:szCs w:val="32"/>
        </w:rPr>
        <w:t>%，主要原因是</w:t>
      </w:r>
      <w:r>
        <w:rPr>
          <w:rFonts w:hint="eastAsia" w:ascii="Times New Roman" w:eastAsia="仿宋_GB2312"/>
          <w:sz w:val="32"/>
          <w:szCs w:val="32"/>
        </w:rPr>
        <w:t>本年度无国有资本经营预算财政拨款支出</w:t>
      </w:r>
      <w:r>
        <w:rPr>
          <w:rFonts w:ascii="Times New Roman" w:eastAsia="仿宋_GB2312"/>
          <w:sz w:val="32"/>
          <w:szCs w:val="32"/>
        </w:rPr>
        <w:t>。</w:t>
      </w:r>
    </w:p>
    <w:p>
      <w:pPr>
        <w:pStyle w:val="10"/>
        <w:widowControl/>
        <w:spacing w:beforeAutospacing="0" w:afterAutospacing="0"/>
        <w:jc w:val="center"/>
        <w:rPr>
          <w:rFonts w:ascii="Times New Roman" w:hAnsi="Times New Roman" w:eastAsia="仿宋_GB2312"/>
          <w:sz w:val="32"/>
          <w:szCs w:val="32"/>
        </w:rPr>
      </w:pPr>
      <w:r>
        <w:rPr>
          <w:rFonts w:ascii="Times New Roman" w:hAnsi="Times New Roman" w:eastAsia="仿宋_GB2312"/>
          <w:sz w:val="32"/>
          <w:szCs w:val="32"/>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pPr>
        <w:widowControl/>
        <w:spacing w:line="360" w:lineRule="auto"/>
        <w:ind w:firstLine="642"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w:t>
      </w:r>
      <w:r>
        <w:rPr>
          <w:rFonts w:hint="eastAsia" w:ascii="Times New Roman" w:eastAsia="仿宋_GB2312"/>
          <w:sz w:val="32"/>
          <w:szCs w:val="32"/>
          <w:lang w:eastAsia="zh-CN"/>
        </w:rPr>
        <w:t>部门</w:t>
      </w:r>
      <w:r>
        <w:rPr>
          <w:rFonts w:ascii="Times New Roman" w:eastAsia="仿宋_GB2312"/>
          <w:sz w:val="32"/>
          <w:szCs w:val="32"/>
        </w:rPr>
        <w:t>2025年度财政拨款本年收入2,699.20万元，完成年初预算的17</w:t>
      </w:r>
      <w:r>
        <w:rPr>
          <w:rFonts w:hint="eastAsia" w:ascii="Times New Roman" w:eastAsia="仿宋_GB2312"/>
          <w:sz w:val="32"/>
          <w:szCs w:val="32"/>
          <w:lang w:val="en-US" w:eastAsia="zh-CN"/>
        </w:rPr>
        <w:t>0</w:t>
      </w:r>
      <w:r>
        <w:rPr>
          <w:rFonts w:ascii="Times New Roman" w:eastAsia="仿宋_GB2312"/>
          <w:sz w:val="32"/>
          <w:szCs w:val="32"/>
        </w:rPr>
        <w:t>%，比年初预算增加1,111.89万元，决算数大于预算数主要原因是</w:t>
      </w:r>
      <w:r>
        <w:rPr>
          <w:rFonts w:hint="eastAsia" w:ascii="Times New Roman" w:eastAsia="仿宋_GB2312"/>
          <w:sz w:val="32"/>
          <w:szCs w:val="32"/>
          <w:lang w:eastAsia="zh-CN"/>
        </w:rPr>
        <w:t>项目增加</w:t>
      </w:r>
      <w:r>
        <w:rPr>
          <w:rFonts w:ascii="Times New Roman" w:eastAsia="仿宋_GB2312"/>
          <w:sz w:val="32"/>
          <w:szCs w:val="32"/>
        </w:rPr>
        <w:t>；本年支出2,699.2</w:t>
      </w:r>
      <w:r>
        <w:rPr>
          <w:rFonts w:hint="default" w:ascii="Times New Roman" w:eastAsia="仿宋_GB2312"/>
          <w:sz w:val="32"/>
          <w:szCs w:val="32"/>
          <w:lang w:val="en"/>
        </w:rPr>
        <w:t>0</w:t>
      </w:r>
      <w:r>
        <w:rPr>
          <w:rFonts w:ascii="Times New Roman" w:eastAsia="仿宋_GB2312"/>
          <w:sz w:val="32"/>
          <w:szCs w:val="32"/>
        </w:rPr>
        <w:t>万元，完成年初预算的170</w:t>
      </w:r>
      <w:r>
        <w:rPr>
          <w:rFonts w:hint="default" w:ascii="Times New Roman" w:eastAsia="仿宋_GB2312"/>
          <w:sz w:val="32"/>
          <w:szCs w:val="32"/>
          <w:lang w:val="en"/>
        </w:rPr>
        <w:t>.0</w:t>
      </w:r>
      <w:r>
        <w:rPr>
          <w:rFonts w:ascii="Times New Roman" w:eastAsia="仿宋_GB2312"/>
          <w:sz w:val="32"/>
          <w:szCs w:val="32"/>
        </w:rPr>
        <w:t>%，比年初预算增加1,111.89万元，决算数大于预算数主要原因是</w:t>
      </w:r>
      <w:r>
        <w:rPr>
          <w:rFonts w:hint="eastAsia" w:ascii="Times New Roman" w:eastAsia="仿宋_GB2312"/>
          <w:sz w:val="32"/>
          <w:szCs w:val="32"/>
          <w:lang w:eastAsia="zh-CN"/>
        </w:rPr>
        <w:t>项目增加</w:t>
      </w:r>
      <w:r>
        <w:rPr>
          <w:rFonts w:ascii="Times New Roman" w:eastAsia="仿宋_GB2312"/>
          <w:sz w:val="32"/>
          <w:szCs w:val="32"/>
        </w:rPr>
        <w:t>。具体情况如下：</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1. 一般公共预算财政拨款本年收入完成年初预算的170</w:t>
      </w:r>
      <w:r>
        <w:rPr>
          <w:rFonts w:hint="default" w:ascii="Times New Roman" w:eastAsia="仿宋_GB2312"/>
          <w:sz w:val="32"/>
          <w:szCs w:val="32"/>
          <w:lang w:val="en"/>
        </w:rPr>
        <w:t>.</w:t>
      </w:r>
      <w:r>
        <w:rPr>
          <w:rFonts w:ascii="Times New Roman" w:eastAsia="仿宋_GB2312"/>
          <w:sz w:val="32"/>
          <w:szCs w:val="32"/>
        </w:rPr>
        <w:t>%，比年初预算增加1,111.89万元，主要原因是</w:t>
      </w:r>
      <w:r>
        <w:rPr>
          <w:rFonts w:hint="eastAsia" w:ascii="Times New Roman" w:eastAsia="仿宋_GB2312"/>
          <w:sz w:val="32"/>
          <w:szCs w:val="32"/>
          <w:lang w:eastAsia="zh-CN"/>
        </w:rPr>
        <w:t>项目增加</w:t>
      </w:r>
      <w:r>
        <w:rPr>
          <w:rFonts w:ascii="Times New Roman" w:eastAsia="仿宋_GB2312"/>
          <w:sz w:val="32"/>
          <w:szCs w:val="32"/>
        </w:rPr>
        <w:t>；支出完成年初预算的170</w:t>
      </w:r>
      <w:r>
        <w:rPr>
          <w:rFonts w:hint="default" w:ascii="Times New Roman" w:eastAsia="仿宋_GB2312"/>
          <w:sz w:val="32"/>
          <w:szCs w:val="32"/>
          <w:lang w:val="en"/>
        </w:rPr>
        <w:t>.0</w:t>
      </w:r>
      <w:r>
        <w:rPr>
          <w:rFonts w:ascii="Times New Roman" w:eastAsia="仿宋_GB2312"/>
          <w:sz w:val="32"/>
          <w:szCs w:val="32"/>
        </w:rPr>
        <w:t>%，比年初预算增加1,111.89万元，主要原因是</w:t>
      </w:r>
      <w:r>
        <w:rPr>
          <w:rFonts w:hint="eastAsia" w:ascii="Times New Roman" w:eastAsia="仿宋_GB2312"/>
          <w:sz w:val="32"/>
          <w:szCs w:val="32"/>
          <w:lang w:eastAsia="zh-CN"/>
        </w:rPr>
        <w:t>项目增加</w:t>
      </w:r>
      <w:r>
        <w:rPr>
          <w:rFonts w:ascii="Times New Roman" w:eastAsia="仿宋_GB2312"/>
          <w:sz w:val="32"/>
          <w:szCs w:val="32"/>
        </w:rPr>
        <w:t>。</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2. 政府性基金预算财政拨款本年收入完成年初预算的0</w:t>
      </w:r>
      <w:r>
        <w:rPr>
          <w:rFonts w:hint="default" w:ascii="Times New Roman" w:eastAsia="仿宋_GB2312"/>
          <w:sz w:val="32"/>
          <w:szCs w:val="32"/>
          <w:lang w:val="en"/>
        </w:rPr>
        <w:t>.0</w:t>
      </w:r>
      <w:r>
        <w:rPr>
          <w:rFonts w:ascii="Times New Roman" w:eastAsia="仿宋_GB2312"/>
          <w:sz w:val="32"/>
          <w:szCs w:val="32"/>
        </w:rPr>
        <w:t>%，比年初预算增加0万元，主要原因是</w:t>
      </w:r>
      <w:r>
        <w:rPr>
          <w:rFonts w:hint="eastAsia" w:ascii="Times New Roman" w:eastAsia="仿宋_GB2312"/>
          <w:sz w:val="32"/>
          <w:szCs w:val="32"/>
        </w:rPr>
        <w:t>本年度无政府性基金预算财政拨款收入</w:t>
      </w:r>
      <w:r>
        <w:rPr>
          <w:rFonts w:ascii="Times New Roman" w:eastAsia="仿宋_GB2312"/>
          <w:sz w:val="32"/>
          <w:szCs w:val="32"/>
        </w:rPr>
        <w:t>；支出完成年初预算的0</w:t>
      </w:r>
      <w:r>
        <w:rPr>
          <w:rFonts w:hint="default" w:ascii="Times New Roman" w:eastAsia="仿宋_GB2312"/>
          <w:sz w:val="32"/>
          <w:szCs w:val="32"/>
          <w:lang w:val="en"/>
        </w:rPr>
        <w:t>.0</w:t>
      </w:r>
      <w:r>
        <w:rPr>
          <w:rFonts w:ascii="Times New Roman" w:eastAsia="仿宋_GB2312"/>
          <w:sz w:val="32"/>
          <w:szCs w:val="32"/>
        </w:rPr>
        <w:t>%，比年初预算增加0万元，主要原因是</w:t>
      </w:r>
      <w:r>
        <w:rPr>
          <w:rFonts w:hint="eastAsia" w:ascii="Times New Roman" w:eastAsia="仿宋_GB2312"/>
          <w:sz w:val="32"/>
          <w:szCs w:val="32"/>
        </w:rPr>
        <w:t>本年度无政府性基金预算财政拨款支出</w:t>
      </w:r>
      <w:r>
        <w:rPr>
          <w:rFonts w:ascii="Times New Roman" w:eastAsia="仿宋_GB2312"/>
          <w:sz w:val="32"/>
          <w:szCs w:val="32"/>
        </w:rPr>
        <w:t>。</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3. 国有资本经营预算财政拨款本年收入完成年初预算的0</w:t>
      </w:r>
      <w:r>
        <w:rPr>
          <w:rFonts w:hint="default" w:ascii="Times New Roman" w:eastAsia="仿宋_GB2312"/>
          <w:sz w:val="32"/>
          <w:szCs w:val="32"/>
          <w:lang w:val="en"/>
        </w:rPr>
        <w:t>.0</w:t>
      </w:r>
      <w:r>
        <w:rPr>
          <w:rFonts w:ascii="Times New Roman" w:eastAsia="仿宋_GB2312"/>
          <w:sz w:val="32"/>
          <w:szCs w:val="32"/>
        </w:rPr>
        <w:t>%，比年初预算增加0万元，主要原因是</w:t>
      </w:r>
      <w:r>
        <w:rPr>
          <w:rFonts w:hint="eastAsia" w:ascii="Times New Roman" w:eastAsia="仿宋_GB2312"/>
          <w:sz w:val="32"/>
          <w:szCs w:val="32"/>
        </w:rPr>
        <w:t>本年度无国有资本经营预算财政拨款收入</w:t>
      </w:r>
      <w:r>
        <w:rPr>
          <w:rFonts w:ascii="Times New Roman" w:eastAsia="仿宋_GB2312"/>
          <w:sz w:val="32"/>
          <w:szCs w:val="32"/>
        </w:rPr>
        <w:t>；支出完成年初预算的0</w:t>
      </w:r>
      <w:r>
        <w:rPr>
          <w:rFonts w:hint="default" w:ascii="Times New Roman" w:eastAsia="仿宋_GB2312"/>
          <w:sz w:val="32"/>
          <w:szCs w:val="32"/>
          <w:lang w:val="en"/>
        </w:rPr>
        <w:t>.0</w:t>
      </w:r>
      <w:r>
        <w:rPr>
          <w:rFonts w:ascii="Times New Roman" w:eastAsia="仿宋_GB2312"/>
          <w:sz w:val="32"/>
          <w:szCs w:val="32"/>
        </w:rPr>
        <w:t>%，比年初预算增加0万元，主要原因是</w:t>
      </w:r>
      <w:r>
        <w:rPr>
          <w:rFonts w:hint="eastAsia" w:ascii="Times New Roman" w:eastAsia="仿宋_GB2312"/>
          <w:sz w:val="32"/>
          <w:szCs w:val="32"/>
        </w:rPr>
        <w:t>本年度无国有资本经营预算财政拨款支出</w:t>
      </w:r>
      <w:r>
        <w:rPr>
          <w:rFonts w:ascii="Times New Roman" w:eastAsia="仿宋_GB2312"/>
          <w:sz w:val="32"/>
          <w:szCs w:val="32"/>
        </w:rPr>
        <w:t>。</w:t>
      </w:r>
    </w:p>
    <w:p>
      <w:pPr>
        <w:pStyle w:val="10"/>
        <w:widowControl/>
        <w:spacing w:beforeAutospacing="0" w:afterAutospacing="0"/>
        <w:jc w:val="center"/>
        <w:rPr>
          <w:rFonts w:ascii="Times New Roman" w:hAnsi="Times New Roman" w:eastAsia="仿宋_GB2312"/>
          <w:sz w:val="32"/>
          <w:szCs w:val="32"/>
        </w:rPr>
      </w:pPr>
      <w:r>
        <w:rPr>
          <w:rFonts w:ascii="Times New Roman" w:hAnsi="Times New Roman" w:eastAsia="仿宋_GB2312"/>
          <w:sz w:val="32"/>
          <w:szCs w:val="32"/>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pPr>
        <w:widowControl/>
        <w:spacing w:line="360" w:lineRule="auto"/>
        <w:ind w:firstLine="642" w:firstLineChars="200"/>
        <w:jc w:val="left"/>
        <w:rPr>
          <w:rFonts w:ascii="Times New Roman" w:eastAsia="楷体_GB2312"/>
          <w:sz w:val="32"/>
          <w:szCs w:val="32"/>
        </w:rPr>
      </w:pPr>
      <w:r>
        <w:rPr>
          <w:rFonts w:ascii="Times New Roman" w:eastAsia="楷体_GB2312"/>
          <w:b/>
          <w:sz w:val="32"/>
          <w:szCs w:val="32"/>
        </w:rPr>
        <w:t>（三）财政拨款支出决算结构情况</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2025年度财政拨款支出2,699.2</w:t>
      </w:r>
      <w:r>
        <w:rPr>
          <w:rFonts w:hint="default" w:ascii="Times New Roman" w:eastAsia="仿宋_GB2312"/>
          <w:sz w:val="32"/>
          <w:szCs w:val="32"/>
          <w:lang w:val="en"/>
        </w:rPr>
        <w:t>0</w:t>
      </w:r>
      <w:r>
        <w:rPr>
          <w:rFonts w:ascii="Times New Roman" w:eastAsia="仿宋_GB2312"/>
          <w:sz w:val="32"/>
          <w:szCs w:val="32"/>
        </w:rPr>
        <w:t>万元，主要用于以下方面：</w:t>
      </w:r>
    </w:p>
    <w:p>
      <w:pPr>
        <w:widowControl/>
        <w:spacing w:line="360" w:lineRule="auto"/>
        <w:ind w:firstLine="642" w:firstLineChars="200"/>
        <w:jc w:val="left"/>
        <w:rPr>
          <w:rFonts w:ascii="Times New Roman" w:eastAsia="仿宋_GB2312"/>
          <w:sz w:val="32"/>
          <w:szCs w:val="32"/>
        </w:rPr>
      </w:pPr>
      <w:r>
        <w:rPr>
          <w:rFonts w:ascii="Times New Roman" w:eastAsia="仿宋_GB2312"/>
          <w:b/>
          <w:sz w:val="32"/>
          <w:szCs w:val="32"/>
        </w:rPr>
        <w:t>一般公共预算财政拨款支出：</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社会保障和就业 （类）支出100.01万元，占3.7%；卫生健康（类）支出43</w:t>
      </w:r>
      <w:r>
        <w:rPr>
          <w:rFonts w:hint="default" w:ascii="Times New Roman" w:eastAsia="仿宋_GB2312"/>
          <w:sz w:val="32"/>
          <w:szCs w:val="32"/>
          <w:lang w:val="en"/>
        </w:rPr>
        <w:t>.00</w:t>
      </w:r>
      <w:r>
        <w:rPr>
          <w:rFonts w:ascii="Times New Roman" w:eastAsia="仿宋_GB2312"/>
          <w:sz w:val="32"/>
          <w:szCs w:val="32"/>
        </w:rPr>
        <w:t>万元，占1.6%；金融（类）支出2,473.64万元，占</w:t>
      </w:r>
      <w:r>
        <w:rPr>
          <w:rFonts w:hint="eastAsia" w:ascii="Times New Roman" w:eastAsia="仿宋_GB2312"/>
          <w:sz w:val="32"/>
          <w:szCs w:val="32"/>
          <w:lang w:val="en-US" w:eastAsia="zh-CN"/>
        </w:rPr>
        <w:t>92.67</w:t>
      </w:r>
      <w:r>
        <w:rPr>
          <w:rFonts w:ascii="Times New Roman" w:eastAsia="仿宋_GB2312"/>
          <w:sz w:val="32"/>
          <w:szCs w:val="32"/>
        </w:rPr>
        <w:t>%；住房保障（类）支出82.55万元，占3.1%。</w:t>
      </w:r>
    </w:p>
    <w:p>
      <w:pPr>
        <w:widowControl/>
        <w:spacing w:line="360" w:lineRule="auto"/>
        <w:ind w:firstLine="642" w:firstLineChars="200"/>
        <w:jc w:val="left"/>
        <w:rPr>
          <w:rFonts w:hint="eastAsia" w:ascii="Times New Roman" w:eastAsia="仿宋_GB2312"/>
          <w:sz w:val="32"/>
          <w:szCs w:val="32"/>
          <w:lang w:eastAsia="zh-CN"/>
        </w:rPr>
      </w:pPr>
      <w:r>
        <w:rPr>
          <w:rFonts w:ascii="Times New Roman" w:eastAsia="仿宋_GB2312"/>
          <w:b/>
          <w:sz w:val="32"/>
          <w:szCs w:val="32"/>
        </w:rPr>
        <w:t>政府性基金预算财政拨款支出：</w:t>
      </w:r>
      <w:r>
        <w:rPr>
          <w:rFonts w:hint="eastAsia" w:ascii="Times New Roman" w:eastAsia="仿宋_GB2312"/>
          <w:b/>
          <w:sz w:val="32"/>
          <w:szCs w:val="32"/>
          <w:lang w:eastAsia="zh-CN"/>
        </w:rPr>
        <w:t>无</w:t>
      </w:r>
    </w:p>
    <w:p>
      <w:pPr>
        <w:widowControl/>
        <w:spacing w:line="360" w:lineRule="auto"/>
        <w:ind w:firstLine="642" w:firstLineChars="200"/>
        <w:jc w:val="left"/>
        <w:rPr>
          <w:rFonts w:hint="eastAsia" w:ascii="Times New Roman" w:eastAsia="仿宋_GB2312"/>
          <w:sz w:val="32"/>
          <w:szCs w:val="32"/>
          <w:lang w:eastAsia="zh-CN"/>
        </w:rPr>
      </w:pPr>
      <w:r>
        <w:rPr>
          <w:rFonts w:ascii="Times New Roman" w:eastAsia="仿宋_GB2312"/>
          <w:b/>
          <w:sz w:val="32"/>
          <w:szCs w:val="32"/>
        </w:rPr>
        <w:t>国有资本经营预算财政拨款支出：</w:t>
      </w:r>
      <w:r>
        <w:rPr>
          <w:rFonts w:hint="eastAsia" w:ascii="Times New Roman" w:eastAsia="仿宋_GB2312"/>
          <w:b/>
          <w:sz w:val="32"/>
          <w:szCs w:val="32"/>
          <w:lang w:eastAsia="zh-CN"/>
        </w:rPr>
        <w:t>无</w:t>
      </w:r>
    </w:p>
    <w:p>
      <w:pPr>
        <w:widowControl/>
        <w:spacing w:line="360" w:lineRule="auto"/>
        <w:ind w:firstLine="642" w:firstLineChars="200"/>
        <w:jc w:val="left"/>
        <w:rPr>
          <w:rFonts w:ascii="Times New Roman" w:eastAsia="楷体_GB2312"/>
          <w:sz w:val="32"/>
          <w:szCs w:val="32"/>
        </w:rPr>
      </w:pPr>
      <w:r>
        <w:rPr>
          <w:rFonts w:ascii="Times New Roman" w:eastAsia="楷体_GB2312"/>
          <w:b/>
          <w:sz w:val="32"/>
          <w:szCs w:val="32"/>
        </w:rPr>
        <w:t>（四）一般公共预算财政拨款基本支出决算情况说明</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2025年度财政拨款基本支出1,063.03万元，其中：</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人员经费949.80万元，主要包括基本工资、津贴补贴、奖金、机关事业部门基本养老保险缴费、职业年金缴费、职工基本医疗保险缴费、公务员医疗补助缴费、住房公积金、退休费支出。</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公用经费113.23万元，主要包括办公费</w:t>
      </w:r>
      <w:r>
        <w:rPr>
          <w:rFonts w:hint="eastAsia" w:ascii="Times New Roman" w:eastAsia="仿宋_GB2312"/>
          <w:sz w:val="32"/>
          <w:szCs w:val="32"/>
          <w:lang w:eastAsia="zh-CN"/>
        </w:rPr>
        <w:t>、</w:t>
      </w:r>
      <w:r>
        <w:rPr>
          <w:rFonts w:ascii="Times New Roman" w:eastAsia="仿宋_GB2312"/>
          <w:sz w:val="32"/>
          <w:szCs w:val="32"/>
        </w:rPr>
        <w:t>邮电费、差旅费、会议费、培训费、工会经费、福利费、公务用车运行维护费、其他交通费用、其他商品和服务支出。</w:t>
      </w:r>
    </w:p>
    <w:p>
      <w:pPr>
        <w:widowControl/>
        <w:spacing w:line="360" w:lineRule="auto"/>
        <w:ind w:firstLine="640" w:firstLineChars="200"/>
        <w:jc w:val="left"/>
        <w:outlineLvl w:val="1"/>
        <w:rPr>
          <w:rFonts w:ascii="Times New Roman" w:eastAsia="黑体"/>
          <w:sz w:val="32"/>
          <w:szCs w:val="32"/>
        </w:rPr>
      </w:pPr>
      <w:r>
        <w:rPr>
          <w:rFonts w:ascii="Times New Roman" w:eastAsia="黑体"/>
          <w:sz w:val="32"/>
          <w:szCs w:val="32"/>
        </w:rPr>
        <w:t>五、财政拨款“三公” 经费支出决算情况说明</w:t>
      </w:r>
    </w:p>
    <w:p>
      <w:pPr>
        <w:widowControl/>
        <w:spacing w:line="360" w:lineRule="auto"/>
        <w:ind w:firstLine="642" w:firstLineChars="200"/>
        <w:jc w:val="left"/>
        <w:rPr>
          <w:rFonts w:ascii="Times New Roman" w:eastAsia="楷体_GB2312"/>
          <w:sz w:val="32"/>
          <w:szCs w:val="32"/>
          <w:highlight w:val="none"/>
        </w:rPr>
      </w:pPr>
      <w:r>
        <w:rPr>
          <w:rFonts w:ascii="Times New Roman" w:eastAsia="楷体_GB2312"/>
          <w:b/>
          <w:sz w:val="32"/>
          <w:szCs w:val="32"/>
          <w:highlight w:val="none"/>
        </w:rPr>
        <w:t>（一）“三公”经费财政拨款支出决算总体情况说明</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w:t>
      </w:r>
      <w:r>
        <w:rPr>
          <w:rFonts w:hint="eastAsia" w:ascii="Times New Roman" w:eastAsia="仿宋_GB2312"/>
          <w:sz w:val="32"/>
          <w:szCs w:val="32"/>
          <w:lang w:eastAsia="zh-CN"/>
        </w:rPr>
        <w:t>部门</w:t>
      </w:r>
      <w:r>
        <w:rPr>
          <w:rFonts w:ascii="Times New Roman" w:eastAsia="仿宋_GB2312"/>
          <w:sz w:val="32"/>
          <w:szCs w:val="32"/>
        </w:rPr>
        <w:t>2025年度“三公”经费财政拨款支出预算为3.99万元，支出决算为3.51万元，完成预算的88</w:t>
      </w:r>
      <w:r>
        <w:rPr>
          <w:rFonts w:hint="default" w:ascii="Times New Roman" w:eastAsia="仿宋_GB2312"/>
          <w:sz w:val="32"/>
          <w:szCs w:val="32"/>
          <w:lang w:val="en"/>
        </w:rPr>
        <w:t>.0</w:t>
      </w:r>
      <w:r>
        <w:rPr>
          <w:rFonts w:ascii="Times New Roman" w:eastAsia="仿宋_GB2312"/>
          <w:sz w:val="32"/>
          <w:szCs w:val="32"/>
        </w:rPr>
        <w:t>%，较预算减少0.48万元，降低12</w:t>
      </w:r>
      <w:r>
        <w:rPr>
          <w:rFonts w:hint="default" w:ascii="Times New Roman" w:eastAsia="仿宋_GB2312"/>
          <w:sz w:val="32"/>
          <w:szCs w:val="32"/>
          <w:lang w:val="en"/>
        </w:rPr>
        <w:t>.0</w:t>
      </w:r>
      <w:r>
        <w:rPr>
          <w:rFonts w:ascii="Times New Roman" w:eastAsia="仿宋_GB2312"/>
          <w:sz w:val="32"/>
          <w:szCs w:val="32"/>
        </w:rPr>
        <w:t>%，主要原因是</w:t>
      </w:r>
      <w:r>
        <w:rPr>
          <w:rFonts w:hint="eastAsia" w:ascii="Times New Roman" w:eastAsia="仿宋_GB2312"/>
          <w:sz w:val="32"/>
          <w:szCs w:val="32"/>
        </w:rPr>
        <w:t>从严控制“三公”经费开支</w:t>
      </w:r>
      <w:r>
        <w:rPr>
          <w:rFonts w:ascii="Times New Roman" w:eastAsia="仿宋_GB2312"/>
          <w:sz w:val="32"/>
          <w:szCs w:val="32"/>
        </w:rPr>
        <w:t>；较2024年度决算增加1.01万元，增长40.4%，主要原因是</w:t>
      </w:r>
      <w:r>
        <w:rPr>
          <w:rFonts w:hint="eastAsia" w:ascii="Times New Roman" w:eastAsia="仿宋_GB2312"/>
          <w:sz w:val="32"/>
          <w:szCs w:val="32"/>
          <w:lang w:eastAsia="zh-CN"/>
        </w:rPr>
        <w:t>增加了2025年度因公出国（境）经费</w:t>
      </w:r>
      <w:r>
        <w:rPr>
          <w:rFonts w:ascii="Times New Roman" w:eastAsia="仿宋_GB2312"/>
          <w:sz w:val="32"/>
          <w:szCs w:val="32"/>
        </w:rPr>
        <w:t>。</w:t>
      </w:r>
    </w:p>
    <w:p>
      <w:pPr>
        <w:widowControl/>
        <w:spacing w:line="360" w:lineRule="auto"/>
        <w:ind w:firstLine="642"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pPr>
        <w:widowControl/>
        <w:spacing w:line="360" w:lineRule="auto"/>
        <w:ind w:firstLine="642" w:firstLineChars="200"/>
        <w:jc w:val="left"/>
        <w:rPr>
          <w:rFonts w:ascii="Times New Roman" w:eastAsia="仿宋_GB2312"/>
          <w:sz w:val="32"/>
          <w:szCs w:val="32"/>
        </w:rPr>
      </w:pPr>
      <w:r>
        <w:rPr>
          <w:rFonts w:ascii="Times New Roman" w:eastAsia="楷体_GB2312"/>
          <w:b/>
          <w:sz w:val="32"/>
          <w:szCs w:val="32"/>
        </w:rPr>
        <w:t>1.因公出国（境）费支出情况。</w:t>
      </w:r>
      <w:r>
        <w:rPr>
          <w:rFonts w:ascii="Times New Roman" w:eastAsia="仿宋_GB2312"/>
          <w:sz w:val="32"/>
          <w:szCs w:val="32"/>
        </w:rPr>
        <w:t>本</w:t>
      </w:r>
      <w:r>
        <w:rPr>
          <w:rFonts w:hint="eastAsia" w:ascii="Times New Roman" w:eastAsia="仿宋_GB2312"/>
          <w:sz w:val="32"/>
          <w:szCs w:val="32"/>
          <w:lang w:eastAsia="zh-CN"/>
        </w:rPr>
        <w:t>部门</w:t>
      </w:r>
      <w:r>
        <w:rPr>
          <w:rFonts w:ascii="Times New Roman" w:eastAsia="仿宋_GB2312"/>
          <w:sz w:val="32"/>
          <w:szCs w:val="32"/>
        </w:rPr>
        <w:t>2025年度因公出国（境）费支出预算为1.21万元,支出决算1.21万元。完成预算的100</w:t>
      </w:r>
      <w:r>
        <w:rPr>
          <w:rFonts w:hint="default" w:ascii="Times New Roman" w:eastAsia="仿宋_GB2312"/>
          <w:sz w:val="32"/>
          <w:szCs w:val="32"/>
          <w:lang w:val="en"/>
        </w:rPr>
        <w:t>.0</w:t>
      </w:r>
      <w:r>
        <w:rPr>
          <w:rFonts w:ascii="Times New Roman" w:eastAsia="仿宋_GB2312"/>
          <w:sz w:val="32"/>
          <w:szCs w:val="32"/>
        </w:rPr>
        <w:t>%。因公出国（境）费支出较预算增加0万元，增长0</w:t>
      </w:r>
      <w:r>
        <w:rPr>
          <w:rFonts w:hint="default" w:ascii="Times New Roman" w:eastAsia="仿宋_GB2312"/>
          <w:sz w:val="32"/>
          <w:szCs w:val="32"/>
          <w:lang w:val="en"/>
        </w:rPr>
        <w:t>.0</w:t>
      </w:r>
      <w:r>
        <w:rPr>
          <w:rFonts w:ascii="Times New Roman" w:eastAsia="仿宋_GB2312"/>
          <w:sz w:val="32"/>
          <w:szCs w:val="32"/>
        </w:rPr>
        <w:t>%,主要原因是</w:t>
      </w:r>
      <w:r>
        <w:rPr>
          <w:rFonts w:hint="eastAsia" w:ascii="Times New Roman" w:eastAsia="仿宋_GB2312"/>
          <w:sz w:val="32"/>
          <w:szCs w:val="32"/>
          <w:lang w:eastAsia="zh-CN"/>
        </w:rPr>
        <w:t>工作需要</w:t>
      </w:r>
      <w:r>
        <w:rPr>
          <w:rFonts w:ascii="Times New Roman" w:eastAsia="仿宋_GB2312"/>
          <w:sz w:val="32"/>
          <w:szCs w:val="32"/>
        </w:rPr>
        <w:t>；较上年增加1.21万元，增长100</w:t>
      </w:r>
      <w:r>
        <w:rPr>
          <w:rFonts w:hint="default" w:ascii="Times New Roman" w:eastAsia="仿宋_GB2312"/>
          <w:sz w:val="32"/>
          <w:szCs w:val="32"/>
          <w:lang w:val="en"/>
        </w:rPr>
        <w:t>.0</w:t>
      </w:r>
      <w:r>
        <w:rPr>
          <w:rFonts w:ascii="Times New Roman" w:eastAsia="仿宋_GB2312"/>
          <w:sz w:val="32"/>
          <w:szCs w:val="32"/>
        </w:rPr>
        <w:t>%,主要原因是</w:t>
      </w:r>
      <w:r>
        <w:rPr>
          <w:rFonts w:hint="eastAsia" w:ascii="Times New Roman" w:eastAsia="仿宋_GB2312"/>
          <w:sz w:val="32"/>
          <w:szCs w:val="32"/>
          <w:lang w:eastAsia="zh-CN"/>
        </w:rPr>
        <w:t>工作需要</w:t>
      </w:r>
      <w:r>
        <w:rPr>
          <w:rFonts w:ascii="Times New Roman" w:eastAsia="仿宋_GB2312"/>
          <w:sz w:val="32"/>
          <w:szCs w:val="32"/>
        </w:rPr>
        <w:t>。因公出国（境）团组1个、共1人、参加其他</w:t>
      </w:r>
      <w:r>
        <w:rPr>
          <w:rFonts w:hint="eastAsia" w:ascii="Times New Roman" w:eastAsia="仿宋_GB2312"/>
          <w:sz w:val="32"/>
          <w:szCs w:val="32"/>
          <w:lang w:eastAsia="zh-CN"/>
        </w:rPr>
        <w:t>单位</w:t>
      </w:r>
      <w:r>
        <w:rPr>
          <w:rFonts w:ascii="Times New Roman" w:eastAsia="仿宋_GB2312"/>
          <w:sz w:val="32"/>
          <w:szCs w:val="32"/>
        </w:rPr>
        <w:t>组织的因公出国（境）团组</w:t>
      </w:r>
      <w:r>
        <w:rPr>
          <w:rFonts w:hint="eastAsia" w:ascii="Times New Roman" w:eastAsia="仿宋_GB2312"/>
          <w:sz w:val="32"/>
          <w:szCs w:val="32"/>
          <w:lang w:val="en-US" w:eastAsia="zh-CN"/>
        </w:rPr>
        <w:t>1</w:t>
      </w:r>
      <w:r>
        <w:rPr>
          <w:rFonts w:ascii="Times New Roman" w:eastAsia="仿宋_GB2312"/>
          <w:sz w:val="32"/>
          <w:szCs w:val="32"/>
        </w:rPr>
        <w:t>个、共</w:t>
      </w:r>
      <w:r>
        <w:rPr>
          <w:rFonts w:hint="eastAsia" w:ascii="Times New Roman" w:eastAsia="仿宋_GB2312"/>
          <w:sz w:val="32"/>
          <w:szCs w:val="32"/>
          <w:lang w:val="en-US" w:eastAsia="zh-CN"/>
        </w:rPr>
        <w:t>1</w:t>
      </w:r>
      <w:r>
        <w:rPr>
          <w:rFonts w:ascii="Times New Roman" w:eastAsia="仿宋_GB2312"/>
          <w:sz w:val="32"/>
          <w:szCs w:val="32"/>
        </w:rPr>
        <w:t>人。</w:t>
      </w:r>
    </w:p>
    <w:p>
      <w:pPr>
        <w:widowControl/>
        <w:spacing w:line="360" w:lineRule="auto"/>
        <w:ind w:firstLine="642" w:firstLineChars="200"/>
        <w:jc w:val="left"/>
        <w:rPr>
          <w:rFonts w:ascii="Times New Roman" w:eastAsia="仿宋_GB2312"/>
          <w:sz w:val="32"/>
          <w:szCs w:val="32"/>
        </w:rPr>
      </w:pPr>
      <w:r>
        <w:rPr>
          <w:rFonts w:ascii="Times New Roman" w:eastAsia="楷体_GB2312"/>
          <w:b/>
          <w:sz w:val="32"/>
          <w:szCs w:val="32"/>
        </w:rPr>
        <w:t>2.公务用车购置及运行维护费支出情况。</w:t>
      </w:r>
      <w:r>
        <w:rPr>
          <w:rFonts w:ascii="Times New Roman" w:eastAsia="仿宋_GB2312"/>
          <w:sz w:val="32"/>
          <w:szCs w:val="32"/>
        </w:rPr>
        <w:t>本</w:t>
      </w:r>
      <w:r>
        <w:rPr>
          <w:rFonts w:hint="eastAsia" w:ascii="Times New Roman" w:eastAsia="仿宋_GB2312"/>
          <w:sz w:val="32"/>
          <w:szCs w:val="32"/>
          <w:lang w:eastAsia="zh-CN"/>
        </w:rPr>
        <w:t>部门</w:t>
      </w:r>
      <w:r>
        <w:rPr>
          <w:rFonts w:ascii="Times New Roman" w:eastAsia="仿宋_GB2312"/>
          <w:sz w:val="32"/>
          <w:szCs w:val="32"/>
        </w:rPr>
        <w:t>2025年度公务用车购置及运行维护费预算为2.3</w:t>
      </w:r>
      <w:r>
        <w:rPr>
          <w:rFonts w:hint="default" w:ascii="Times New Roman" w:eastAsia="仿宋_GB2312"/>
          <w:sz w:val="32"/>
          <w:szCs w:val="32"/>
          <w:lang w:val="en"/>
        </w:rPr>
        <w:t>0</w:t>
      </w:r>
      <w:r>
        <w:rPr>
          <w:rFonts w:ascii="Times New Roman" w:eastAsia="仿宋_GB2312"/>
          <w:sz w:val="32"/>
          <w:szCs w:val="32"/>
        </w:rPr>
        <w:t>万元，支出决算2.3</w:t>
      </w:r>
      <w:r>
        <w:rPr>
          <w:rFonts w:hint="default" w:ascii="Times New Roman" w:eastAsia="仿宋_GB2312"/>
          <w:sz w:val="32"/>
          <w:szCs w:val="32"/>
          <w:lang w:val="en"/>
        </w:rPr>
        <w:t>0</w:t>
      </w:r>
      <w:r>
        <w:rPr>
          <w:rFonts w:ascii="Times New Roman" w:eastAsia="仿宋_GB2312"/>
          <w:sz w:val="32"/>
          <w:szCs w:val="32"/>
        </w:rPr>
        <w:t>万元，完成预算的100</w:t>
      </w:r>
      <w:r>
        <w:rPr>
          <w:rFonts w:hint="default" w:ascii="Times New Roman" w:eastAsia="仿宋_GB2312"/>
          <w:sz w:val="32"/>
          <w:szCs w:val="32"/>
          <w:lang w:val="en"/>
        </w:rPr>
        <w:t>.0</w:t>
      </w:r>
      <w:r>
        <w:rPr>
          <w:rFonts w:ascii="Times New Roman" w:eastAsia="仿宋_GB2312"/>
          <w:sz w:val="32"/>
          <w:szCs w:val="32"/>
        </w:rPr>
        <w:t>%,</w:t>
      </w:r>
      <w:r>
        <w:rPr>
          <w:rFonts w:hint="eastAsia" w:ascii="Times New Roman" w:eastAsia="仿宋_GB2312"/>
          <w:sz w:val="32"/>
          <w:szCs w:val="32"/>
        </w:rPr>
        <w:t>与预算持平,无增减变化，主要原因是合理预计支出；</w:t>
      </w:r>
      <w:r>
        <w:rPr>
          <w:rFonts w:ascii="Times New Roman" w:eastAsia="仿宋_GB2312"/>
          <w:sz w:val="32"/>
          <w:szCs w:val="32"/>
        </w:rPr>
        <w:t>较上年减少0.2万元，降低8</w:t>
      </w:r>
      <w:r>
        <w:rPr>
          <w:rFonts w:hint="default" w:ascii="Times New Roman" w:eastAsia="仿宋_GB2312"/>
          <w:sz w:val="32"/>
          <w:szCs w:val="32"/>
          <w:lang w:val="en"/>
        </w:rPr>
        <w:t>.0</w:t>
      </w:r>
      <w:r>
        <w:rPr>
          <w:rFonts w:ascii="Times New Roman" w:eastAsia="仿宋_GB2312"/>
          <w:sz w:val="32"/>
          <w:szCs w:val="32"/>
        </w:rPr>
        <w:t>%,主要原因是</w:t>
      </w:r>
      <w:r>
        <w:rPr>
          <w:rFonts w:hint="eastAsia" w:ascii="Times New Roman" w:eastAsia="仿宋_GB2312"/>
          <w:b w:val="0"/>
          <w:sz w:val="32"/>
          <w:szCs w:val="32"/>
          <w:lang w:eastAsia="zh-CN"/>
        </w:rPr>
        <w:t>厉行勤俭节约</w:t>
      </w:r>
      <w:r>
        <w:rPr>
          <w:rFonts w:ascii="Times New Roman" w:eastAsia="仿宋_GB2312"/>
          <w:sz w:val="32"/>
          <w:szCs w:val="32"/>
        </w:rPr>
        <w:t>。其中：</w:t>
      </w:r>
    </w:p>
    <w:p>
      <w:pPr>
        <w:widowControl/>
        <w:spacing w:line="360" w:lineRule="auto"/>
        <w:ind w:firstLine="642" w:firstLineChars="200"/>
        <w:jc w:val="left"/>
        <w:rPr>
          <w:rFonts w:ascii="Times New Roman" w:eastAsia="仿宋_GB2312"/>
          <w:sz w:val="32"/>
          <w:szCs w:val="32"/>
        </w:rPr>
      </w:pPr>
      <w:r>
        <w:rPr>
          <w:rFonts w:ascii="Times New Roman" w:eastAsia="仿宋_GB2312"/>
          <w:b/>
          <w:sz w:val="32"/>
          <w:szCs w:val="32"/>
        </w:rPr>
        <w:t>公务用车购置费支出0万元：</w:t>
      </w:r>
      <w:r>
        <w:rPr>
          <w:rFonts w:ascii="Times New Roman" w:eastAsia="仿宋_GB2312"/>
          <w:sz w:val="32"/>
          <w:szCs w:val="32"/>
        </w:rPr>
        <w:t>本</w:t>
      </w:r>
      <w:r>
        <w:rPr>
          <w:rFonts w:hint="eastAsia" w:ascii="Times New Roman" w:eastAsia="仿宋_GB2312"/>
          <w:sz w:val="32"/>
          <w:szCs w:val="32"/>
          <w:lang w:eastAsia="zh-CN"/>
        </w:rPr>
        <w:t>部门</w:t>
      </w:r>
      <w:r>
        <w:rPr>
          <w:rFonts w:ascii="Times New Roman" w:eastAsia="仿宋_GB2312"/>
          <w:sz w:val="32"/>
          <w:szCs w:val="32"/>
        </w:rPr>
        <w:t>2025年度公务用车购置量0辆。</w:t>
      </w:r>
      <w:r>
        <w:rPr>
          <w:rFonts w:hint="eastAsia" w:ascii="Times New Roman" w:eastAsia="仿宋_GB2312"/>
          <w:sz w:val="32"/>
          <w:szCs w:val="32"/>
        </w:rPr>
        <w:t>公务用车购置费支出与年初预算持平,主要是严格落实了过紧日子的要求</w:t>
      </w:r>
      <w:r>
        <w:rPr>
          <w:rFonts w:ascii="Times New Roman" w:eastAsia="仿宋_GB2312"/>
          <w:sz w:val="32"/>
          <w:szCs w:val="32"/>
        </w:rPr>
        <w:t>；</w:t>
      </w:r>
      <w:r>
        <w:rPr>
          <w:rFonts w:hint="eastAsia" w:ascii="Times New Roman" w:eastAsia="仿宋_GB2312"/>
          <w:sz w:val="32"/>
          <w:szCs w:val="32"/>
        </w:rPr>
        <w:t>202</w:t>
      </w:r>
      <w:r>
        <w:rPr>
          <w:rFonts w:hint="eastAsia" w:ascii="Times New Roman" w:eastAsia="仿宋_GB2312"/>
          <w:sz w:val="32"/>
          <w:szCs w:val="32"/>
          <w:lang w:val="en-US" w:eastAsia="zh-CN"/>
        </w:rPr>
        <w:t>5</w:t>
      </w:r>
      <w:r>
        <w:rPr>
          <w:rFonts w:hint="eastAsia" w:ascii="Times New Roman" w:eastAsia="仿宋_GB2312"/>
          <w:sz w:val="32"/>
          <w:szCs w:val="32"/>
        </w:rPr>
        <w:t>年度未购置公务用车；与202</w:t>
      </w:r>
      <w:r>
        <w:rPr>
          <w:rFonts w:hint="eastAsia" w:ascii="Times New Roman" w:eastAsia="仿宋_GB2312"/>
          <w:sz w:val="32"/>
          <w:szCs w:val="32"/>
          <w:lang w:val="en-US" w:eastAsia="zh-CN"/>
        </w:rPr>
        <w:t>4</w:t>
      </w:r>
      <w:r>
        <w:rPr>
          <w:rFonts w:hint="eastAsia" w:ascii="Times New Roman" w:eastAsia="仿宋_GB2312"/>
          <w:sz w:val="32"/>
          <w:szCs w:val="32"/>
        </w:rPr>
        <w:t>年度决算支出持平，主要是严格落实了过紧日子的要求，202</w:t>
      </w:r>
      <w:r>
        <w:rPr>
          <w:rFonts w:hint="eastAsia" w:ascii="Times New Roman" w:eastAsia="仿宋_GB2312"/>
          <w:sz w:val="32"/>
          <w:szCs w:val="32"/>
          <w:lang w:val="en-US" w:eastAsia="zh-CN"/>
        </w:rPr>
        <w:t>5</w:t>
      </w:r>
      <w:r>
        <w:rPr>
          <w:rFonts w:hint="eastAsia" w:ascii="Times New Roman" w:eastAsia="仿宋_GB2312"/>
          <w:sz w:val="32"/>
          <w:szCs w:val="32"/>
        </w:rPr>
        <w:t>年度未购置公务用车。</w:t>
      </w:r>
    </w:p>
    <w:p>
      <w:pPr>
        <w:widowControl/>
        <w:spacing w:line="360" w:lineRule="auto"/>
        <w:ind w:firstLine="642" w:firstLineChars="200"/>
        <w:jc w:val="left"/>
        <w:rPr>
          <w:rFonts w:ascii="Times New Roman" w:eastAsia="仿宋_GB2312"/>
          <w:sz w:val="32"/>
          <w:szCs w:val="32"/>
        </w:rPr>
      </w:pPr>
      <w:r>
        <w:rPr>
          <w:rFonts w:ascii="Times New Roman" w:eastAsia="仿宋_GB2312"/>
          <w:b/>
          <w:sz w:val="32"/>
          <w:szCs w:val="32"/>
        </w:rPr>
        <w:t>公务用车运行维护费支出2.3</w:t>
      </w:r>
      <w:r>
        <w:rPr>
          <w:rFonts w:hint="default" w:ascii="Times New Roman" w:eastAsia="仿宋_GB2312"/>
          <w:b/>
          <w:sz w:val="32"/>
          <w:szCs w:val="32"/>
          <w:lang w:val="en"/>
        </w:rPr>
        <w:t>0</w:t>
      </w:r>
      <w:r>
        <w:rPr>
          <w:rFonts w:ascii="Times New Roman" w:eastAsia="仿宋_GB2312"/>
          <w:b/>
          <w:sz w:val="32"/>
          <w:szCs w:val="32"/>
        </w:rPr>
        <w:t>万元：</w:t>
      </w:r>
      <w:r>
        <w:rPr>
          <w:rFonts w:ascii="Times New Roman" w:eastAsia="仿宋_GB2312"/>
          <w:sz w:val="32"/>
          <w:szCs w:val="32"/>
        </w:rPr>
        <w:t>本</w:t>
      </w:r>
      <w:r>
        <w:rPr>
          <w:rFonts w:hint="eastAsia" w:ascii="Times New Roman" w:eastAsia="仿宋_GB2312"/>
          <w:sz w:val="32"/>
          <w:szCs w:val="32"/>
          <w:lang w:eastAsia="zh-CN"/>
        </w:rPr>
        <w:t>部门</w:t>
      </w:r>
      <w:r>
        <w:rPr>
          <w:rFonts w:ascii="Times New Roman" w:eastAsia="仿宋_GB2312"/>
          <w:sz w:val="32"/>
          <w:szCs w:val="32"/>
        </w:rPr>
        <w:t>2025年度</w:t>
      </w:r>
      <w:r>
        <w:rPr>
          <w:rFonts w:hint="eastAsia" w:ascii="Times New Roman" w:eastAsia="仿宋_GB2312"/>
          <w:sz w:val="32"/>
          <w:szCs w:val="32"/>
          <w:lang w:eastAsia="zh-CN"/>
        </w:rPr>
        <w:t>部门</w:t>
      </w:r>
      <w:r>
        <w:rPr>
          <w:rFonts w:ascii="Times New Roman" w:eastAsia="仿宋_GB2312"/>
          <w:sz w:val="32"/>
          <w:szCs w:val="32"/>
        </w:rPr>
        <w:t>公务用车保有量1辆，发生运行维护费支出2.3</w:t>
      </w:r>
      <w:r>
        <w:rPr>
          <w:rFonts w:hint="default" w:ascii="Times New Roman" w:eastAsia="仿宋_GB2312"/>
          <w:sz w:val="32"/>
          <w:szCs w:val="32"/>
          <w:lang w:val="en"/>
        </w:rPr>
        <w:t>0</w:t>
      </w:r>
      <w:r>
        <w:rPr>
          <w:rFonts w:ascii="Times New Roman" w:eastAsia="仿宋_GB2312"/>
          <w:sz w:val="32"/>
          <w:szCs w:val="32"/>
        </w:rPr>
        <w:t>万元。</w:t>
      </w:r>
      <w:r>
        <w:rPr>
          <w:rFonts w:hint="eastAsia" w:ascii="Times New Roman" w:eastAsia="仿宋_GB2312"/>
          <w:sz w:val="32"/>
          <w:szCs w:val="32"/>
        </w:rPr>
        <w:t>公车运行维护费支出与年初持平,无增减变化。主要原因是合理预计支出</w:t>
      </w:r>
      <w:r>
        <w:rPr>
          <w:rFonts w:ascii="Times New Roman" w:eastAsia="仿宋_GB2312"/>
          <w:sz w:val="32"/>
          <w:szCs w:val="32"/>
        </w:rPr>
        <w:t>；较上年减少0.2万元，降低8</w:t>
      </w:r>
      <w:r>
        <w:rPr>
          <w:rFonts w:hint="default" w:ascii="Times New Roman" w:eastAsia="仿宋_GB2312"/>
          <w:sz w:val="32"/>
          <w:szCs w:val="32"/>
          <w:lang w:val="en"/>
        </w:rPr>
        <w:t>.0</w:t>
      </w:r>
      <w:r>
        <w:rPr>
          <w:rFonts w:ascii="Times New Roman" w:eastAsia="仿宋_GB2312"/>
          <w:sz w:val="32"/>
          <w:szCs w:val="32"/>
        </w:rPr>
        <w:t>%，主要原因是</w:t>
      </w:r>
      <w:r>
        <w:rPr>
          <w:rFonts w:hint="eastAsia" w:ascii="Times New Roman" w:eastAsia="仿宋_GB2312"/>
          <w:sz w:val="32"/>
          <w:szCs w:val="32"/>
        </w:rPr>
        <w:t>是厉行勤俭节约</w:t>
      </w:r>
      <w:r>
        <w:rPr>
          <w:rFonts w:ascii="Times New Roman" w:eastAsia="仿宋_GB2312"/>
          <w:sz w:val="32"/>
          <w:szCs w:val="32"/>
        </w:rPr>
        <w:t>。</w:t>
      </w:r>
    </w:p>
    <w:p>
      <w:pPr>
        <w:widowControl/>
        <w:spacing w:line="360" w:lineRule="auto"/>
        <w:ind w:firstLine="642" w:firstLineChars="200"/>
        <w:jc w:val="left"/>
        <w:rPr>
          <w:rFonts w:ascii="Times New Roman" w:eastAsia="仿宋_GB2312"/>
          <w:sz w:val="32"/>
          <w:szCs w:val="32"/>
        </w:rPr>
      </w:pPr>
      <w:r>
        <w:rPr>
          <w:rFonts w:ascii="Times New Roman" w:eastAsia="楷体_GB2312"/>
          <w:b/>
          <w:sz w:val="32"/>
          <w:szCs w:val="32"/>
        </w:rPr>
        <w:t>3.公务接待费支出情况。</w:t>
      </w:r>
      <w:r>
        <w:rPr>
          <w:rFonts w:ascii="Times New Roman" w:eastAsia="仿宋_GB2312"/>
          <w:sz w:val="32"/>
          <w:szCs w:val="32"/>
        </w:rPr>
        <w:t>本</w:t>
      </w:r>
      <w:r>
        <w:rPr>
          <w:rFonts w:hint="eastAsia" w:ascii="Times New Roman" w:eastAsia="仿宋_GB2312"/>
          <w:sz w:val="32"/>
          <w:szCs w:val="32"/>
          <w:lang w:eastAsia="zh-CN"/>
        </w:rPr>
        <w:t>部门</w:t>
      </w:r>
      <w:r>
        <w:rPr>
          <w:rFonts w:ascii="Times New Roman" w:eastAsia="仿宋_GB2312"/>
          <w:sz w:val="32"/>
          <w:szCs w:val="32"/>
        </w:rPr>
        <w:t>2025年度公务接待费支出预算为0.48万元，支出决算0万元，完成预算的0</w:t>
      </w:r>
      <w:r>
        <w:rPr>
          <w:rFonts w:hint="default" w:ascii="Times New Roman" w:eastAsia="仿宋_GB2312"/>
          <w:sz w:val="32"/>
          <w:szCs w:val="32"/>
          <w:lang w:val="en"/>
        </w:rPr>
        <w:t>.0</w:t>
      </w:r>
      <w:r>
        <w:rPr>
          <w:rFonts w:ascii="Times New Roman" w:eastAsia="仿宋_GB2312"/>
          <w:sz w:val="32"/>
          <w:szCs w:val="32"/>
        </w:rPr>
        <w:t>%。公务接待费支出较预算减少0.48万元，降低100</w:t>
      </w:r>
      <w:r>
        <w:rPr>
          <w:rFonts w:hint="default" w:ascii="Times New Roman" w:eastAsia="仿宋_GB2312"/>
          <w:sz w:val="32"/>
          <w:szCs w:val="32"/>
          <w:lang w:val="en"/>
        </w:rPr>
        <w:t>.0</w:t>
      </w:r>
      <w:r>
        <w:rPr>
          <w:rFonts w:ascii="Times New Roman" w:eastAsia="仿宋_GB2312"/>
          <w:sz w:val="32"/>
          <w:szCs w:val="32"/>
        </w:rPr>
        <w:t>%,主要原因是</w:t>
      </w:r>
      <w:r>
        <w:rPr>
          <w:rFonts w:hint="eastAsia" w:ascii="Times New Roman" w:eastAsia="仿宋_GB2312"/>
          <w:sz w:val="32"/>
          <w:szCs w:val="32"/>
        </w:rPr>
        <w:t>从严控制公务接待费用，未发生“公务接待费支出”经费</w:t>
      </w:r>
      <w:r>
        <w:rPr>
          <w:rFonts w:ascii="Times New Roman" w:eastAsia="仿宋_GB2312"/>
          <w:sz w:val="32"/>
          <w:szCs w:val="32"/>
        </w:rPr>
        <w:t>；</w:t>
      </w:r>
      <w:r>
        <w:rPr>
          <w:rFonts w:hint="eastAsia" w:ascii="Times New Roman" w:eastAsia="仿宋_GB2312"/>
          <w:b w:val="0"/>
          <w:sz w:val="32"/>
          <w:szCs w:val="32"/>
        </w:rPr>
        <w:t>较上年度持平,主要是</w:t>
      </w:r>
      <w:r>
        <w:rPr>
          <w:rFonts w:hint="eastAsia" w:ascii="Times New Roman" w:eastAsia="仿宋_GB2312"/>
          <w:b w:val="0"/>
          <w:sz w:val="32"/>
          <w:szCs w:val="32"/>
          <w:lang w:val="en-US" w:eastAsia="zh-CN"/>
        </w:rPr>
        <w:t>2025</w:t>
      </w:r>
      <w:r>
        <w:rPr>
          <w:rFonts w:hint="eastAsia" w:ascii="Times New Roman" w:eastAsia="仿宋_GB2312"/>
          <w:b w:val="0"/>
          <w:sz w:val="32"/>
          <w:szCs w:val="32"/>
        </w:rPr>
        <w:t>年度从严控制公务接待费用，未发生“公务接待费支出”经费</w:t>
      </w:r>
      <w:r>
        <w:rPr>
          <w:rFonts w:ascii="Times New Roman" w:eastAsia="仿宋_GB2312"/>
          <w:b w:val="0"/>
          <w:sz w:val="32"/>
          <w:szCs w:val="32"/>
        </w:rPr>
        <w:t>。</w:t>
      </w:r>
      <w:r>
        <w:rPr>
          <w:rFonts w:hint="eastAsia" w:ascii="Times New Roman" w:eastAsia="仿宋_GB2312"/>
          <w:b w:val="0"/>
          <w:sz w:val="32"/>
          <w:szCs w:val="32"/>
        </w:rPr>
        <w:t>本年度共发生公务接待</w:t>
      </w:r>
      <w:r>
        <w:rPr>
          <w:rFonts w:hint="eastAsia" w:ascii="Times New Roman" w:eastAsia="仿宋_GB2312"/>
          <w:b w:val="0"/>
          <w:sz w:val="32"/>
          <w:szCs w:val="32"/>
          <w:lang w:val="en-US" w:eastAsia="zh-CN"/>
        </w:rPr>
        <w:t>0</w:t>
      </w:r>
      <w:r>
        <w:rPr>
          <w:rFonts w:hint="eastAsia" w:ascii="Times New Roman" w:eastAsia="仿宋_GB2312"/>
          <w:b w:val="0"/>
          <w:sz w:val="32"/>
          <w:szCs w:val="32"/>
        </w:rPr>
        <w:t>批次、</w:t>
      </w:r>
      <w:r>
        <w:rPr>
          <w:rFonts w:hint="eastAsia" w:ascii="Times New Roman" w:eastAsia="仿宋_GB2312"/>
          <w:b w:val="0"/>
          <w:sz w:val="32"/>
          <w:szCs w:val="32"/>
          <w:lang w:val="en-US" w:eastAsia="zh-CN"/>
        </w:rPr>
        <w:t>0</w:t>
      </w:r>
      <w:r>
        <w:rPr>
          <w:rFonts w:hint="eastAsia" w:ascii="Times New Roman" w:eastAsia="仿宋_GB2312"/>
          <w:b w:val="0"/>
          <w:sz w:val="32"/>
          <w:szCs w:val="32"/>
        </w:rPr>
        <w:t>人次。</w:t>
      </w:r>
    </w:p>
    <w:p>
      <w:pPr>
        <w:widowControl/>
        <w:spacing w:line="360" w:lineRule="auto"/>
        <w:ind w:firstLine="640" w:firstLineChars="200"/>
        <w:jc w:val="left"/>
        <w:outlineLvl w:val="1"/>
        <w:rPr>
          <w:rFonts w:ascii="Times New Roman" w:eastAsia="黑体"/>
          <w:sz w:val="32"/>
          <w:szCs w:val="32"/>
        </w:rPr>
      </w:pPr>
      <w:r>
        <w:rPr>
          <w:rFonts w:ascii="Times New Roman" w:eastAsia="黑体"/>
          <w:sz w:val="32"/>
          <w:szCs w:val="32"/>
        </w:rPr>
        <w:t>六、机关运行经费支出说明</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w:t>
      </w:r>
      <w:r>
        <w:rPr>
          <w:rFonts w:hint="eastAsia" w:ascii="Times New Roman" w:eastAsia="仿宋_GB2312"/>
          <w:sz w:val="32"/>
          <w:szCs w:val="32"/>
          <w:lang w:eastAsia="zh-CN"/>
        </w:rPr>
        <w:t>部门</w:t>
      </w:r>
      <w:r>
        <w:rPr>
          <w:rFonts w:ascii="Times New Roman" w:eastAsia="仿宋_GB2312"/>
          <w:sz w:val="32"/>
          <w:szCs w:val="32"/>
        </w:rPr>
        <w:t>2025年度机关运行经费支出113.23万元，较2024年度减少2.63万元，降低2.3%。主要原因是</w:t>
      </w:r>
      <w:r>
        <w:rPr>
          <w:rFonts w:hint="eastAsia" w:ascii="Times New Roman" w:eastAsia="仿宋_GB2312"/>
          <w:sz w:val="32"/>
          <w:szCs w:val="32"/>
          <w:lang w:eastAsia="zh-CN"/>
        </w:rPr>
        <w:t>厉行勤俭节约</w:t>
      </w:r>
      <w:r>
        <w:rPr>
          <w:rFonts w:ascii="Times New Roman" w:eastAsia="仿宋_GB2312"/>
          <w:sz w:val="32"/>
          <w:szCs w:val="32"/>
        </w:rPr>
        <w:t>。</w:t>
      </w:r>
    </w:p>
    <w:p>
      <w:pPr>
        <w:widowControl/>
        <w:spacing w:line="360" w:lineRule="auto"/>
        <w:ind w:firstLine="640" w:firstLineChars="200"/>
        <w:jc w:val="left"/>
        <w:outlineLvl w:val="1"/>
        <w:rPr>
          <w:rFonts w:ascii="Times New Roman" w:eastAsia="黑体"/>
          <w:sz w:val="32"/>
          <w:szCs w:val="32"/>
        </w:rPr>
      </w:pPr>
      <w:r>
        <w:rPr>
          <w:rFonts w:ascii="Times New Roman" w:eastAsia="黑体"/>
          <w:sz w:val="32"/>
          <w:szCs w:val="32"/>
        </w:rPr>
        <w:t>七、政府采购支出说明</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w:t>
      </w:r>
      <w:r>
        <w:rPr>
          <w:rFonts w:hint="eastAsia" w:ascii="Times New Roman" w:eastAsia="仿宋_GB2312"/>
          <w:sz w:val="32"/>
          <w:szCs w:val="32"/>
          <w:lang w:eastAsia="zh-CN"/>
        </w:rPr>
        <w:t>部门</w:t>
      </w:r>
      <w:r>
        <w:rPr>
          <w:rFonts w:ascii="Times New Roman" w:eastAsia="仿宋_GB2312"/>
          <w:sz w:val="32"/>
          <w:szCs w:val="32"/>
        </w:rPr>
        <w:t>2025年度政府采购支出总额3.6</w:t>
      </w:r>
      <w:r>
        <w:rPr>
          <w:rFonts w:hint="default" w:ascii="Times New Roman" w:eastAsia="仿宋_GB2312"/>
          <w:sz w:val="32"/>
          <w:szCs w:val="32"/>
          <w:lang w:val="en"/>
        </w:rPr>
        <w:t>0</w:t>
      </w:r>
      <w:r>
        <w:rPr>
          <w:rFonts w:ascii="Times New Roman" w:eastAsia="仿宋_GB2312"/>
          <w:sz w:val="32"/>
          <w:szCs w:val="32"/>
        </w:rPr>
        <w:t>万元，从采购类型来看，政府采购货物支出3.6</w:t>
      </w:r>
      <w:r>
        <w:rPr>
          <w:rFonts w:hint="default" w:ascii="Times New Roman" w:eastAsia="仿宋_GB2312"/>
          <w:sz w:val="32"/>
          <w:szCs w:val="32"/>
          <w:lang w:val="en"/>
        </w:rPr>
        <w:t>0</w:t>
      </w:r>
      <w:r>
        <w:rPr>
          <w:rFonts w:ascii="Times New Roman" w:eastAsia="仿宋_GB2312"/>
          <w:sz w:val="32"/>
          <w:szCs w:val="32"/>
        </w:rPr>
        <w:t>万元、政府采购工程支出0万元、政府采购服务支出0万元。授予中小企业合同金额3.6</w:t>
      </w:r>
      <w:r>
        <w:rPr>
          <w:rFonts w:hint="default" w:ascii="Times New Roman" w:eastAsia="仿宋_GB2312"/>
          <w:sz w:val="32"/>
          <w:szCs w:val="32"/>
          <w:lang w:val="en"/>
        </w:rPr>
        <w:t>0</w:t>
      </w:r>
      <w:r>
        <w:rPr>
          <w:rFonts w:ascii="Times New Roman" w:eastAsia="仿宋_GB2312"/>
          <w:sz w:val="32"/>
          <w:szCs w:val="32"/>
        </w:rPr>
        <w:t>万元，占政府采购支出总额的100</w:t>
      </w:r>
      <w:r>
        <w:rPr>
          <w:rFonts w:hint="default" w:ascii="Times New Roman" w:eastAsia="仿宋_GB2312"/>
          <w:sz w:val="32"/>
          <w:szCs w:val="32"/>
          <w:lang w:val="en"/>
        </w:rPr>
        <w:t>.0</w:t>
      </w:r>
      <w:r>
        <w:rPr>
          <w:rFonts w:ascii="Times New Roman" w:eastAsia="仿宋_GB2312"/>
          <w:sz w:val="32"/>
          <w:szCs w:val="32"/>
        </w:rPr>
        <w:t>%，其中授予小微企业合同金额3.6</w:t>
      </w:r>
      <w:r>
        <w:rPr>
          <w:rFonts w:hint="default" w:ascii="Times New Roman" w:eastAsia="仿宋_GB2312"/>
          <w:sz w:val="32"/>
          <w:szCs w:val="32"/>
          <w:lang w:val="en"/>
        </w:rPr>
        <w:t>0</w:t>
      </w:r>
      <w:r>
        <w:rPr>
          <w:rFonts w:ascii="Times New Roman" w:eastAsia="仿宋_GB2312"/>
          <w:sz w:val="32"/>
          <w:szCs w:val="32"/>
        </w:rPr>
        <w:t>万元，占政府采购支出总额的100</w:t>
      </w:r>
      <w:r>
        <w:rPr>
          <w:rFonts w:hint="default" w:ascii="Times New Roman" w:eastAsia="仿宋_GB2312"/>
          <w:sz w:val="32"/>
          <w:szCs w:val="32"/>
          <w:lang w:val="en"/>
        </w:rPr>
        <w:t>.0</w:t>
      </w:r>
      <w:r>
        <w:rPr>
          <w:rFonts w:ascii="Times New Roman" w:eastAsia="仿宋_GB2312"/>
          <w:sz w:val="32"/>
          <w:szCs w:val="32"/>
        </w:rPr>
        <w:t>%。</w:t>
      </w:r>
    </w:p>
    <w:p>
      <w:pPr>
        <w:widowControl/>
        <w:spacing w:line="360" w:lineRule="auto"/>
        <w:ind w:firstLine="640" w:firstLineChars="200"/>
        <w:jc w:val="left"/>
        <w:outlineLvl w:val="1"/>
        <w:rPr>
          <w:rFonts w:ascii="Times New Roman" w:eastAsia="黑体"/>
          <w:sz w:val="32"/>
          <w:szCs w:val="32"/>
        </w:rPr>
      </w:pPr>
      <w:r>
        <w:rPr>
          <w:rFonts w:ascii="Times New Roman" w:eastAsia="黑体"/>
          <w:sz w:val="32"/>
          <w:szCs w:val="32"/>
        </w:rPr>
        <w:t>八、国有资产占用情况说明</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截至2025年12月31日，本</w:t>
      </w:r>
      <w:r>
        <w:rPr>
          <w:rFonts w:hint="eastAsia" w:ascii="Times New Roman" w:eastAsia="仿宋_GB2312"/>
          <w:sz w:val="32"/>
          <w:szCs w:val="32"/>
          <w:lang w:eastAsia="zh-CN"/>
        </w:rPr>
        <w:t>部门</w:t>
      </w:r>
      <w:r>
        <w:rPr>
          <w:rFonts w:ascii="Times New Roman" w:eastAsia="仿宋_GB2312"/>
          <w:sz w:val="32"/>
          <w:szCs w:val="32"/>
        </w:rPr>
        <w:t>共有车辆1辆，</w:t>
      </w:r>
      <w:r>
        <w:rPr>
          <w:rFonts w:hint="eastAsia" w:ascii="Times New Roman" w:eastAsia="仿宋_GB2312"/>
          <w:sz w:val="32"/>
          <w:szCs w:val="32"/>
        </w:rPr>
        <w:t>与上年持平，主要原因是未购置公务用车</w:t>
      </w:r>
      <w:r>
        <w:rPr>
          <w:rFonts w:ascii="Times New Roman" w:eastAsia="仿宋_GB2312"/>
          <w:sz w:val="32"/>
          <w:szCs w:val="32"/>
        </w:rPr>
        <w:t>。其中，副部（省）级及以上领导用车0辆，主要负责人用车0辆，机要通信用车1辆，应急保障用车0辆，执法执勤用车0辆，特种专业技术用车0辆，离退休干部用车0辆，其他用车0辆，其他用车主要是。</w:t>
      </w:r>
      <w:r>
        <w:rPr>
          <w:rFonts w:hint="eastAsia" w:ascii="Times New Roman" w:eastAsia="仿宋_GB2312"/>
          <w:sz w:val="32"/>
          <w:szCs w:val="32"/>
          <w:lang w:eastAsia="zh-CN"/>
        </w:rPr>
        <w:t>部门</w:t>
      </w:r>
      <w:r>
        <w:rPr>
          <w:rFonts w:ascii="Times New Roman" w:eastAsia="仿宋_GB2312"/>
          <w:sz w:val="32"/>
          <w:szCs w:val="32"/>
        </w:rPr>
        <w:t>价值100万元（含）以上设备（不含车辆）0台（套）。</w:t>
      </w:r>
    </w:p>
    <w:p>
      <w:pPr>
        <w:widowControl/>
        <w:spacing w:line="360" w:lineRule="auto"/>
        <w:ind w:firstLine="640" w:firstLineChars="200"/>
        <w:jc w:val="left"/>
        <w:outlineLvl w:val="1"/>
        <w:rPr>
          <w:rFonts w:ascii="Times New Roman" w:eastAsia="黑体"/>
          <w:sz w:val="32"/>
          <w:szCs w:val="32"/>
        </w:rPr>
      </w:pPr>
      <w:r>
        <w:rPr>
          <w:rFonts w:ascii="Times New Roman" w:eastAsia="黑体"/>
          <w:sz w:val="32"/>
          <w:szCs w:val="32"/>
        </w:rPr>
        <w:t>九、关于2025年度绩效评价情况的说明</w:t>
      </w:r>
    </w:p>
    <w:p>
      <w:pPr>
        <w:widowControl/>
        <w:spacing w:line="360" w:lineRule="auto"/>
        <w:ind w:firstLine="642" w:firstLineChars="200"/>
        <w:jc w:val="left"/>
        <w:rPr>
          <w:rFonts w:ascii="Times New Roman" w:eastAsia="仿宋_GB2312"/>
          <w:sz w:val="32"/>
          <w:szCs w:val="32"/>
        </w:rPr>
      </w:pPr>
      <w:r>
        <w:rPr>
          <w:rFonts w:ascii="Times New Roman" w:eastAsia="仿宋_GB2312"/>
          <w:b/>
          <w:sz w:val="32"/>
          <w:szCs w:val="32"/>
        </w:rPr>
        <w:t>（一）绩效评价工作开展情况</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根据预算绩效管理要求，本</w:t>
      </w:r>
      <w:r>
        <w:rPr>
          <w:rFonts w:hint="eastAsia" w:ascii="Times New Roman" w:eastAsia="仿宋_GB2312"/>
          <w:sz w:val="32"/>
          <w:szCs w:val="32"/>
          <w:lang w:eastAsia="zh-CN"/>
        </w:rPr>
        <w:t>部门</w:t>
      </w:r>
      <w:r>
        <w:rPr>
          <w:rFonts w:ascii="Times New Roman" w:eastAsia="仿宋_GB2312"/>
          <w:sz w:val="32"/>
          <w:szCs w:val="32"/>
        </w:rPr>
        <w:t>组织对2025年度本级预算项目支出全面开展绩效自评，共涉及资金</w:t>
      </w:r>
      <w:r>
        <w:rPr>
          <w:rFonts w:hint="eastAsia" w:ascii="Times New Roman" w:eastAsia="仿宋_GB2312"/>
          <w:sz w:val="32"/>
          <w:szCs w:val="32"/>
          <w:lang w:val="en-US" w:eastAsia="zh-CN"/>
        </w:rPr>
        <w:t>1636.18</w:t>
      </w:r>
      <w:r>
        <w:rPr>
          <w:rFonts w:ascii="Times New Roman" w:eastAsia="仿宋_GB2312"/>
          <w:sz w:val="32"/>
          <w:szCs w:val="32"/>
        </w:rPr>
        <w:t>万元。其中，一般公共预算项目</w:t>
      </w:r>
      <w:r>
        <w:rPr>
          <w:rFonts w:hint="eastAsia" w:ascii="Times New Roman" w:eastAsia="仿宋_GB2312"/>
          <w:sz w:val="32"/>
          <w:szCs w:val="32"/>
          <w:lang w:val="en-US" w:eastAsia="zh-CN"/>
        </w:rPr>
        <w:t>15</w:t>
      </w:r>
      <w:r>
        <w:rPr>
          <w:rFonts w:ascii="Times New Roman" w:eastAsia="仿宋_GB2312"/>
          <w:sz w:val="32"/>
          <w:szCs w:val="32"/>
        </w:rPr>
        <w:t>个，涉及资金</w:t>
      </w:r>
      <w:r>
        <w:rPr>
          <w:rFonts w:hint="eastAsia" w:ascii="Times New Roman" w:eastAsia="仿宋_GB2312"/>
          <w:sz w:val="32"/>
          <w:szCs w:val="32"/>
          <w:lang w:val="en-US" w:eastAsia="zh-CN"/>
        </w:rPr>
        <w:t>1636.18</w:t>
      </w:r>
      <w:r>
        <w:rPr>
          <w:rFonts w:ascii="Times New Roman" w:eastAsia="仿宋_GB2312"/>
          <w:sz w:val="32"/>
          <w:szCs w:val="32"/>
        </w:rPr>
        <w:t>万元，占一般公共预算项目支出总额的</w:t>
      </w:r>
      <w:r>
        <w:rPr>
          <w:rFonts w:hint="eastAsia" w:ascii="Times New Roman" w:eastAsia="仿宋_GB2312"/>
          <w:sz w:val="32"/>
          <w:szCs w:val="32"/>
          <w:lang w:val="en-US" w:eastAsia="zh-CN"/>
        </w:rPr>
        <w:t>100</w:t>
      </w:r>
      <w:r>
        <w:rPr>
          <w:rFonts w:ascii="Times New Roman" w:eastAsia="仿宋_GB2312"/>
          <w:sz w:val="32"/>
          <w:szCs w:val="32"/>
        </w:rPr>
        <w:t>%；政府性基金预算项目</w:t>
      </w:r>
      <w:r>
        <w:rPr>
          <w:rFonts w:hint="eastAsia" w:ascii="Times New Roman" w:eastAsia="仿宋_GB2312"/>
          <w:sz w:val="32"/>
          <w:szCs w:val="32"/>
          <w:lang w:val="en-US" w:eastAsia="zh-CN"/>
        </w:rPr>
        <w:t>0</w:t>
      </w:r>
      <w:r>
        <w:rPr>
          <w:rFonts w:ascii="Times New Roman" w:eastAsia="仿宋_GB2312"/>
          <w:sz w:val="32"/>
          <w:szCs w:val="32"/>
        </w:rPr>
        <w:t>个，涉及资金</w:t>
      </w:r>
      <w:r>
        <w:rPr>
          <w:rFonts w:hint="eastAsia" w:ascii="Times New Roman" w:eastAsia="仿宋_GB2312"/>
          <w:sz w:val="32"/>
          <w:szCs w:val="32"/>
          <w:lang w:val="en-US" w:eastAsia="zh-CN"/>
        </w:rPr>
        <w:t>0</w:t>
      </w:r>
      <w:r>
        <w:rPr>
          <w:rFonts w:ascii="Times New Roman" w:eastAsia="仿宋_GB2312"/>
          <w:sz w:val="32"/>
          <w:szCs w:val="32"/>
        </w:rPr>
        <w:t>万元；国有资本经营预算项目</w:t>
      </w:r>
      <w:r>
        <w:rPr>
          <w:rFonts w:hint="eastAsia" w:ascii="Times New Roman" w:eastAsia="仿宋_GB2312"/>
          <w:sz w:val="32"/>
          <w:szCs w:val="32"/>
          <w:lang w:val="en-US" w:eastAsia="zh-CN"/>
        </w:rPr>
        <w:t>0</w:t>
      </w:r>
      <w:r>
        <w:rPr>
          <w:rFonts w:ascii="Times New Roman" w:eastAsia="仿宋_GB2312"/>
          <w:sz w:val="32"/>
          <w:szCs w:val="32"/>
        </w:rPr>
        <w:t>个，涉及资金</w:t>
      </w:r>
      <w:r>
        <w:rPr>
          <w:rFonts w:hint="eastAsia" w:ascii="Times New Roman" w:eastAsia="仿宋_GB2312"/>
          <w:sz w:val="32"/>
          <w:szCs w:val="32"/>
          <w:lang w:val="en-US" w:eastAsia="zh-CN"/>
        </w:rPr>
        <w:t>0</w:t>
      </w:r>
      <w:r>
        <w:rPr>
          <w:rFonts w:ascii="Times New Roman" w:eastAsia="仿宋_GB2312"/>
          <w:sz w:val="32"/>
          <w:szCs w:val="32"/>
        </w:rPr>
        <w:t>万元。</w:t>
      </w:r>
    </w:p>
    <w:p>
      <w:pPr>
        <w:widowControl/>
        <w:spacing w:line="360" w:lineRule="auto"/>
        <w:ind w:firstLine="642" w:firstLineChars="200"/>
        <w:jc w:val="left"/>
        <w:rPr>
          <w:rFonts w:ascii="Times New Roman" w:eastAsia="仿宋_GB2312"/>
          <w:sz w:val="32"/>
          <w:szCs w:val="32"/>
        </w:rPr>
      </w:pPr>
      <w:r>
        <w:rPr>
          <w:rFonts w:ascii="Times New Roman" w:eastAsia="仿宋_GB2312"/>
          <w:b/>
          <w:sz w:val="32"/>
          <w:szCs w:val="32"/>
        </w:rPr>
        <w:t>（二）部门决算中项目绩效自评结果</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本单</w:t>
      </w:r>
      <w:r>
        <w:rPr>
          <w:rFonts w:hint="eastAsia" w:ascii="Times New Roman" w:eastAsia="仿宋_GB2312"/>
          <w:sz w:val="32"/>
          <w:szCs w:val="32"/>
          <w:lang w:eastAsia="zh-CN"/>
        </w:rPr>
        <w:t>部门</w:t>
      </w:r>
      <w:r>
        <w:rPr>
          <w:rFonts w:ascii="Times New Roman" w:eastAsia="仿宋_GB2312"/>
          <w:sz w:val="32"/>
          <w:szCs w:val="32"/>
        </w:rPr>
        <w:t>在今年部门决算公开中反映</w:t>
      </w:r>
      <w:r>
        <w:rPr>
          <w:rFonts w:hint="eastAsia" w:ascii="Times New Roman" w:eastAsia="仿宋_GB2312"/>
          <w:sz w:val="32"/>
          <w:szCs w:val="32"/>
        </w:rPr>
        <w:t>“金十条”政策奖补资金</w:t>
      </w:r>
      <w:r>
        <w:rPr>
          <w:rFonts w:hint="eastAsia" w:ascii="Times New Roman" w:eastAsia="仿宋_GB2312"/>
          <w:sz w:val="32"/>
          <w:szCs w:val="32"/>
          <w:lang w:eastAsia="zh-CN"/>
        </w:rPr>
        <w:t>、《金融界》及融媒体提升金融影响力专项经费</w:t>
      </w:r>
      <w:r>
        <w:rPr>
          <w:rFonts w:ascii="Times New Roman" w:eastAsia="仿宋_GB2312"/>
          <w:sz w:val="32"/>
          <w:szCs w:val="32"/>
        </w:rPr>
        <w:t>等</w:t>
      </w:r>
      <w:r>
        <w:rPr>
          <w:rFonts w:hint="eastAsia" w:ascii="Times New Roman" w:eastAsia="仿宋_GB2312"/>
          <w:sz w:val="32"/>
          <w:szCs w:val="32"/>
          <w:lang w:val="en-US" w:eastAsia="zh-CN"/>
        </w:rPr>
        <w:t>15</w:t>
      </w:r>
      <w:r>
        <w:rPr>
          <w:rFonts w:ascii="Times New Roman" w:eastAsia="仿宋_GB2312"/>
          <w:sz w:val="32"/>
          <w:szCs w:val="32"/>
        </w:rPr>
        <w:t>个项目绩效自评结果。</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项目绩效自评情况：根据年初设定的绩效目标，项目绩效自评得分为分（绩效自评表附后）。全年预算数为</w:t>
      </w:r>
      <w:r>
        <w:rPr>
          <w:rFonts w:hint="eastAsia" w:ascii="Times New Roman" w:eastAsia="仿宋_GB2312"/>
          <w:sz w:val="32"/>
          <w:szCs w:val="32"/>
          <w:lang w:val="en-US" w:eastAsia="zh-CN"/>
        </w:rPr>
        <w:t>1639.76</w:t>
      </w:r>
      <w:r>
        <w:rPr>
          <w:rFonts w:ascii="Times New Roman" w:eastAsia="仿宋_GB2312"/>
          <w:sz w:val="32"/>
          <w:szCs w:val="32"/>
        </w:rPr>
        <w:t>万元，执行数为</w:t>
      </w:r>
      <w:r>
        <w:rPr>
          <w:rFonts w:hint="eastAsia" w:ascii="Times New Roman" w:eastAsia="仿宋_GB2312"/>
          <w:sz w:val="32"/>
          <w:szCs w:val="32"/>
          <w:lang w:val="en-US" w:eastAsia="zh-CN"/>
        </w:rPr>
        <w:t>1636.18</w:t>
      </w:r>
      <w:r>
        <w:rPr>
          <w:rFonts w:ascii="Times New Roman" w:eastAsia="仿宋_GB2312"/>
          <w:sz w:val="32"/>
          <w:szCs w:val="32"/>
        </w:rPr>
        <w:t>万元，完成预算的</w:t>
      </w:r>
      <w:r>
        <w:rPr>
          <w:rFonts w:hint="eastAsia" w:ascii="Times New Roman" w:eastAsia="仿宋_GB2312"/>
          <w:sz w:val="32"/>
          <w:szCs w:val="32"/>
          <w:lang w:val="en-US" w:eastAsia="zh-CN"/>
        </w:rPr>
        <w:t>99.78</w:t>
      </w:r>
      <w:r>
        <w:rPr>
          <w:rFonts w:ascii="Times New Roman" w:eastAsia="仿宋_GB2312"/>
          <w:sz w:val="32"/>
          <w:szCs w:val="32"/>
        </w:rPr>
        <w:t>%。项目绩效目标完成情况：</w:t>
      </w:r>
    </w:p>
    <w:p>
      <w:pPr>
        <w:widowControl/>
        <w:spacing w:line="360" w:lineRule="auto"/>
        <w:ind w:firstLine="640" w:firstLineChars="200"/>
        <w:jc w:val="left"/>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党组织活动经费绩效自评情况：根据年初设定的绩效目标，党组织活动经费项目绩效自评得分为</w:t>
      </w:r>
      <w:r>
        <w:rPr>
          <w:rFonts w:hint="eastAsia" w:ascii="CESI仿宋-GB2312" w:hAnsi="CESI仿宋-GB2312" w:eastAsia="CESI仿宋-GB2312" w:cs="CESI仿宋-GB2312"/>
          <w:sz w:val="32"/>
          <w:szCs w:val="32"/>
          <w:lang w:val="en-US" w:eastAsia="zh-CN"/>
        </w:rPr>
        <w:t>99</w:t>
      </w:r>
      <w:r>
        <w:rPr>
          <w:rFonts w:hint="eastAsia" w:ascii="CESI仿宋-GB2312" w:hAnsi="CESI仿宋-GB2312" w:eastAsia="CESI仿宋-GB2312" w:cs="CESI仿宋-GB2312"/>
          <w:sz w:val="32"/>
          <w:szCs w:val="32"/>
        </w:rPr>
        <w:t>分。全年预算数为</w:t>
      </w:r>
      <w:r>
        <w:rPr>
          <w:rFonts w:hint="eastAsia" w:ascii="CESI仿宋-GB2312" w:hAnsi="CESI仿宋-GB2312" w:eastAsia="CESI仿宋-GB2312" w:cs="CESI仿宋-GB2312"/>
          <w:sz w:val="32"/>
          <w:szCs w:val="32"/>
          <w:lang w:val="en-US" w:eastAsia="zh-CN"/>
        </w:rPr>
        <w:t>4.24</w:t>
      </w:r>
      <w:r>
        <w:rPr>
          <w:rFonts w:hint="eastAsia" w:ascii="CESI仿宋-GB2312" w:hAnsi="CESI仿宋-GB2312" w:eastAsia="CESI仿宋-GB2312" w:cs="CESI仿宋-GB2312"/>
          <w:sz w:val="32"/>
          <w:szCs w:val="32"/>
        </w:rPr>
        <w:t>万元，执行数为</w:t>
      </w:r>
      <w:r>
        <w:rPr>
          <w:rFonts w:hint="eastAsia" w:ascii="CESI仿宋-GB2312" w:hAnsi="CESI仿宋-GB2312" w:eastAsia="CESI仿宋-GB2312" w:cs="CESI仿宋-GB2312"/>
          <w:sz w:val="32"/>
          <w:szCs w:val="32"/>
          <w:lang w:val="en-US" w:eastAsia="zh-CN"/>
        </w:rPr>
        <w:t>3.81</w:t>
      </w:r>
      <w:r>
        <w:rPr>
          <w:rFonts w:hint="eastAsia" w:ascii="CESI仿宋-GB2312" w:hAnsi="CESI仿宋-GB2312" w:eastAsia="CESI仿宋-GB2312" w:cs="CESI仿宋-GB2312"/>
          <w:sz w:val="32"/>
          <w:szCs w:val="32"/>
        </w:rPr>
        <w:t>万元，完成预算的</w:t>
      </w:r>
      <w:r>
        <w:rPr>
          <w:rFonts w:hint="eastAsia" w:ascii="CESI仿宋-GB2312" w:hAnsi="CESI仿宋-GB2312" w:eastAsia="CESI仿宋-GB2312" w:cs="CESI仿宋-GB2312"/>
          <w:sz w:val="32"/>
          <w:szCs w:val="32"/>
          <w:lang w:val="en-US" w:eastAsia="zh-CN"/>
        </w:rPr>
        <w:t>89.98</w:t>
      </w:r>
      <w:r>
        <w:rPr>
          <w:rFonts w:hint="eastAsia" w:ascii="CESI仿宋-GB2312" w:hAnsi="CESI仿宋-GB2312" w:eastAsia="CESI仿宋-GB2312" w:cs="CESI仿宋-GB2312"/>
          <w:sz w:val="32"/>
          <w:szCs w:val="32"/>
        </w:rPr>
        <w:t>%。项目绩效目标完成情况：本项目开展党组织活动</w:t>
      </w:r>
      <w:r>
        <w:rPr>
          <w:rFonts w:hint="eastAsia" w:ascii="CESI仿宋-GB2312" w:hAnsi="CESI仿宋-GB2312" w:eastAsia="CESI仿宋-GB2312" w:cs="CESI仿宋-GB2312"/>
          <w:sz w:val="32"/>
          <w:szCs w:val="32"/>
          <w:lang w:eastAsia="zh-CN"/>
        </w:rPr>
        <w:t>次数</w:t>
      </w:r>
      <w:r>
        <w:rPr>
          <w:rFonts w:hint="eastAsia" w:ascii="CESI仿宋-GB2312" w:hAnsi="CESI仿宋-GB2312" w:eastAsia="CESI仿宋-GB2312" w:cs="CESI仿宋-GB2312"/>
          <w:sz w:val="32"/>
          <w:szCs w:val="32"/>
          <w:lang w:val="en-US" w:eastAsia="zh-CN"/>
        </w:rPr>
        <w:t>12</w:t>
      </w:r>
      <w:r>
        <w:rPr>
          <w:rFonts w:hint="eastAsia" w:ascii="CESI仿宋-GB2312" w:hAnsi="CESI仿宋-GB2312" w:eastAsia="CESI仿宋-GB2312" w:cs="CESI仿宋-GB2312"/>
          <w:sz w:val="32"/>
          <w:szCs w:val="32"/>
        </w:rPr>
        <w:t>次，加强</w:t>
      </w:r>
      <w:r>
        <w:rPr>
          <w:rFonts w:hint="eastAsia" w:ascii="CESI仿宋-GB2312" w:hAnsi="CESI仿宋-GB2312" w:eastAsia="CESI仿宋-GB2312" w:cs="CESI仿宋-GB2312"/>
          <w:sz w:val="32"/>
          <w:szCs w:val="32"/>
          <w:lang w:eastAsia="zh-CN"/>
        </w:rPr>
        <w:t>了</w:t>
      </w:r>
      <w:r>
        <w:rPr>
          <w:rFonts w:hint="eastAsia" w:ascii="CESI仿宋-GB2312" w:hAnsi="CESI仿宋-GB2312" w:eastAsia="CESI仿宋-GB2312" w:cs="CESI仿宋-GB2312"/>
          <w:sz w:val="32"/>
          <w:szCs w:val="32"/>
        </w:rPr>
        <w:t>基层党组织和党员队伍建设，不断提高党建工作水平，通过对党员的教育、管理和监督，党员思想水平和党性修养不断提升，实际完成预期目标。未发现问题。</w:t>
      </w:r>
    </w:p>
    <w:p>
      <w:pPr>
        <w:widowControl/>
        <w:spacing w:line="360" w:lineRule="auto"/>
        <w:ind w:firstLine="640" w:firstLineChars="200"/>
        <w:jc w:val="left"/>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办公设备购置费项目绩效自评情况：根据年初设定的绩效目标，办公设备购置费项目绩效自评得分为</w:t>
      </w:r>
      <w:r>
        <w:rPr>
          <w:rFonts w:hint="eastAsia" w:ascii="CESI仿宋-GB2312" w:hAnsi="CESI仿宋-GB2312" w:eastAsia="CESI仿宋-GB2312" w:cs="CESI仿宋-GB2312"/>
          <w:sz w:val="32"/>
          <w:szCs w:val="32"/>
          <w:lang w:val="en-US" w:eastAsia="zh-CN"/>
        </w:rPr>
        <w:t>100</w:t>
      </w:r>
      <w:r>
        <w:rPr>
          <w:rFonts w:hint="eastAsia" w:ascii="CESI仿宋-GB2312" w:hAnsi="CESI仿宋-GB2312" w:eastAsia="CESI仿宋-GB2312" w:cs="CESI仿宋-GB2312"/>
          <w:sz w:val="32"/>
          <w:szCs w:val="32"/>
        </w:rPr>
        <w:t>分</w:t>
      </w:r>
      <w:r>
        <w:rPr>
          <w:rFonts w:hint="eastAsia" w:ascii="CESI仿宋-GB2312" w:hAnsi="CESI仿宋-GB2312" w:eastAsia="CESI仿宋-GB2312" w:cs="CESI仿宋-GB2312"/>
          <w:sz w:val="32"/>
          <w:szCs w:val="32"/>
          <w:lang w:eastAsia="zh-CN"/>
        </w:rPr>
        <w:t>。</w:t>
      </w:r>
      <w:r>
        <w:rPr>
          <w:rFonts w:hint="eastAsia" w:ascii="CESI仿宋-GB2312" w:hAnsi="CESI仿宋-GB2312" w:eastAsia="CESI仿宋-GB2312" w:cs="CESI仿宋-GB2312"/>
          <w:sz w:val="32"/>
          <w:szCs w:val="32"/>
        </w:rPr>
        <w:t>全年预算数为</w:t>
      </w:r>
      <w:r>
        <w:rPr>
          <w:rFonts w:hint="eastAsia" w:ascii="CESI仿宋-GB2312" w:hAnsi="CESI仿宋-GB2312" w:eastAsia="CESI仿宋-GB2312" w:cs="CESI仿宋-GB2312"/>
          <w:sz w:val="32"/>
          <w:szCs w:val="32"/>
          <w:lang w:val="en-US" w:eastAsia="zh-CN"/>
        </w:rPr>
        <w:t>0.57</w:t>
      </w:r>
      <w:r>
        <w:rPr>
          <w:rFonts w:hint="eastAsia" w:ascii="CESI仿宋-GB2312" w:hAnsi="CESI仿宋-GB2312" w:eastAsia="CESI仿宋-GB2312" w:cs="CESI仿宋-GB2312"/>
          <w:sz w:val="32"/>
          <w:szCs w:val="32"/>
        </w:rPr>
        <w:t>万元，执行数为</w:t>
      </w:r>
      <w:r>
        <w:rPr>
          <w:rFonts w:hint="eastAsia" w:ascii="CESI仿宋-GB2312" w:hAnsi="CESI仿宋-GB2312" w:eastAsia="CESI仿宋-GB2312" w:cs="CESI仿宋-GB2312"/>
          <w:sz w:val="32"/>
          <w:szCs w:val="32"/>
          <w:lang w:val="en-US" w:eastAsia="zh-CN"/>
        </w:rPr>
        <w:t>0.57</w:t>
      </w:r>
      <w:r>
        <w:rPr>
          <w:rFonts w:hint="eastAsia" w:ascii="CESI仿宋-GB2312" w:hAnsi="CESI仿宋-GB2312" w:eastAsia="CESI仿宋-GB2312" w:cs="CESI仿宋-GB2312"/>
          <w:sz w:val="32"/>
          <w:szCs w:val="32"/>
        </w:rPr>
        <w:t>万元，完成预算的</w:t>
      </w:r>
      <w:r>
        <w:rPr>
          <w:rFonts w:hint="eastAsia" w:ascii="CESI仿宋-GB2312" w:hAnsi="CESI仿宋-GB2312" w:eastAsia="CESI仿宋-GB2312" w:cs="CESI仿宋-GB2312"/>
          <w:sz w:val="32"/>
          <w:szCs w:val="32"/>
          <w:lang w:val="en-US" w:eastAsia="zh-CN"/>
        </w:rPr>
        <w:t>100</w:t>
      </w:r>
      <w:r>
        <w:rPr>
          <w:rFonts w:hint="default" w:ascii="CESI仿宋-GB2312" w:hAnsi="CESI仿宋-GB2312" w:eastAsia="CESI仿宋-GB2312" w:cs="CESI仿宋-GB2312"/>
          <w:sz w:val="32"/>
          <w:szCs w:val="32"/>
          <w:lang w:val="en" w:eastAsia="zh-CN"/>
        </w:rPr>
        <w:t>.0</w:t>
      </w:r>
      <w:r>
        <w:rPr>
          <w:rFonts w:hint="eastAsia" w:ascii="CESI仿宋-GB2312" w:hAnsi="CESI仿宋-GB2312" w:eastAsia="CESI仿宋-GB2312" w:cs="CESI仿宋-GB2312"/>
          <w:sz w:val="32"/>
          <w:szCs w:val="32"/>
        </w:rPr>
        <w:t>%。项目绩效目标完成情况：按计划实际完成设备购置</w:t>
      </w:r>
      <w:r>
        <w:rPr>
          <w:rFonts w:hint="eastAsia" w:ascii="CESI仿宋-GB2312" w:hAnsi="CESI仿宋-GB2312" w:eastAsia="CESI仿宋-GB2312" w:cs="CESI仿宋-GB2312"/>
          <w:sz w:val="32"/>
          <w:szCs w:val="32"/>
          <w:lang w:val="en-US" w:eastAsia="zh-CN"/>
        </w:rPr>
        <w:t>1</w:t>
      </w:r>
      <w:r>
        <w:rPr>
          <w:rFonts w:hint="eastAsia" w:ascii="CESI仿宋-GB2312" w:hAnsi="CESI仿宋-GB2312" w:eastAsia="CESI仿宋-GB2312" w:cs="CESI仿宋-GB2312"/>
          <w:sz w:val="32"/>
          <w:szCs w:val="32"/>
        </w:rPr>
        <w:t>台（套），设备处于良好运行状态，提高了工作效率，为干部职工提供了安全、快捷、细致、周到的工作环境，实际完成预期目标。未发现问题。</w:t>
      </w:r>
    </w:p>
    <w:p>
      <w:pPr>
        <w:widowControl/>
        <w:spacing w:line="360" w:lineRule="auto"/>
        <w:ind w:firstLine="640" w:firstLineChars="200"/>
        <w:jc w:val="left"/>
        <w:rPr>
          <w:rFonts w:hint="eastAsia" w:ascii="CESI仿宋-GB2312" w:hAnsi="CESI仿宋-GB2312" w:eastAsia="CESI仿宋-GB2312" w:cs="CESI仿宋-GB2312"/>
          <w:sz w:val="32"/>
          <w:szCs w:val="32"/>
        </w:rPr>
      </w:pPr>
      <w:r>
        <w:rPr>
          <w:rFonts w:hint="eastAsia" w:ascii="CESI仿宋-GB2312" w:hAnsi="CESI仿宋-GB2312" w:eastAsia="CESI仿宋-GB2312" w:cs="CESI仿宋-GB2312"/>
          <w:sz w:val="32"/>
          <w:szCs w:val="32"/>
        </w:rPr>
        <w:t>文件资料印刷费绩效自评情况：根据年初设定的绩效目标，文件资料印刷费项目绩效自评得分为</w:t>
      </w:r>
      <w:r>
        <w:rPr>
          <w:rFonts w:hint="eastAsia" w:ascii="CESI仿宋-GB2312" w:hAnsi="CESI仿宋-GB2312" w:eastAsia="CESI仿宋-GB2312" w:cs="CESI仿宋-GB2312"/>
          <w:sz w:val="32"/>
          <w:szCs w:val="32"/>
          <w:lang w:val="en-US" w:eastAsia="zh-CN"/>
        </w:rPr>
        <w:t>100</w:t>
      </w:r>
      <w:r>
        <w:rPr>
          <w:rFonts w:hint="eastAsia" w:ascii="CESI仿宋-GB2312" w:hAnsi="CESI仿宋-GB2312" w:eastAsia="CESI仿宋-GB2312" w:cs="CESI仿宋-GB2312"/>
          <w:sz w:val="32"/>
          <w:szCs w:val="32"/>
        </w:rPr>
        <w:t>分。全年预算数为</w:t>
      </w:r>
      <w:r>
        <w:rPr>
          <w:rFonts w:hint="eastAsia" w:ascii="CESI仿宋-GB2312" w:hAnsi="CESI仿宋-GB2312" w:eastAsia="CESI仿宋-GB2312" w:cs="CESI仿宋-GB2312"/>
          <w:sz w:val="32"/>
          <w:szCs w:val="32"/>
          <w:lang w:val="en-US" w:eastAsia="zh-CN"/>
        </w:rPr>
        <w:t>2.59</w:t>
      </w:r>
      <w:r>
        <w:rPr>
          <w:rFonts w:hint="eastAsia" w:ascii="CESI仿宋-GB2312" w:hAnsi="CESI仿宋-GB2312" w:eastAsia="CESI仿宋-GB2312" w:cs="CESI仿宋-GB2312"/>
          <w:sz w:val="32"/>
          <w:szCs w:val="32"/>
        </w:rPr>
        <w:t>万元，执行数为</w:t>
      </w:r>
      <w:r>
        <w:rPr>
          <w:rFonts w:hint="eastAsia" w:ascii="CESI仿宋-GB2312" w:hAnsi="CESI仿宋-GB2312" w:eastAsia="CESI仿宋-GB2312" w:cs="CESI仿宋-GB2312"/>
          <w:sz w:val="32"/>
          <w:szCs w:val="32"/>
          <w:lang w:val="en-US" w:eastAsia="zh-CN"/>
        </w:rPr>
        <w:t>2.59</w:t>
      </w:r>
      <w:r>
        <w:rPr>
          <w:rFonts w:hint="eastAsia" w:ascii="CESI仿宋-GB2312" w:hAnsi="CESI仿宋-GB2312" w:eastAsia="CESI仿宋-GB2312" w:cs="CESI仿宋-GB2312"/>
          <w:sz w:val="32"/>
          <w:szCs w:val="32"/>
        </w:rPr>
        <w:t>万元，完成预算的</w:t>
      </w:r>
      <w:r>
        <w:rPr>
          <w:rFonts w:hint="eastAsia" w:ascii="CESI仿宋-GB2312" w:hAnsi="CESI仿宋-GB2312" w:eastAsia="CESI仿宋-GB2312" w:cs="CESI仿宋-GB2312"/>
          <w:sz w:val="32"/>
          <w:szCs w:val="32"/>
          <w:lang w:val="en-US" w:eastAsia="zh-CN"/>
        </w:rPr>
        <w:t>100</w:t>
      </w:r>
      <w:r>
        <w:rPr>
          <w:rFonts w:hint="default" w:ascii="CESI仿宋-GB2312" w:hAnsi="CESI仿宋-GB2312" w:eastAsia="CESI仿宋-GB2312" w:cs="CESI仿宋-GB2312"/>
          <w:sz w:val="32"/>
          <w:szCs w:val="32"/>
          <w:lang w:val="en" w:eastAsia="zh-CN"/>
        </w:rPr>
        <w:t>.0</w:t>
      </w:r>
      <w:r>
        <w:rPr>
          <w:rFonts w:hint="eastAsia" w:ascii="CESI仿宋-GB2312" w:hAnsi="CESI仿宋-GB2312" w:eastAsia="CESI仿宋-GB2312" w:cs="CESI仿宋-GB2312"/>
          <w:sz w:val="32"/>
          <w:szCs w:val="32"/>
        </w:rPr>
        <w:t>%。项目绩效目标完成情况：针对</w:t>
      </w:r>
      <w:r>
        <w:rPr>
          <w:rFonts w:hint="eastAsia" w:ascii="CESI仿宋-GB2312" w:hAnsi="CESI仿宋-GB2312" w:eastAsia="CESI仿宋-GB2312" w:cs="CESI仿宋-GB2312"/>
          <w:sz w:val="32"/>
          <w:szCs w:val="32"/>
          <w:lang w:eastAsia="zh-CN"/>
        </w:rPr>
        <w:t>《金融动态》</w:t>
      </w:r>
      <w:r>
        <w:rPr>
          <w:rFonts w:hint="eastAsia" w:ascii="CESI仿宋-GB2312" w:hAnsi="CESI仿宋-GB2312" w:eastAsia="CESI仿宋-GB2312" w:cs="CESI仿宋-GB2312"/>
          <w:sz w:val="32"/>
          <w:szCs w:val="32"/>
        </w:rPr>
        <w:t>、</w:t>
      </w:r>
      <w:r>
        <w:rPr>
          <w:rFonts w:hint="eastAsia" w:ascii="CESI仿宋-GB2312" w:hAnsi="CESI仿宋-GB2312" w:eastAsia="CESI仿宋-GB2312" w:cs="CESI仿宋-GB2312"/>
          <w:sz w:val="32"/>
          <w:szCs w:val="32"/>
          <w:lang w:eastAsia="zh-CN"/>
        </w:rPr>
        <w:t>学习</w:t>
      </w:r>
      <w:r>
        <w:rPr>
          <w:rFonts w:hint="eastAsia" w:ascii="CESI仿宋-GB2312" w:hAnsi="CESI仿宋-GB2312" w:eastAsia="CESI仿宋-GB2312" w:cs="CESI仿宋-GB2312"/>
          <w:sz w:val="32"/>
          <w:szCs w:val="32"/>
        </w:rPr>
        <w:t>资料等的印刷，保证</w:t>
      </w:r>
      <w:r>
        <w:rPr>
          <w:rFonts w:hint="eastAsia" w:ascii="CESI仿宋-GB2312" w:hAnsi="CESI仿宋-GB2312" w:eastAsia="CESI仿宋-GB2312" w:cs="CESI仿宋-GB2312"/>
          <w:sz w:val="32"/>
          <w:szCs w:val="32"/>
          <w:lang w:eastAsia="zh-CN"/>
        </w:rPr>
        <w:t>了</w:t>
      </w:r>
      <w:r>
        <w:rPr>
          <w:rFonts w:hint="eastAsia" w:ascii="CESI仿宋-GB2312" w:hAnsi="CESI仿宋-GB2312" w:eastAsia="CESI仿宋-GB2312" w:cs="CESI仿宋-GB2312"/>
          <w:sz w:val="32"/>
          <w:szCs w:val="32"/>
        </w:rPr>
        <w:t>文件印发符合规定要求，做到及时</w:t>
      </w:r>
      <w:r>
        <w:rPr>
          <w:rFonts w:hint="eastAsia" w:ascii="CESI仿宋-GB2312" w:hAnsi="CESI仿宋-GB2312" w:eastAsia="CESI仿宋-GB2312" w:cs="CESI仿宋-GB2312"/>
          <w:sz w:val="32"/>
          <w:szCs w:val="32"/>
          <w:lang w:eastAsia="zh-CN"/>
        </w:rPr>
        <w:t>、</w:t>
      </w:r>
      <w:r>
        <w:rPr>
          <w:rFonts w:hint="eastAsia" w:ascii="CESI仿宋-GB2312" w:hAnsi="CESI仿宋-GB2312" w:eastAsia="CESI仿宋-GB2312" w:cs="CESI仿宋-GB2312"/>
          <w:sz w:val="32"/>
          <w:szCs w:val="32"/>
        </w:rPr>
        <w:t>有效</w:t>
      </w:r>
      <w:r>
        <w:rPr>
          <w:rFonts w:hint="eastAsia" w:ascii="CESI仿宋-GB2312" w:hAnsi="CESI仿宋-GB2312" w:eastAsia="CESI仿宋-GB2312" w:cs="CESI仿宋-GB2312"/>
          <w:sz w:val="32"/>
          <w:szCs w:val="32"/>
          <w:lang w:eastAsia="zh-CN"/>
        </w:rPr>
        <w:t>、</w:t>
      </w:r>
      <w:r>
        <w:rPr>
          <w:rFonts w:hint="eastAsia" w:ascii="CESI仿宋-GB2312" w:hAnsi="CESI仿宋-GB2312" w:eastAsia="CESI仿宋-GB2312" w:cs="CESI仿宋-GB2312"/>
          <w:sz w:val="32"/>
          <w:szCs w:val="32"/>
        </w:rPr>
        <w:t>节约，实现业务的正常办理及资料的档案留存，实际完成预期目标。未发现问题。</w:t>
      </w:r>
    </w:p>
    <w:p>
      <w:pPr>
        <w:widowControl/>
        <w:spacing w:line="360" w:lineRule="auto"/>
        <w:ind w:firstLine="640" w:firstLineChars="200"/>
        <w:jc w:val="left"/>
        <w:rPr>
          <w:rFonts w:hint="eastAsia" w:ascii="CESI仿宋-GB2312" w:hAnsi="CESI仿宋-GB2312" w:eastAsia="CESI仿宋-GB2312" w:cs="CESI仿宋-GB2312"/>
          <w:sz w:val="32"/>
          <w:szCs w:val="32"/>
          <w:lang w:eastAsia="zh-CN"/>
        </w:rPr>
      </w:pPr>
      <w:r>
        <w:rPr>
          <w:rFonts w:hint="eastAsia" w:ascii="CESI仿宋-GB2312" w:hAnsi="CESI仿宋-GB2312" w:eastAsia="CESI仿宋-GB2312" w:cs="CESI仿宋-GB2312"/>
          <w:sz w:val="32"/>
          <w:szCs w:val="32"/>
        </w:rPr>
        <w:t>业务培训费绩效自评情况：根据年初设定的绩效目标，文件资料印刷费项目绩效自评得分为</w:t>
      </w:r>
      <w:r>
        <w:rPr>
          <w:rFonts w:hint="eastAsia" w:ascii="CESI仿宋-GB2312" w:hAnsi="CESI仿宋-GB2312" w:eastAsia="CESI仿宋-GB2312" w:cs="CESI仿宋-GB2312"/>
          <w:sz w:val="32"/>
          <w:szCs w:val="32"/>
          <w:lang w:val="en-US" w:eastAsia="zh-CN"/>
        </w:rPr>
        <w:t>99</w:t>
      </w:r>
      <w:r>
        <w:rPr>
          <w:rFonts w:hint="eastAsia" w:ascii="CESI仿宋-GB2312" w:hAnsi="CESI仿宋-GB2312" w:eastAsia="CESI仿宋-GB2312" w:cs="CESI仿宋-GB2312"/>
          <w:sz w:val="32"/>
          <w:szCs w:val="32"/>
        </w:rPr>
        <w:t>分。全年预算数为</w:t>
      </w:r>
      <w:r>
        <w:rPr>
          <w:rFonts w:hint="eastAsia" w:ascii="CESI仿宋-GB2312" w:hAnsi="CESI仿宋-GB2312" w:eastAsia="CESI仿宋-GB2312" w:cs="CESI仿宋-GB2312"/>
          <w:sz w:val="32"/>
          <w:szCs w:val="32"/>
          <w:lang w:val="en-US" w:eastAsia="zh-CN"/>
        </w:rPr>
        <w:t>1.35</w:t>
      </w:r>
      <w:r>
        <w:rPr>
          <w:rFonts w:hint="eastAsia" w:ascii="CESI仿宋-GB2312" w:hAnsi="CESI仿宋-GB2312" w:eastAsia="CESI仿宋-GB2312" w:cs="CESI仿宋-GB2312"/>
          <w:sz w:val="32"/>
          <w:szCs w:val="32"/>
        </w:rPr>
        <w:t>元，执行数为</w:t>
      </w:r>
      <w:r>
        <w:rPr>
          <w:rFonts w:hint="eastAsia" w:ascii="CESI仿宋-GB2312" w:hAnsi="CESI仿宋-GB2312" w:eastAsia="CESI仿宋-GB2312" w:cs="CESI仿宋-GB2312"/>
          <w:sz w:val="32"/>
          <w:szCs w:val="32"/>
          <w:lang w:val="en-US" w:eastAsia="zh-CN"/>
        </w:rPr>
        <w:t>1.29</w:t>
      </w:r>
      <w:r>
        <w:rPr>
          <w:rFonts w:hint="eastAsia" w:ascii="CESI仿宋-GB2312" w:hAnsi="CESI仿宋-GB2312" w:eastAsia="CESI仿宋-GB2312" w:cs="CESI仿宋-GB2312"/>
          <w:sz w:val="32"/>
          <w:szCs w:val="32"/>
        </w:rPr>
        <w:t>万元，完成预算的</w:t>
      </w:r>
      <w:r>
        <w:rPr>
          <w:rFonts w:hint="eastAsia" w:ascii="CESI仿宋-GB2312" w:hAnsi="CESI仿宋-GB2312" w:eastAsia="CESI仿宋-GB2312" w:cs="CESI仿宋-GB2312"/>
          <w:sz w:val="32"/>
          <w:szCs w:val="32"/>
          <w:lang w:val="en-US" w:eastAsia="zh-CN"/>
        </w:rPr>
        <w:t>95.85</w:t>
      </w:r>
      <w:r>
        <w:rPr>
          <w:rFonts w:hint="eastAsia" w:ascii="CESI仿宋-GB2312" w:hAnsi="CESI仿宋-GB2312" w:eastAsia="CESI仿宋-GB2312" w:cs="CESI仿宋-GB2312"/>
          <w:sz w:val="32"/>
          <w:szCs w:val="32"/>
        </w:rPr>
        <w:t>%。项目绩效目标完成情况：</w:t>
      </w:r>
      <w:r>
        <w:rPr>
          <w:rFonts w:hint="eastAsia" w:ascii="CESI仿宋-GB2312" w:hAnsi="CESI仿宋-GB2312" w:eastAsia="CESI仿宋-GB2312" w:cs="CESI仿宋-GB2312"/>
          <w:sz w:val="32"/>
          <w:szCs w:val="32"/>
          <w:lang w:eastAsia="zh-CN"/>
        </w:rPr>
        <w:t>为了</w:t>
      </w:r>
      <w:r>
        <w:rPr>
          <w:rFonts w:hint="eastAsia" w:ascii="CESI仿宋-GB2312" w:hAnsi="CESI仿宋-GB2312" w:eastAsia="CESI仿宋-GB2312" w:cs="CESI仿宋-GB2312"/>
          <w:sz w:val="32"/>
          <w:szCs w:val="32"/>
        </w:rPr>
        <w:t>提升工作人员业务水平，促进金融工作发展</w:t>
      </w:r>
      <w:r>
        <w:rPr>
          <w:rFonts w:hint="eastAsia" w:ascii="CESI仿宋-GB2312" w:hAnsi="CESI仿宋-GB2312" w:eastAsia="CESI仿宋-GB2312" w:cs="CESI仿宋-GB2312"/>
          <w:sz w:val="32"/>
          <w:szCs w:val="32"/>
          <w:lang w:eastAsia="zh-CN"/>
        </w:rPr>
        <w:t>，</w:t>
      </w:r>
      <w:r>
        <w:rPr>
          <w:rFonts w:hint="eastAsia" w:ascii="CESI仿宋-GB2312" w:hAnsi="CESI仿宋-GB2312" w:eastAsia="CESI仿宋-GB2312" w:cs="CESI仿宋-GB2312"/>
          <w:sz w:val="32"/>
          <w:szCs w:val="32"/>
        </w:rPr>
        <w:t>实际开展并完成</w:t>
      </w:r>
      <w:r>
        <w:rPr>
          <w:rFonts w:hint="eastAsia" w:ascii="CESI仿宋-GB2312" w:hAnsi="CESI仿宋-GB2312" w:eastAsia="CESI仿宋-GB2312" w:cs="CESI仿宋-GB2312"/>
          <w:sz w:val="32"/>
          <w:szCs w:val="32"/>
          <w:lang w:val="en-US" w:eastAsia="zh-CN"/>
        </w:rPr>
        <w:t>5</w:t>
      </w:r>
      <w:r>
        <w:rPr>
          <w:rFonts w:hint="eastAsia" w:ascii="CESI仿宋-GB2312" w:hAnsi="CESI仿宋-GB2312" w:eastAsia="CESI仿宋-GB2312" w:cs="CESI仿宋-GB2312"/>
          <w:sz w:val="32"/>
          <w:szCs w:val="32"/>
          <w:lang w:eastAsia="zh-CN"/>
        </w:rPr>
        <w:t>场</w:t>
      </w:r>
      <w:r>
        <w:rPr>
          <w:rFonts w:hint="eastAsia" w:ascii="CESI仿宋-GB2312" w:hAnsi="CESI仿宋-GB2312" w:eastAsia="CESI仿宋-GB2312" w:cs="CESI仿宋-GB2312"/>
          <w:sz w:val="32"/>
          <w:szCs w:val="32"/>
        </w:rPr>
        <w:t>相关业务能力培训，提升了参训人员的工作能力，实际完成预期目标。未发现问题</w:t>
      </w:r>
      <w:r>
        <w:rPr>
          <w:rFonts w:hint="eastAsia" w:ascii="CESI仿宋-GB2312" w:hAnsi="CESI仿宋-GB2312" w:eastAsia="CESI仿宋-GB2312" w:cs="CESI仿宋-GB2312"/>
          <w:sz w:val="32"/>
          <w:szCs w:val="32"/>
          <w:lang w:eastAsia="zh-CN"/>
        </w:rPr>
        <w:t>。</w:t>
      </w:r>
    </w:p>
    <w:p>
      <w:pPr>
        <w:widowControl/>
        <w:spacing w:line="360" w:lineRule="auto"/>
        <w:ind w:firstLine="640" w:firstLineChars="200"/>
        <w:jc w:val="left"/>
        <w:rPr>
          <w:rFonts w:hint="eastAsia" w:ascii="CESI仿宋-GB2312" w:hAnsi="CESI仿宋-GB2312" w:eastAsia="CESI仿宋-GB2312" w:cs="CESI仿宋-GB2312"/>
          <w:sz w:val="32"/>
          <w:szCs w:val="32"/>
          <w:lang w:eastAsia="zh-CN"/>
        </w:rPr>
      </w:pPr>
      <w:r>
        <w:rPr>
          <w:rFonts w:hint="eastAsia" w:ascii="CESI仿宋-GB2312" w:hAnsi="CESI仿宋-GB2312" w:eastAsia="CESI仿宋-GB2312" w:cs="CESI仿宋-GB2312"/>
          <w:sz w:val="32"/>
          <w:szCs w:val="32"/>
          <w:lang w:eastAsia="zh-CN"/>
        </w:rPr>
        <w:t>业务咨询委托费绩效自评情况：根据年初设定的绩效目标，业务咨询委托费项目绩效自评得分为</w:t>
      </w:r>
      <w:r>
        <w:rPr>
          <w:rFonts w:hint="eastAsia" w:ascii="CESI仿宋-GB2312" w:hAnsi="CESI仿宋-GB2312" w:eastAsia="CESI仿宋-GB2312" w:cs="CESI仿宋-GB2312"/>
          <w:sz w:val="32"/>
          <w:szCs w:val="32"/>
          <w:lang w:val="en-US" w:eastAsia="zh-CN"/>
        </w:rPr>
        <w:t>100</w:t>
      </w:r>
      <w:r>
        <w:rPr>
          <w:rFonts w:hint="eastAsia" w:ascii="CESI仿宋-GB2312" w:hAnsi="CESI仿宋-GB2312" w:eastAsia="CESI仿宋-GB2312" w:cs="CESI仿宋-GB2312"/>
          <w:sz w:val="32"/>
          <w:szCs w:val="32"/>
          <w:lang w:eastAsia="zh-CN"/>
        </w:rPr>
        <w:t>分。全年预算数为</w:t>
      </w:r>
      <w:r>
        <w:rPr>
          <w:rFonts w:hint="eastAsia" w:ascii="CESI仿宋-GB2312" w:hAnsi="CESI仿宋-GB2312" w:eastAsia="CESI仿宋-GB2312" w:cs="CESI仿宋-GB2312"/>
          <w:sz w:val="32"/>
          <w:szCs w:val="32"/>
          <w:lang w:val="en-US" w:eastAsia="zh-CN"/>
        </w:rPr>
        <w:t>11.1</w:t>
      </w:r>
      <w:r>
        <w:rPr>
          <w:rFonts w:hint="default" w:ascii="CESI仿宋-GB2312" w:hAnsi="CESI仿宋-GB2312" w:eastAsia="CESI仿宋-GB2312" w:cs="CESI仿宋-GB2312"/>
          <w:sz w:val="32"/>
          <w:szCs w:val="32"/>
          <w:lang w:val="en" w:eastAsia="zh-CN"/>
        </w:rPr>
        <w:t>0</w:t>
      </w:r>
      <w:r>
        <w:rPr>
          <w:rFonts w:hint="eastAsia" w:ascii="CESI仿宋-GB2312" w:hAnsi="CESI仿宋-GB2312" w:eastAsia="CESI仿宋-GB2312" w:cs="CESI仿宋-GB2312"/>
          <w:sz w:val="32"/>
          <w:szCs w:val="32"/>
          <w:lang w:eastAsia="zh-CN"/>
        </w:rPr>
        <w:t>万元，执行数为</w:t>
      </w:r>
      <w:r>
        <w:rPr>
          <w:rFonts w:hint="eastAsia" w:ascii="CESI仿宋-GB2312" w:hAnsi="CESI仿宋-GB2312" w:eastAsia="CESI仿宋-GB2312" w:cs="CESI仿宋-GB2312"/>
          <w:sz w:val="32"/>
          <w:szCs w:val="32"/>
          <w:lang w:val="en-US" w:eastAsia="zh-CN"/>
        </w:rPr>
        <w:t>11.1</w:t>
      </w:r>
      <w:r>
        <w:rPr>
          <w:rFonts w:hint="default" w:ascii="CESI仿宋-GB2312" w:hAnsi="CESI仿宋-GB2312" w:eastAsia="CESI仿宋-GB2312" w:cs="CESI仿宋-GB2312"/>
          <w:sz w:val="32"/>
          <w:szCs w:val="32"/>
          <w:lang w:val="en" w:eastAsia="zh-CN"/>
        </w:rPr>
        <w:t>0</w:t>
      </w:r>
      <w:r>
        <w:rPr>
          <w:rFonts w:hint="eastAsia" w:ascii="CESI仿宋-GB2312" w:hAnsi="CESI仿宋-GB2312" w:eastAsia="CESI仿宋-GB2312" w:cs="CESI仿宋-GB2312"/>
          <w:sz w:val="32"/>
          <w:szCs w:val="32"/>
          <w:lang w:eastAsia="zh-CN"/>
        </w:rPr>
        <w:t>万元，完成预算的</w:t>
      </w:r>
      <w:r>
        <w:rPr>
          <w:rFonts w:hint="eastAsia" w:ascii="CESI仿宋-GB2312" w:hAnsi="CESI仿宋-GB2312" w:eastAsia="CESI仿宋-GB2312" w:cs="CESI仿宋-GB2312"/>
          <w:sz w:val="32"/>
          <w:szCs w:val="32"/>
          <w:lang w:val="en-US" w:eastAsia="zh-CN"/>
        </w:rPr>
        <w:t>100</w:t>
      </w:r>
      <w:r>
        <w:rPr>
          <w:rFonts w:hint="default" w:ascii="CESI仿宋-GB2312" w:hAnsi="CESI仿宋-GB2312" w:eastAsia="CESI仿宋-GB2312" w:cs="CESI仿宋-GB2312"/>
          <w:sz w:val="32"/>
          <w:szCs w:val="32"/>
          <w:lang w:val="en" w:eastAsia="zh-CN"/>
        </w:rPr>
        <w:t>.0</w:t>
      </w:r>
      <w:r>
        <w:rPr>
          <w:rFonts w:hint="eastAsia" w:ascii="CESI仿宋-GB2312" w:hAnsi="CESI仿宋-GB2312" w:eastAsia="CESI仿宋-GB2312" w:cs="CESI仿宋-GB2312"/>
          <w:sz w:val="32"/>
          <w:szCs w:val="32"/>
          <w:lang w:eastAsia="zh-CN"/>
        </w:rPr>
        <w:t>%。项目绩效目标完成情况：通过咨询内控体系建设、档案管理等业务，提升机关工作水平，开展委托服务</w:t>
      </w:r>
      <w:r>
        <w:rPr>
          <w:rFonts w:hint="eastAsia" w:ascii="CESI仿宋-GB2312" w:hAnsi="CESI仿宋-GB2312" w:eastAsia="CESI仿宋-GB2312" w:cs="CESI仿宋-GB2312"/>
          <w:sz w:val="32"/>
          <w:szCs w:val="32"/>
          <w:lang w:val="en-US" w:eastAsia="zh-CN"/>
        </w:rPr>
        <w:t>7次，</w:t>
      </w:r>
      <w:r>
        <w:rPr>
          <w:rFonts w:hint="eastAsia" w:ascii="CESI仿宋-GB2312" w:hAnsi="CESI仿宋-GB2312" w:eastAsia="CESI仿宋-GB2312" w:cs="CESI仿宋-GB2312"/>
          <w:sz w:val="32"/>
          <w:szCs w:val="32"/>
          <w:lang w:eastAsia="zh-CN"/>
        </w:rPr>
        <w:t>保障了机关正常运转，实际完成预期绩效目标。未发现问题。</w:t>
      </w:r>
    </w:p>
    <w:p>
      <w:pPr>
        <w:widowControl/>
        <w:spacing w:line="360" w:lineRule="auto"/>
        <w:ind w:firstLine="640" w:firstLineChars="200"/>
        <w:jc w:val="left"/>
        <w:rPr>
          <w:rFonts w:hint="eastAsia" w:ascii="CESI仿宋-GB2312" w:hAnsi="CESI仿宋-GB2312" w:eastAsia="CESI仿宋-GB2312" w:cs="CESI仿宋-GB2312"/>
          <w:sz w:val="32"/>
          <w:szCs w:val="32"/>
          <w:lang w:eastAsia="zh-CN"/>
        </w:rPr>
      </w:pPr>
      <w:r>
        <w:rPr>
          <w:rFonts w:hint="eastAsia" w:ascii="CESI仿宋-GB2312" w:hAnsi="CESI仿宋-GB2312" w:eastAsia="CESI仿宋-GB2312" w:cs="CESI仿宋-GB2312"/>
          <w:sz w:val="32"/>
          <w:szCs w:val="32"/>
          <w:lang w:eastAsia="zh-CN"/>
        </w:rPr>
        <w:t>2025年台式电脑购置绩效自评情况：根据年初设定的绩效目标，2025年台式电脑购置项目绩效自评得分为100分。全年预算数为</w:t>
      </w:r>
      <w:r>
        <w:rPr>
          <w:rFonts w:hint="eastAsia" w:ascii="CESI仿宋-GB2312" w:hAnsi="CESI仿宋-GB2312" w:eastAsia="CESI仿宋-GB2312" w:cs="CESI仿宋-GB2312"/>
          <w:sz w:val="32"/>
          <w:szCs w:val="32"/>
          <w:lang w:val="en-US" w:eastAsia="zh-CN"/>
        </w:rPr>
        <w:t>0.31</w:t>
      </w:r>
      <w:r>
        <w:rPr>
          <w:rFonts w:hint="eastAsia" w:ascii="CESI仿宋-GB2312" w:hAnsi="CESI仿宋-GB2312" w:eastAsia="CESI仿宋-GB2312" w:cs="CESI仿宋-GB2312"/>
          <w:sz w:val="32"/>
          <w:szCs w:val="32"/>
          <w:lang w:eastAsia="zh-CN"/>
        </w:rPr>
        <w:t>万元，执行数为</w:t>
      </w:r>
      <w:r>
        <w:rPr>
          <w:rFonts w:hint="eastAsia" w:ascii="CESI仿宋-GB2312" w:hAnsi="CESI仿宋-GB2312" w:eastAsia="CESI仿宋-GB2312" w:cs="CESI仿宋-GB2312"/>
          <w:sz w:val="32"/>
          <w:szCs w:val="32"/>
          <w:lang w:val="en-US" w:eastAsia="zh-CN"/>
        </w:rPr>
        <w:t>0.31</w:t>
      </w:r>
      <w:r>
        <w:rPr>
          <w:rFonts w:hint="eastAsia" w:ascii="CESI仿宋-GB2312" w:hAnsi="CESI仿宋-GB2312" w:eastAsia="CESI仿宋-GB2312" w:cs="CESI仿宋-GB2312"/>
          <w:sz w:val="32"/>
          <w:szCs w:val="32"/>
          <w:lang w:eastAsia="zh-CN"/>
        </w:rPr>
        <w:t>万元，完成预算的100</w:t>
      </w:r>
      <w:r>
        <w:rPr>
          <w:rFonts w:hint="default" w:ascii="CESI仿宋-GB2312" w:hAnsi="CESI仿宋-GB2312" w:eastAsia="CESI仿宋-GB2312" w:cs="CESI仿宋-GB2312"/>
          <w:sz w:val="32"/>
          <w:szCs w:val="32"/>
          <w:lang w:val="en" w:eastAsia="zh-CN"/>
        </w:rPr>
        <w:t>.0</w:t>
      </w:r>
      <w:r>
        <w:rPr>
          <w:rFonts w:hint="eastAsia" w:ascii="CESI仿宋-GB2312" w:hAnsi="CESI仿宋-GB2312" w:eastAsia="CESI仿宋-GB2312" w:cs="CESI仿宋-GB2312"/>
          <w:sz w:val="32"/>
          <w:szCs w:val="32"/>
          <w:lang w:eastAsia="zh-CN"/>
        </w:rPr>
        <w:t>%。项目绩效目标完成情况：通过办公设备或办公家具购置，保障了机关工作运行。按计划实际完成设备购置1台（套），设备处于良好运行状态，提高了工作效率，实际完成预期目标。未发现问题。</w:t>
      </w:r>
    </w:p>
    <w:p>
      <w:pPr>
        <w:widowControl/>
        <w:spacing w:line="360" w:lineRule="auto"/>
        <w:ind w:firstLine="640" w:firstLineChars="200"/>
        <w:jc w:val="left"/>
        <w:rPr>
          <w:rFonts w:hint="eastAsia" w:ascii="CESI仿宋-GB2312" w:hAnsi="CESI仿宋-GB2312" w:eastAsia="CESI仿宋-GB2312" w:cs="CESI仿宋-GB2312"/>
          <w:sz w:val="32"/>
          <w:szCs w:val="32"/>
          <w:lang w:val="en-US" w:eastAsia="zh-CN"/>
        </w:rPr>
      </w:pPr>
      <w:r>
        <w:rPr>
          <w:rFonts w:hint="eastAsia" w:ascii="CESI仿宋-GB2312" w:hAnsi="CESI仿宋-GB2312" w:eastAsia="CESI仿宋-GB2312" w:cs="CESI仿宋-GB2312"/>
          <w:sz w:val="32"/>
          <w:szCs w:val="32"/>
          <w:lang w:eastAsia="zh-CN"/>
        </w:rPr>
        <w:t>“金十条”政策奖补资金项目绩效自评情况：根据年初设定的绩效目标，项目绩效自评得分为</w:t>
      </w:r>
      <w:r>
        <w:rPr>
          <w:rFonts w:hint="eastAsia" w:ascii="CESI仿宋-GB2312" w:hAnsi="CESI仿宋-GB2312" w:eastAsia="CESI仿宋-GB2312" w:cs="CESI仿宋-GB2312"/>
          <w:sz w:val="32"/>
          <w:szCs w:val="32"/>
          <w:lang w:val="en-US" w:eastAsia="zh-CN"/>
        </w:rPr>
        <w:t>97</w:t>
      </w:r>
      <w:r>
        <w:rPr>
          <w:rFonts w:hint="eastAsia" w:ascii="CESI仿宋-GB2312" w:hAnsi="CESI仿宋-GB2312" w:eastAsia="CESI仿宋-GB2312" w:cs="CESI仿宋-GB2312"/>
          <w:sz w:val="32"/>
          <w:szCs w:val="32"/>
          <w:lang w:eastAsia="zh-CN"/>
        </w:rPr>
        <w:t>分。全年预算数为</w:t>
      </w:r>
      <w:r>
        <w:rPr>
          <w:rFonts w:hint="eastAsia" w:ascii="CESI仿宋-GB2312" w:hAnsi="CESI仿宋-GB2312" w:eastAsia="CESI仿宋-GB2312" w:cs="CESI仿宋-GB2312"/>
          <w:sz w:val="32"/>
          <w:szCs w:val="32"/>
          <w:lang w:val="en-US" w:eastAsia="zh-CN"/>
        </w:rPr>
        <w:t>190.81</w:t>
      </w:r>
      <w:r>
        <w:rPr>
          <w:rFonts w:hint="eastAsia" w:ascii="CESI仿宋-GB2312" w:hAnsi="CESI仿宋-GB2312" w:eastAsia="CESI仿宋-GB2312" w:cs="CESI仿宋-GB2312"/>
          <w:sz w:val="32"/>
          <w:szCs w:val="32"/>
          <w:lang w:eastAsia="zh-CN"/>
        </w:rPr>
        <w:t>万元，执行数为</w:t>
      </w:r>
      <w:r>
        <w:rPr>
          <w:rFonts w:hint="eastAsia" w:ascii="CESI仿宋-GB2312" w:hAnsi="CESI仿宋-GB2312" w:eastAsia="CESI仿宋-GB2312" w:cs="CESI仿宋-GB2312"/>
          <w:sz w:val="32"/>
          <w:szCs w:val="32"/>
          <w:lang w:val="en-US" w:eastAsia="zh-CN"/>
        </w:rPr>
        <w:t>190.81</w:t>
      </w:r>
      <w:r>
        <w:rPr>
          <w:rFonts w:hint="eastAsia" w:ascii="CESI仿宋-GB2312" w:hAnsi="CESI仿宋-GB2312" w:eastAsia="CESI仿宋-GB2312" w:cs="CESI仿宋-GB2312"/>
          <w:sz w:val="32"/>
          <w:szCs w:val="32"/>
          <w:lang w:eastAsia="zh-CN"/>
        </w:rPr>
        <w:t>万元，完成预算的100%。通过项目实施，奖补企业</w:t>
      </w:r>
      <w:r>
        <w:rPr>
          <w:rFonts w:hint="eastAsia" w:ascii="CESI仿宋-GB2312" w:hAnsi="CESI仿宋-GB2312" w:eastAsia="CESI仿宋-GB2312" w:cs="CESI仿宋-GB2312"/>
          <w:sz w:val="32"/>
          <w:szCs w:val="32"/>
          <w:lang w:val="en-US" w:eastAsia="zh-CN"/>
        </w:rPr>
        <w:t>2</w:t>
      </w:r>
      <w:r>
        <w:rPr>
          <w:rFonts w:hint="eastAsia" w:ascii="CESI仿宋-GB2312" w:hAnsi="CESI仿宋-GB2312" w:eastAsia="CESI仿宋-GB2312" w:cs="CESI仿宋-GB2312"/>
          <w:sz w:val="32"/>
          <w:szCs w:val="32"/>
          <w:lang w:eastAsia="zh-CN"/>
        </w:rPr>
        <w:t>家，落实了中央和省、市决策部署，充分了发挥财政金融政策调控作用，激发了金融机构积极性，分担了金融机构风险，改善了我市中小微企业融资困难的环境，为经济社会发展提供了有力支撑，完成了年初设定的各项绩效目标。发现主要问题：年初设定的奖补企业达到</w:t>
      </w:r>
      <w:r>
        <w:rPr>
          <w:rFonts w:hint="eastAsia" w:ascii="CESI仿宋-GB2312" w:hAnsi="CESI仿宋-GB2312" w:eastAsia="CESI仿宋-GB2312" w:cs="CESI仿宋-GB2312"/>
          <w:sz w:val="32"/>
          <w:szCs w:val="32"/>
          <w:lang w:val="en-US" w:eastAsia="zh-CN"/>
        </w:rPr>
        <w:t>3家以上，实际未达到。下一步将在制定绩效目标时，设定更符合实际的目标。</w:t>
      </w:r>
    </w:p>
    <w:p>
      <w:pPr>
        <w:widowControl/>
        <w:spacing w:line="360" w:lineRule="auto"/>
        <w:ind w:firstLine="640" w:firstLineChars="200"/>
        <w:jc w:val="left"/>
        <w:rPr>
          <w:rFonts w:hint="default" w:ascii="CESI仿宋-GB2312" w:hAnsi="CESI仿宋-GB2312" w:eastAsia="CESI仿宋-GB2312" w:cs="CESI仿宋-GB2312"/>
          <w:sz w:val="32"/>
          <w:szCs w:val="32"/>
          <w:lang w:val="en-US" w:eastAsia="zh-CN"/>
        </w:rPr>
      </w:pPr>
      <w:r>
        <w:rPr>
          <w:rFonts w:hint="default" w:ascii="CESI仿宋-GB2312" w:hAnsi="CESI仿宋-GB2312" w:eastAsia="CESI仿宋-GB2312" w:cs="CESI仿宋-GB2312"/>
          <w:sz w:val="32"/>
          <w:szCs w:val="32"/>
          <w:lang w:val="en-US" w:eastAsia="zh-CN"/>
        </w:rPr>
        <w:t>《金融界》及融媒体提升金融影响力项目绩效自评情况：根据年初设定的绩效目标，项目绩效自评得分为100分。全年预算数为</w:t>
      </w:r>
      <w:r>
        <w:rPr>
          <w:rFonts w:hint="eastAsia" w:ascii="CESI仿宋-GB2312" w:hAnsi="CESI仿宋-GB2312" w:eastAsia="CESI仿宋-GB2312" w:cs="CESI仿宋-GB2312"/>
          <w:sz w:val="32"/>
          <w:szCs w:val="32"/>
          <w:lang w:val="en-US" w:eastAsia="zh-CN"/>
        </w:rPr>
        <w:t>39</w:t>
      </w:r>
      <w:r>
        <w:rPr>
          <w:rFonts w:hint="default" w:ascii="CESI仿宋-GB2312" w:hAnsi="CESI仿宋-GB2312" w:eastAsia="CESI仿宋-GB2312" w:cs="CESI仿宋-GB2312"/>
          <w:sz w:val="32"/>
          <w:szCs w:val="32"/>
          <w:lang w:val="en" w:eastAsia="zh-CN"/>
        </w:rPr>
        <w:t>.00</w:t>
      </w:r>
      <w:r>
        <w:rPr>
          <w:rFonts w:hint="default" w:ascii="CESI仿宋-GB2312" w:hAnsi="CESI仿宋-GB2312" w:eastAsia="CESI仿宋-GB2312" w:cs="CESI仿宋-GB2312"/>
          <w:sz w:val="32"/>
          <w:szCs w:val="32"/>
          <w:lang w:val="en-US" w:eastAsia="zh-CN"/>
        </w:rPr>
        <w:t>万元，执行数出</w:t>
      </w:r>
      <w:r>
        <w:rPr>
          <w:rFonts w:hint="eastAsia" w:ascii="CESI仿宋-GB2312" w:hAnsi="CESI仿宋-GB2312" w:eastAsia="CESI仿宋-GB2312" w:cs="CESI仿宋-GB2312"/>
          <w:sz w:val="32"/>
          <w:szCs w:val="32"/>
          <w:lang w:val="en-US" w:eastAsia="zh-CN"/>
        </w:rPr>
        <w:t>39</w:t>
      </w:r>
      <w:r>
        <w:rPr>
          <w:rFonts w:hint="default" w:ascii="CESI仿宋-GB2312" w:hAnsi="CESI仿宋-GB2312" w:eastAsia="CESI仿宋-GB2312" w:cs="CESI仿宋-GB2312"/>
          <w:sz w:val="32"/>
          <w:szCs w:val="32"/>
          <w:lang w:val="en" w:eastAsia="zh-CN"/>
        </w:rPr>
        <w:t>.00</w:t>
      </w:r>
      <w:r>
        <w:rPr>
          <w:rFonts w:hint="default" w:ascii="CESI仿宋-GB2312" w:hAnsi="CESI仿宋-GB2312" w:eastAsia="CESI仿宋-GB2312" w:cs="CESI仿宋-GB2312"/>
          <w:sz w:val="32"/>
          <w:szCs w:val="32"/>
          <w:lang w:val="en-US" w:eastAsia="zh-CN"/>
        </w:rPr>
        <w:t>万元，完成预算的</w:t>
      </w:r>
      <w:r>
        <w:rPr>
          <w:rFonts w:hint="eastAsia" w:ascii="CESI仿宋-GB2312" w:hAnsi="CESI仿宋-GB2312" w:eastAsia="CESI仿宋-GB2312" w:cs="CESI仿宋-GB2312"/>
          <w:sz w:val="32"/>
          <w:szCs w:val="32"/>
          <w:lang w:val="en-US" w:eastAsia="zh-CN"/>
        </w:rPr>
        <w:t>100</w:t>
      </w:r>
      <w:r>
        <w:rPr>
          <w:rFonts w:hint="default" w:ascii="CESI仿宋-GB2312" w:hAnsi="CESI仿宋-GB2312" w:eastAsia="CESI仿宋-GB2312" w:cs="CESI仿宋-GB2312"/>
          <w:sz w:val="32"/>
          <w:szCs w:val="32"/>
          <w:lang w:val="en" w:eastAsia="zh-CN"/>
        </w:rPr>
        <w:t>.0</w:t>
      </w:r>
      <w:r>
        <w:rPr>
          <w:rFonts w:hint="default" w:ascii="CESI仿宋-GB2312" w:hAnsi="CESI仿宋-GB2312" w:eastAsia="CESI仿宋-GB2312" w:cs="CESI仿宋-GB2312"/>
          <w:sz w:val="32"/>
          <w:szCs w:val="32"/>
          <w:lang w:val="en-US" w:eastAsia="zh-CN"/>
        </w:rPr>
        <w:t>%。通过项目实施，营造了金融工作的良好舆论氛围，扩大了金融工作对社会经济的影响力，完成了年初设定的各项绩效目标。</w:t>
      </w:r>
      <w:r>
        <w:rPr>
          <w:rFonts w:hint="eastAsia" w:ascii="CESI仿宋-GB2312" w:hAnsi="CESI仿宋-GB2312" w:eastAsia="CESI仿宋-GB2312" w:cs="CESI仿宋-GB2312"/>
          <w:sz w:val="32"/>
          <w:szCs w:val="32"/>
          <w:lang w:val="en-US" w:eastAsia="zh-CN"/>
        </w:rPr>
        <w:t>未发现问题。</w:t>
      </w:r>
    </w:p>
    <w:p>
      <w:pPr>
        <w:widowControl/>
        <w:spacing w:line="360" w:lineRule="auto"/>
        <w:ind w:firstLine="640" w:firstLineChars="200"/>
        <w:jc w:val="left"/>
        <w:rPr>
          <w:rFonts w:hint="eastAsia" w:ascii="CESI仿宋-GB2312" w:hAnsi="CESI仿宋-GB2312" w:eastAsia="CESI仿宋-GB2312" w:cs="CESI仿宋-GB2312"/>
          <w:sz w:val="32"/>
          <w:szCs w:val="32"/>
          <w:lang w:val="en-US" w:eastAsia="zh-CN"/>
        </w:rPr>
      </w:pPr>
      <w:r>
        <w:rPr>
          <w:rFonts w:hint="default" w:ascii="CESI仿宋-GB2312" w:hAnsi="CESI仿宋-GB2312" w:eastAsia="CESI仿宋-GB2312" w:cs="CESI仿宋-GB2312"/>
          <w:sz w:val="32"/>
          <w:szCs w:val="32"/>
          <w:lang w:val="en-US" w:eastAsia="zh-CN"/>
        </w:rPr>
        <w:t>地方金融监管专项经费项目绩效自评情况：根据年初设定的绩效目标，项目绩效自评得分为</w:t>
      </w:r>
      <w:r>
        <w:rPr>
          <w:rFonts w:hint="eastAsia" w:ascii="CESI仿宋-GB2312" w:hAnsi="CESI仿宋-GB2312" w:eastAsia="CESI仿宋-GB2312" w:cs="CESI仿宋-GB2312"/>
          <w:sz w:val="32"/>
          <w:szCs w:val="32"/>
          <w:lang w:val="en-US" w:eastAsia="zh-CN"/>
        </w:rPr>
        <w:t>99</w:t>
      </w:r>
      <w:r>
        <w:rPr>
          <w:rFonts w:hint="default" w:ascii="CESI仿宋-GB2312" w:hAnsi="CESI仿宋-GB2312" w:eastAsia="CESI仿宋-GB2312" w:cs="CESI仿宋-GB2312"/>
          <w:sz w:val="32"/>
          <w:szCs w:val="32"/>
          <w:lang w:val="en-US" w:eastAsia="zh-CN"/>
        </w:rPr>
        <w:t>分。全年预算数为</w:t>
      </w:r>
      <w:r>
        <w:rPr>
          <w:rFonts w:hint="eastAsia" w:ascii="CESI仿宋-GB2312" w:hAnsi="CESI仿宋-GB2312" w:eastAsia="CESI仿宋-GB2312" w:cs="CESI仿宋-GB2312"/>
          <w:sz w:val="32"/>
          <w:szCs w:val="32"/>
          <w:lang w:val="en-US" w:eastAsia="zh-CN"/>
        </w:rPr>
        <w:t>42.2</w:t>
      </w:r>
      <w:r>
        <w:rPr>
          <w:rFonts w:hint="default" w:ascii="CESI仿宋-GB2312" w:hAnsi="CESI仿宋-GB2312" w:eastAsia="CESI仿宋-GB2312" w:cs="CESI仿宋-GB2312"/>
          <w:sz w:val="32"/>
          <w:szCs w:val="32"/>
          <w:lang w:val="en" w:eastAsia="zh-CN"/>
        </w:rPr>
        <w:t>0</w:t>
      </w:r>
      <w:r>
        <w:rPr>
          <w:rFonts w:hint="default" w:ascii="CESI仿宋-GB2312" w:hAnsi="CESI仿宋-GB2312" w:eastAsia="CESI仿宋-GB2312" w:cs="CESI仿宋-GB2312"/>
          <w:sz w:val="32"/>
          <w:szCs w:val="32"/>
          <w:lang w:val="en-US" w:eastAsia="zh-CN"/>
        </w:rPr>
        <w:t>万元，执行数为</w:t>
      </w:r>
      <w:r>
        <w:rPr>
          <w:rFonts w:hint="eastAsia" w:ascii="CESI仿宋-GB2312" w:hAnsi="CESI仿宋-GB2312" w:eastAsia="CESI仿宋-GB2312" w:cs="CESI仿宋-GB2312"/>
          <w:sz w:val="32"/>
          <w:szCs w:val="32"/>
          <w:lang w:val="en-US" w:eastAsia="zh-CN"/>
        </w:rPr>
        <w:t>39.19</w:t>
      </w:r>
      <w:r>
        <w:rPr>
          <w:rFonts w:hint="default" w:ascii="CESI仿宋-GB2312" w:hAnsi="CESI仿宋-GB2312" w:eastAsia="CESI仿宋-GB2312" w:cs="CESI仿宋-GB2312"/>
          <w:sz w:val="32"/>
          <w:szCs w:val="32"/>
          <w:lang w:val="en-US" w:eastAsia="zh-CN"/>
        </w:rPr>
        <w:t>万元，完成预算的</w:t>
      </w:r>
      <w:r>
        <w:rPr>
          <w:rFonts w:hint="eastAsia" w:ascii="CESI仿宋-GB2312" w:hAnsi="CESI仿宋-GB2312" w:eastAsia="CESI仿宋-GB2312" w:cs="CESI仿宋-GB2312"/>
          <w:sz w:val="32"/>
          <w:szCs w:val="32"/>
          <w:lang w:val="en-US" w:eastAsia="zh-CN"/>
        </w:rPr>
        <w:t>92.88</w:t>
      </w:r>
      <w:r>
        <w:rPr>
          <w:rFonts w:hint="default" w:ascii="CESI仿宋-GB2312" w:hAnsi="CESI仿宋-GB2312" w:eastAsia="CESI仿宋-GB2312" w:cs="CESI仿宋-GB2312"/>
          <w:sz w:val="32"/>
          <w:szCs w:val="32"/>
          <w:lang w:val="en-US" w:eastAsia="zh-CN"/>
        </w:rPr>
        <w:t>%。通过项目实施，实际检查企业2</w:t>
      </w:r>
      <w:r>
        <w:rPr>
          <w:rFonts w:hint="eastAsia" w:ascii="CESI仿宋-GB2312" w:hAnsi="CESI仿宋-GB2312" w:eastAsia="CESI仿宋-GB2312" w:cs="CESI仿宋-GB2312"/>
          <w:sz w:val="32"/>
          <w:szCs w:val="32"/>
          <w:lang w:val="en-US" w:eastAsia="zh-CN"/>
        </w:rPr>
        <w:t>7</w:t>
      </w:r>
      <w:r>
        <w:rPr>
          <w:rFonts w:hint="default" w:ascii="CESI仿宋-GB2312" w:hAnsi="CESI仿宋-GB2312" w:eastAsia="CESI仿宋-GB2312" w:cs="CESI仿宋-GB2312"/>
          <w:sz w:val="32"/>
          <w:szCs w:val="32"/>
          <w:lang w:val="en-US" w:eastAsia="zh-CN"/>
        </w:rPr>
        <w:t>家，规范了企业经营，促进了地方金融组织持续健康发展，完成了年初设定的各项绩效目标。</w:t>
      </w:r>
      <w:r>
        <w:rPr>
          <w:rFonts w:hint="eastAsia" w:ascii="CESI仿宋-GB2312" w:hAnsi="CESI仿宋-GB2312" w:eastAsia="CESI仿宋-GB2312" w:cs="CESI仿宋-GB2312"/>
          <w:sz w:val="32"/>
          <w:szCs w:val="32"/>
          <w:lang w:val="en-US" w:eastAsia="zh-CN"/>
        </w:rPr>
        <w:t>未发现问题。</w:t>
      </w:r>
    </w:p>
    <w:p>
      <w:pPr>
        <w:widowControl/>
        <w:spacing w:line="360" w:lineRule="auto"/>
        <w:ind w:firstLine="640" w:firstLineChars="200"/>
        <w:jc w:val="left"/>
        <w:rPr>
          <w:rFonts w:hint="eastAsia" w:ascii="CESI仿宋-GB2312" w:hAnsi="CESI仿宋-GB2312" w:eastAsia="CESI仿宋-GB2312" w:cs="CESI仿宋-GB2312"/>
          <w:sz w:val="32"/>
          <w:szCs w:val="32"/>
          <w:lang w:val="en-US" w:eastAsia="zh-CN"/>
        </w:rPr>
      </w:pPr>
      <w:r>
        <w:rPr>
          <w:rFonts w:hint="default" w:ascii="CESI仿宋-GB2312" w:hAnsi="CESI仿宋-GB2312" w:eastAsia="CESI仿宋-GB2312" w:cs="CESI仿宋-GB2312"/>
          <w:sz w:val="32"/>
          <w:szCs w:val="32"/>
          <w:lang w:val="en-US" w:eastAsia="zh-CN"/>
        </w:rPr>
        <w:t>防范和处置金融风险专项经费项目绩效自评情况：根据年初设定的绩效目标，项目绩效自评得分为</w:t>
      </w:r>
      <w:r>
        <w:rPr>
          <w:rFonts w:hint="eastAsia" w:ascii="CESI仿宋-GB2312" w:hAnsi="CESI仿宋-GB2312" w:eastAsia="CESI仿宋-GB2312" w:cs="CESI仿宋-GB2312"/>
          <w:sz w:val="32"/>
          <w:szCs w:val="32"/>
          <w:lang w:val="en-US" w:eastAsia="zh-CN"/>
        </w:rPr>
        <w:t>90</w:t>
      </w:r>
      <w:r>
        <w:rPr>
          <w:rFonts w:hint="default" w:ascii="CESI仿宋-GB2312" w:hAnsi="CESI仿宋-GB2312" w:eastAsia="CESI仿宋-GB2312" w:cs="CESI仿宋-GB2312"/>
          <w:sz w:val="32"/>
          <w:szCs w:val="32"/>
          <w:lang w:val="en-US" w:eastAsia="zh-CN"/>
        </w:rPr>
        <w:t>分。全年预算数为</w:t>
      </w:r>
      <w:r>
        <w:rPr>
          <w:rFonts w:hint="eastAsia" w:ascii="CESI仿宋-GB2312" w:hAnsi="CESI仿宋-GB2312" w:eastAsia="CESI仿宋-GB2312" w:cs="CESI仿宋-GB2312"/>
          <w:sz w:val="32"/>
          <w:szCs w:val="32"/>
          <w:lang w:val="en-US" w:eastAsia="zh-CN"/>
        </w:rPr>
        <w:t>120</w:t>
      </w:r>
      <w:r>
        <w:rPr>
          <w:rFonts w:hint="default" w:ascii="CESI仿宋-GB2312" w:hAnsi="CESI仿宋-GB2312" w:eastAsia="CESI仿宋-GB2312" w:cs="CESI仿宋-GB2312"/>
          <w:sz w:val="32"/>
          <w:szCs w:val="32"/>
          <w:lang w:val="en" w:eastAsia="zh-CN"/>
        </w:rPr>
        <w:t>.00</w:t>
      </w:r>
      <w:r>
        <w:rPr>
          <w:rFonts w:hint="default" w:ascii="CESI仿宋-GB2312" w:hAnsi="CESI仿宋-GB2312" w:eastAsia="CESI仿宋-GB2312" w:cs="CESI仿宋-GB2312"/>
          <w:sz w:val="32"/>
          <w:szCs w:val="32"/>
          <w:lang w:val="en-US" w:eastAsia="zh-CN"/>
        </w:rPr>
        <w:t>万元，执行数为</w:t>
      </w:r>
      <w:r>
        <w:rPr>
          <w:rFonts w:hint="eastAsia" w:ascii="CESI仿宋-GB2312" w:hAnsi="CESI仿宋-GB2312" w:eastAsia="CESI仿宋-GB2312" w:cs="CESI仿宋-GB2312"/>
          <w:sz w:val="32"/>
          <w:szCs w:val="32"/>
          <w:lang w:val="en-US" w:eastAsia="zh-CN"/>
        </w:rPr>
        <w:t>120</w:t>
      </w:r>
      <w:r>
        <w:rPr>
          <w:rFonts w:hint="default" w:ascii="CESI仿宋-GB2312" w:hAnsi="CESI仿宋-GB2312" w:eastAsia="CESI仿宋-GB2312" w:cs="CESI仿宋-GB2312"/>
          <w:sz w:val="32"/>
          <w:szCs w:val="32"/>
          <w:lang w:val="en" w:eastAsia="zh-CN"/>
        </w:rPr>
        <w:t>.00</w:t>
      </w:r>
      <w:r>
        <w:rPr>
          <w:rFonts w:hint="default" w:ascii="CESI仿宋-GB2312" w:hAnsi="CESI仿宋-GB2312" w:eastAsia="CESI仿宋-GB2312" w:cs="CESI仿宋-GB2312"/>
          <w:sz w:val="32"/>
          <w:szCs w:val="32"/>
          <w:lang w:val="en-US" w:eastAsia="zh-CN"/>
        </w:rPr>
        <w:t>万元，完成预算的</w:t>
      </w:r>
      <w:r>
        <w:rPr>
          <w:rFonts w:hint="eastAsia" w:ascii="CESI仿宋-GB2312" w:hAnsi="CESI仿宋-GB2312" w:eastAsia="CESI仿宋-GB2312" w:cs="CESI仿宋-GB2312"/>
          <w:sz w:val="32"/>
          <w:szCs w:val="32"/>
          <w:lang w:val="en-US" w:eastAsia="zh-CN"/>
        </w:rPr>
        <w:t>100</w:t>
      </w:r>
      <w:r>
        <w:rPr>
          <w:rFonts w:hint="default" w:ascii="CESI仿宋-GB2312" w:hAnsi="CESI仿宋-GB2312" w:eastAsia="CESI仿宋-GB2312" w:cs="CESI仿宋-GB2312"/>
          <w:sz w:val="32"/>
          <w:szCs w:val="32"/>
          <w:lang w:val="en" w:eastAsia="zh-CN"/>
        </w:rPr>
        <w:t>.0</w:t>
      </w:r>
      <w:r>
        <w:rPr>
          <w:rFonts w:hint="default" w:ascii="CESI仿宋-GB2312" w:hAnsi="CESI仿宋-GB2312" w:eastAsia="CESI仿宋-GB2312" w:cs="CESI仿宋-GB2312"/>
          <w:sz w:val="32"/>
          <w:szCs w:val="32"/>
          <w:lang w:val="en-US" w:eastAsia="zh-CN"/>
        </w:rPr>
        <w:t>%。通过项目实施，开展公交专车、地铁宣传</w:t>
      </w:r>
      <w:r>
        <w:rPr>
          <w:rFonts w:hint="eastAsia" w:ascii="CESI仿宋-GB2312" w:hAnsi="CESI仿宋-GB2312" w:eastAsia="CESI仿宋-GB2312" w:cs="CESI仿宋-GB2312"/>
          <w:sz w:val="32"/>
          <w:szCs w:val="32"/>
          <w:lang w:val="en-US" w:eastAsia="zh-CN"/>
        </w:rPr>
        <w:t>27</w:t>
      </w:r>
      <w:r>
        <w:rPr>
          <w:rFonts w:hint="default" w:ascii="CESI仿宋-GB2312" w:hAnsi="CESI仿宋-GB2312" w:eastAsia="CESI仿宋-GB2312" w:cs="CESI仿宋-GB2312"/>
          <w:sz w:val="32"/>
          <w:szCs w:val="32"/>
          <w:lang w:val="en-US" w:eastAsia="zh-CN"/>
        </w:rPr>
        <w:t>车次，</w:t>
      </w:r>
      <w:r>
        <w:rPr>
          <w:rFonts w:hint="eastAsia" w:ascii="CESI仿宋-GB2312" w:hAnsi="CESI仿宋-GB2312" w:eastAsia="CESI仿宋-GB2312" w:cs="CESI仿宋-GB2312"/>
          <w:sz w:val="32"/>
          <w:szCs w:val="32"/>
          <w:lang w:val="en-US" w:eastAsia="zh-CN"/>
        </w:rPr>
        <w:t>开通了12346防范非法金融活动专线、防范非法集资预警平台服务，</w:t>
      </w:r>
      <w:r>
        <w:rPr>
          <w:rFonts w:hint="default" w:ascii="CESI仿宋-GB2312" w:hAnsi="CESI仿宋-GB2312" w:eastAsia="CESI仿宋-GB2312" w:cs="CESI仿宋-GB2312"/>
          <w:sz w:val="32"/>
          <w:szCs w:val="32"/>
          <w:lang w:val="en-US" w:eastAsia="zh-CN"/>
        </w:rPr>
        <w:t>营造了抵制非法集资的积极舆论，维护了社会金融稳定，完成了年初设定的各项绩效目标。</w:t>
      </w:r>
      <w:r>
        <w:rPr>
          <w:rFonts w:hint="eastAsia" w:ascii="CESI仿宋-GB2312" w:hAnsi="CESI仿宋-GB2312" w:eastAsia="CESI仿宋-GB2312" w:cs="CESI仿宋-GB2312"/>
          <w:sz w:val="32"/>
          <w:szCs w:val="32"/>
          <w:lang w:val="en-US" w:eastAsia="zh-CN"/>
        </w:rPr>
        <w:t>发现的主要问题是：总费用在分配使用时与年初制定的目标略有差距。下一步将制定更详细的资金使用计划，是资金分配更合理、更科学。</w:t>
      </w:r>
    </w:p>
    <w:p>
      <w:pPr>
        <w:widowControl/>
        <w:spacing w:line="360" w:lineRule="auto"/>
        <w:ind w:firstLine="640" w:firstLineChars="200"/>
        <w:jc w:val="left"/>
        <w:rPr>
          <w:rFonts w:hint="eastAsia" w:ascii="CESI仿宋-GB2312" w:hAnsi="CESI仿宋-GB2312" w:eastAsia="CESI仿宋-GB2312" w:cs="CESI仿宋-GB2312"/>
          <w:sz w:val="32"/>
          <w:szCs w:val="32"/>
          <w:lang w:val="en-US" w:eastAsia="zh-CN"/>
        </w:rPr>
      </w:pPr>
      <w:r>
        <w:rPr>
          <w:rFonts w:hint="eastAsia" w:ascii="CESI仿宋-GB2312" w:hAnsi="CESI仿宋-GB2312" w:eastAsia="CESI仿宋-GB2312" w:cs="CESI仿宋-GB2312"/>
          <w:sz w:val="32"/>
          <w:szCs w:val="32"/>
          <w:lang w:val="en-US" w:eastAsia="zh-CN"/>
        </w:rPr>
        <w:t>人行石家庄中心支行经费补助项目绩效自评情况：根据年初设定的绩效目标，项目绩效自评得分为100分。全年预算数为1000</w:t>
      </w:r>
      <w:r>
        <w:rPr>
          <w:rFonts w:hint="default" w:ascii="CESI仿宋-GB2312" w:hAnsi="CESI仿宋-GB2312" w:eastAsia="CESI仿宋-GB2312" w:cs="CESI仿宋-GB2312"/>
          <w:sz w:val="32"/>
          <w:szCs w:val="32"/>
          <w:lang w:val="en" w:eastAsia="zh-CN"/>
        </w:rPr>
        <w:t>.00</w:t>
      </w:r>
      <w:r>
        <w:rPr>
          <w:rFonts w:hint="eastAsia" w:ascii="CESI仿宋-GB2312" w:hAnsi="CESI仿宋-GB2312" w:eastAsia="CESI仿宋-GB2312" w:cs="CESI仿宋-GB2312"/>
          <w:sz w:val="32"/>
          <w:szCs w:val="32"/>
          <w:lang w:val="en-US" w:eastAsia="zh-CN"/>
        </w:rPr>
        <w:t>万元，执行数为1000</w:t>
      </w:r>
      <w:r>
        <w:rPr>
          <w:rFonts w:hint="default" w:ascii="CESI仿宋-GB2312" w:hAnsi="CESI仿宋-GB2312" w:eastAsia="CESI仿宋-GB2312" w:cs="CESI仿宋-GB2312"/>
          <w:sz w:val="32"/>
          <w:szCs w:val="32"/>
          <w:lang w:val="en" w:eastAsia="zh-CN"/>
        </w:rPr>
        <w:t>.00</w:t>
      </w:r>
      <w:r>
        <w:rPr>
          <w:rFonts w:hint="eastAsia" w:ascii="CESI仿宋-GB2312" w:hAnsi="CESI仿宋-GB2312" w:eastAsia="CESI仿宋-GB2312" w:cs="CESI仿宋-GB2312"/>
          <w:sz w:val="32"/>
          <w:szCs w:val="32"/>
          <w:lang w:val="en-US" w:eastAsia="zh-CN"/>
        </w:rPr>
        <w:t>万元，完成预算的100</w:t>
      </w:r>
      <w:r>
        <w:rPr>
          <w:rFonts w:hint="default" w:ascii="CESI仿宋-GB2312" w:hAnsi="CESI仿宋-GB2312" w:eastAsia="CESI仿宋-GB2312" w:cs="CESI仿宋-GB2312"/>
          <w:sz w:val="32"/>
          <w:szCs w:val="32"/>
          <w:lang w:val="en" w:eastAsia="zh-CN"/>
        </w:rPr>
        <w:t>.0</w:t>
      </w:r>
      <w:r>
        <w:rPr>
          <w:rFonts w:hint="eastAsia" w:ascii="CESI仿宋-GB2312" w:hAnsi="CESI仿宋-GB2312" w:eastAsia="CESI仿宋-GB2312" w:cs="CESI仿宋-GB2312"/>
          <w:sz w:val="32"/>
          <w:szCs w:val="32"/>
          <w:lang w:val="en-US" w:eastAsia="zh-CN"/>
        </w:rPr>
        <w:t>%。通过项目实施，解决了人行河北省分行经费困难，保障日常工作运行，人行累计参加市委、市政府会议次数28次，办理文件220件，促进人行更好的服务省会发展工作。未发现问题。</w:t>
      </w:r>
    </w:p>
    <w:p>
      <w:pPr>
        <w:widowControl/>
        <w:spacing w:line="360" w:lineRule="auto"/>
        <w:ind w:firstLine="640" w:firstLineChars="200"/>
        <w:jc w:val="left"/>
        <w:rPr>
          <w:rFonts w:hint="default" w:ascii="CESI仿宋-GB2312" w:hAnsi="CESI仿宋-GB2312" w:eastAsia="CESI仿宋-GB2312" w:cs="CESI仿宋-GB2312"/>
          <w:sz w:val="32"/>
          <w:szCs w:val="32"/>
          <w:lang w:val="en-US" w:eastAsia="zh-CN"/>
        </w:rPr>
      </w:pPr>
      <w:r>
        <w:rPr>
          <w:rFonts w:hint="default" w:ascii="CESI仿宋-GB2312" w:hAnsi="CESI仿宋-GB2312" w:eastAsia="CESI仿宋-GB2312" w:cs="CESI仿宋-GB2312"/>
          <w:sz w:val="32"/>
          <w:szCs w:val="32"/>
          <w:lang w:val="en-US" w:eastAsia="zh-CN"/>
        </w:rPr>
        <w:t>2025年度因公出国（境）经费（市委金融委员会办公室袁丽华同志随团赴香港、澳门特别行政区）项目绩效自评情况：根据年初设定的绩效目标，项目绩效自评得分为100分。全年预算数为</w:t>
      </w:r>
      <w:r>
        <w:rPr>
          <w:rFonts w:hint="eastAsia" w:ascii="CESI仿宋-GB2312" w:hAnsi="CESI仿宋-GB2312" w:eastAsia="CESI仿宋-GB2312" w:cs="CESI仿宋-GB2312"/>
          <w:sz w:val="32"/>
          <w:szCs w:val="32"/>
          <w:lang w:val="en-US" w:eastAsia="zh-CN"/>
        </w:rPr>
        <w:t>1.21</w:t>
      </w:r>
      <w:r>
        <w:rPr>
          <w:rFonts w:hint="default" w:ascii="CESI仿宋-GB2312" w:hAnsi="CESI仿宋-GB2312" w:eastAsia="CESI仿宋-GB2312" w:cs="CESI仿宋-GB2312"/>
          <w:sz w:val="32"/>
          <w:szCs w:val="32"/>
          <w:lang w:val="en-US" w:eastAsia="zh-CN"/>
        </w:rPr>
        <w:t>万元，执行数为</w:t>
      </w:r>
      <w:r>
        <w:rPr>
          <w:rFonts w:hint="eastAsia" w:ascii="CESI仿宋-GB2312" w:hAnsi="CESI仿宋-GB2312" w:eastAsia="CESI仿宋-GB2312" w:cs="CESI仿宋-GB2312"/>
          <w:sz w:val="32"/>
          <w:szCs w:val="32"/>
          <w:lang w:val="en-US" w:eastAsia="zh-CN"/>
        </w:rPr>
        <w:t>1.21</w:t>
      </w:r>
      <w:r>
        <w:rPr>
          <w:rFonts w:hint="default" w:ascii="CESI仿宋-GB2312" w:hAnsi="CESI仿宋-GB2312" w:eastAsia="CESI仿宋-GB2312" w:cs="CESI仿宋-GB2312"/>
          <w:sz w:val="32"/>
          <w:szCs w:val="32"/>
          <w:lang w:val="en-US" w:eastAsia="zh-CN"/>
        </w:rPr>
        <w:t>万元，完成预算的100</w:t>
      </w:r>
      <w:r>
        <w:rPr>
          <w:rFonts w:hint="default" w:ascii="CESI仿宋-GB2312" w:hAnsi="CESI仿宋-GB2312" w:eastAsia="CESI仿宋-GB2312" w:cs="CESI仿宋-GB2312"/>
          <w:sz w:val="32"/>
          <w:szCs w:val="32"/>
          <w:lang w:val="en" w:eastAsia="zh-CN"/>
        </w:rPr>
        <w:t>.0</w:t>
      </w:r>
      <w:r>
        <w:rPr>
          <w:rFonts w:hint="default" w:ascii="CESI仿宋-GB2312" w:hAnsi="CESI仿宋-GB2312" w:eastAsia="CESI仿宋-GB2312" w:cs="CESI仿宋-GB2312"/>
          <w:sz w:val="32"/>
          <w:szCs w:val="32"/>
          <w:lang w:val="en-US" w:eastAsia="zh-CN"/>
        </w:rPr>
        <w:t>%。通过项目实施，进一步深化了港澳金融管理部门及机构合作，出访地</w:t>
      </w:r>
      <w:r>
        <w:rPr>
          <w:rFonts w:hint="eastAsia" w:ascii="CESI仿宋-GB2312" w:hAnsi="CESI仿宋-GB2312" w:eastAsia="CESI仿宋-GB2312" w:cs="CESI仿宋-GB2312"/>
          <w:sz w:val="32"/>
          <w:szCs w:val="32"/>
          <w:lang w:val="en-US" w:eastAsia="zh-CN"/>
        </w:rPr>
        <w:t>2个，交流访问金融机构10家，</w:t>
      </w:r>
      <w:r>
        <w:rPr>
          <w:rFonts w:hint="default" w:ascii="CESI仿宋-GB2312" w:hAnsi="CESI仿宋-GB2312" w:eastAsia="CESI仿宋-GB2312" w:cs="CESI仿宋-GB2312"/>
          <w:sz w:val="32"/>
          <w:szCs w:val="32"/>
          <w:lang w:val="en-US" w:eastAsia="zh-CN"/>
        </w:rPr>
        <w:t>推动了金融高质量发展。未发现问题。</w:t>
      </w:r>
    </w:p>
    <w:p>
      <w:pPr>
        <w:widowControl/>
        <w:spacing w:line="360" w:lineRule="auto"/>
        <w:ind w:firstLine="640" w:firstLineChars="200"/>
        <w:jc w:val="left"/>
        <w:rPr>
          <w:rFonts w:hint="eastAsia" w:ascii="CESI仿宋-GB2312" w:hAnsi="CESI仿宋-GB2312" w:eastAsia="CESI仿宋-GB2312" w:cs="CESI仿宋-GB2312"/>
          <w:sz w:val="32"/>
          <w:szCs w:val="32"/>
          <w:lang w:val="en-US" w:eastAsia="zh-CN"/>
        </w:rPr>
      </w:pPr>
      <w:r>
        <w:rPr>
          <w:rFonts w:hint="default" w:ascii="CESI仿宋-GB2312" w:hAnsi="CESI仿宋-GB2312" w:eastAsia="CESI仿宋-GB2312" w:cs="CESI仿宋-GB2312"/>
          <w:sz w:val="32"/>
          <w:szCs w:val="32"/>
          <w:lang w:val="en-US" w:eastAsia="zh-CN"/>
        </w:rPr>
        <w:t>河北资本市场大讲堂石家庄站活动经费项目绩效自评情况：根据年初设定的绩效目标，项目绩效自评得分为</w:t>
      </w:r>
      <w:r>
        <w:rPr>
          <w:rFonts w:hint="eastAsia" w:ascii="CESI仿宋-GB2312" w:hAnsi="CESI仿宋-GB2312" w:eastAsia="CESI仿宋-GB2312" w:cs="CESI仿宋-GB2312"/>
          <w:sz w:val="32"/>
          <w:szCs w:val="32"/>
          <w:lang w:val="en-US" w:eastAsia="zh-CN"/>
        </w:rPr>
        <w:t>99</w:t>
      </w:r>
      <w:r>
        <w:rPr>
          <w:rFonts w:hint="default" w:ascii="CESI仿宋-GB2312" w:hAnsi="CESI仿宋-GB2312" w:eastAsia="CESI仿宋-GB2312" w:cs="CESI仿宋-GB2312"/>
          <w:sz w:val="32"/>
          <w:szCs w:val="32"/>
          <w:lang w:val="en-US" w:eastAsia="zh-CN"/>
        </w:rPr>
        <w:t>分。全年预算数为</w:t>
      </w:r>
      <w:r>
        <w:rPr>
          <w:rFonts w:hint="eastAsia" w:ascii="CESI仿宋-GB2312" w:hAnsi="CESI仿宋-GB2312" w:eastAsia="CESI仿宋-GB2312" w:cs="CESI仿宋-GB2312"/>
          <w:sz w:val="32"/>
          <w:szCs w:val="32"/>
          <w:lang w:val="en-US" w:eastAsia="zh-CN"/>
        </w:rPr>
        <w:t>14.3</w:t>
      </w:r>
      <w:r>
        <w:rPr>
          <w:rFonts w:hint="default" w:ascii="CESI仿宋-GB2312" w:hAnsi="CESI仿宋-GB2312" w:eastAsia="CESI仿宋-GB2312" w:cs="CESI仿宋-GB2312"/>
          <w:sz w:val="32"/>
          <w:szCs w:val="32"/>
          <w:lang w:val="en-US" w:eastAsia="zh-CN"/>
        </w:rPr>
        <w:t>万元，执行数为</w:t>
      </w:r>
      <w:r>
        <w:rPr>
          <w:rFonts w:hint="eastAsia" w:ascii="CESI仿宋-GB2312" w:hAnsi="CESI仿宋-GB2312" w:eastAsia="CESI仿宋-GB2312" w:cs="CESI仿宋-GB2312"/>
          <w:sz w:val="32"/>
          <w:szCs w:val="32"/>
          <w:lang w:val="en-US" w:eastAsia="zh-CN"/>
        </w:rPr>
        <w:t>14.25</w:t>
      </w:r>
      <w:r>
        <w:rPr>
          <w:rFonts w:hint="default" w:ascii="CESI仿宋-GB2312" w:hAnsi="CESI仿宋-GB2312" w:eastAsia="CESI仿宋-GB2312" w:cs="CESI仿宋-GB2312"/>
          <w:sz w:val="32"/>
          <w:szCs w:val="32"/>
          <w:lang w:val="en-US" w:eastAsia="zh-CN"/>
        </w:rPr>
        <w:t>万元，完成预算的</w:t>
      </w:r>
      <w:r>
        <w:rPr>
          <w:rFonts w:hint="eastAsia" w:ascii="CESI仿宋-GB2312" w:hAnsi="CESI仿宋-GB2312" w:eastAsia="CESI仿宋-GB2312" w:cs="CESI仿宋-GB2312"/>
          <w:sz w:val="32"/>
          <w:szCs w:val="32"/>
          <w:lang w:val="en-US" w:eastAsia="zh-CN"/>
        </w:rPr>
        <w:t>99.64</w:t>
      </w:r>
      <w:r>
        <w:rPr>
          <w:rFonts w:hint="default" w:ascii="CESI仿宋-GB2312" w:hAnsi="CESI仿宋-GB2312" w:eastAsia="CESI仿宋-GB2312" w:cs="CESI仿宋-GB2312"/>
          <w:sz w:val="32"/>
          <w:szCs w:val="32"/>
          <w:lang w:val="en-US" w:eastAsia="zh-CN"/>
        </w:rPr>
        <w:t>%。通过项目实施，落实了省委、省政府关于金融服务实体经济高质量发展的有关要求，参加活动人员</w:t>
      </w:r>
      <w:r>
        <w:rPr>
          <w:rFonts w:hint="eastAsia" w:ascii="CESI仿宋-GB2312" w:hAnsi="CESI仿宋-GB2312" w:eastAsia="CESI仿宋-GB2312" w:cs="CESI仿宋-GB2312"/>
          <w:sz w:val="32"/>
          <w:szCs w:val="32"/>
          <w:lang w:val="en-US" w:eastAsia="zh-CN"/>
        </w:rPr>
        <w:t>855人，参加地市覆盖率100</w:t>
      </w:r>
      <w:r>
        <w:rPr>
          <w:rFonts w:hint="default" w:ascii="CESI仿宋-GB2312" w:hAnsi="CESI仿宋-GB2312" w:eastAsia="CESI仿宋-GB2312" w:cs="CESI仿宋-GB2312"/>
          <w:sz w:val="32"/>
          <w:szCs w:val="32"/>
          <w:lang w:val="en" w:eastAsia="zh-CN"/>
        </w:rPr>
        <w:t>.0</w:t>
      </w:r>
      <w:r>
        <w:rPr>
          <w:rFonts w:hint="eastAsia" w:ascii="CESI仿宋-GB2312" w:hAnsi="CESI仿宋-GB2312" w:eastAsia="CESI仿宋-GB2312" w:cs="CESI仿宋-GB2312"/>
          <w:sz w:val="32"/>
          <w:szCs w:val="32"/>
          <w:lang w:val="en-US" w:eastAsia="zh-CN"/>
        </w:rPr>
        <w:t>%，</w:t>
      </w:r>
      <w:r>
        <w:rPr>
          <w:rFonts w:hint="default" w:ascii="CESI仿宋-GB2312" w:hAnsi="CESI仿宋-GB2312" w:eastAsia="CESI仿宋-GB2312" w:cs="CESI仿宋-GB2312"/>
          <w:sz w:val="32"/>
          <w:szCs w:val="32"/>
          <w:lang w:val="en-US" w:eastAsia="zh-CN"/>
        </w:rPr>
        <w:t>提升了企业资本市场运作和现代金融工具应用能力，促进了产业与资本深度融合。</w:t>
      </w:r>
      <w:r>
        <w:rPr>
          <w:rFonts w:hint="eastAsia" w:ascii="CESI仿宋-GB2312" w:hAnsi="CESI仿宋-GB2312" w:eastAsia="CESI仿宋-GB2312" w:cs="CESI仿宋-GB2312"/>
          <w:sz w:val="32"/>
          <w:szCs w:val="32"/>
          <w:lang w:val="en-US" w:eastAsia="zh-CN"/>
        </w:rPr>
        <w:t>未发现问题。</w:t>
      </w:r>
    </w:p>
    <w:p>
      <w:pPr>
        <w:widowControl/>
        <w:spacing w:line="360" w:lineRule="auto"/>
        <w:ind w:firstLine="640" w:firstLineChars="200"/>
        <w:jc w:val="left"/>
        <w:rPr>
          <w:rFonts w:hint="eastAsia" w:ascii="CESI仿宋-GB2312" w:hAnsi="CESI仿宋-GB2312" w:eastAsia="CESI仿宋-GB2312" w:cs="CESI仿宋-GB2312"/>
          <w:sz w:val="32"/>
          <w:szCs w:val="32"/>
          <w:lang w:val="en-US" w:eastAsia="zh-CN"/>
        </w:rPr>
      </w:pPr>
      <w:r>
        <w:rPr>
          <w:rFonts w:hint="eastAsia" w:ascii="CESI仿宋-GB2312" w:hAnsi="CESI仿宋-GB2312" w:eastAsia="CESI仿宋-GB2312" w:cs="CESI仿宋-GB2312"/>
          <w:sz w:val="32"/>
          <w:szCs w:val="32"/>
          <w:lang w:val="en-US" w:eastAsia="zh-CN"/>
        </w:rPr>
        <w:t>东旭集团风险化解工作相关经费项目绩效自评情况：根据年初设定的绩效目标，项目绩效自评得分为89分。全年预算数为149.51万元，执行数为149.49万元，完成预算的99.99%。通过项目实施，成立风险专班下设5个工作组，妥善化解东旭集团现阶段可能引发的各种风险，有序推进了东旭集团风险化解工作。发现的主要问题是：总费用在分配使用时与年初制定的目标略有差距。下一步将制定更详细的资金使用计划，是资金分配更合理、更科学。</w:t>
      </w:r>
    </w:p>
    <w:p>
      <w:pPr>
        <w:widowControl/>
        <w:spacing w:line="360" w:lineRule="auto"/>
        <w:ind w:firstLine="640" w:firstLineChars="200"/>
        <w:jc w:val="left"/>
        <w:rPr>
          <w:rFonts w:hint="eastAsia" w:ascii="CESI仿宋-GB2312" w:hAnsi="CESI仿宋-GB2312" w:eastAsia="CESI仿宋-GB2312" w:cs="CESI仿宋-GB2312"/>
          <w:sz w:val="32"/>
          <w:szCs w:val="32"/>
          <w:lang w:val="en-US" w:eastAsia="zh-CN"/>
        </w:rPr>
      </w:pPr>
      <w:r>
        <w:rPr>
          <w:rFonts w:hint="eastAsia" w:ascii="CESI仿宋-GB2312" w:hAnsi="CESI仿宋-GB2312" w:eastAsia="CESI仿宋-GB2312" w:cs="CESI仿宋-GB2312"/>
          <w:sz w:val="32"/>
          <w:szCs w:val="32"/>
          <w:lang w:val="en-US" w:eastAsia="zh-CN"/>
        </w:rPr>
        <w:t>东旭集团风险化解第二阶段专项经费项目绩效自评情况：根据年初设定的绩效目标，项目绩效自评得分为100分。全年预算数为62.57万元，执行数为62.57万元，完成预算的100</w:t>
      </w:r>
      <w:r>
        <w:rPr>
          <w:rFonts w:hint="default" w:ascii="CESI仿宋-GB2312" w:hAnsi="CESI仿宋-GB2312" w:eastAsia="CESI仿宋-GB2312" w:cs="CESI仿宋-GB2312"/>
          <w:sz w:val="32"/>
          <w:szCs w:val="32"/>
          <w:lang w:val="en" w:eastAsia="zh-CN"/>
        </w:rPr>
        <w:t>.0</w:t>
      </w:r>
      <w:bookmarkStart w:id="0" w:name="_GoBack"/>
      <w:bookmarkEnd w:id="0"/>
      <w:r>
        <w:rPr>
          <w:rFonts w:hint="eastAsia" w:ascii="CESI仿宋-GB2312" w:hAnsi="CESI仿宋-GB2312" w:eastAsia="CESI仿宋-GB2312" w:cs="CESI仿宋-GB2312"/>
          <w:sz w:val="32"/>
          <w:szCs w:val="32"/>
          <w:lang w:val="en-US" w:eastAsia="zh-CN"/>
        </w:rPr>
        <w:t>%。通过项目实施，成立风险专班下设5个工作组，妥善化解东旭集团现阶段可能引发的各种风险，有序推进了东旭集团风险化解工作。未发现问题。</w:t>
      </w:r>
    </w:p>
    <w:p>
      <w:pPr>
        <w:widowControl/>
        <w:spacing w:line="360" w:lineRule="auto"/>
        <w:jc w:val="left"/>
        <w:rPr>
          <w:rFonts w:hint="eastAsia" w:ascii="CESI仿宋-GB2312" w:hAnsi="CESI仿宋-GB2312" w:eastAsia="CESI仿宋-GB2312" w:cs="CESI仿宋-GB2312"/>
          <w:sz w:val="32"/>
          <w:szCs w:val="32"/>
          <w:lang w:val="en-US" w:eastAsia="zh-CN"/>
        </w:rPr>
      </w:pPr>
      <w:r>
        <w:rPr>
          <w:rFonts w:hint="eastAsia" w:ascii="CESI仿宋-GB2312" w:hAnsi="CESI仿宋-GB2312" w:eastAsia="CESI仿宋-GB2312" w:cs="CESI仿宋-GB2312"/>
          <w:sz w:val="32"/>
          <w:szCs w:val="32"/>
          <w:lang w:val="en-US" w:eastAsia="zh-CN"/>
        </w:rPr>
        <w:drawing>
          <wp:inline distT="0" distB="0" distL="114300" distR="114300">
            <wp:extent cx="5755640" cy="4937760"/>
            <wp:effectExtent l="0" t="0" r="16510" b="15240"/>
            <wp:docPr id="3" name="图片 3" descr="党组织活动经费"/>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 name="图片 3" descr="党组织活动经费"/>
                    <pic:cNvPicPr>
                      <a:picLocks noChangeAspect="true"/>
                    </pic:cNvPicPr>
                  </pic:nvPicPr>
                  <pic:blipFill>
                    <a:blip r:embed="rId16"/>
                    <a:stretch>
                      <a:fillRect/>
                    </a:stretch>
                  </pic:blipFill>
                  <pic:spPr>
                    <a:xfrm>
                      <a:off x="0" y="0"/>
                      <a:ext cx="5755640" cy="4937760"/>
                    </a:xfrm>
                    <a:prstGeom prst="rect">
                      <a:avLst/>
                    </a:prstGeom>
                  </pic:spPr>
                </pic:pic>
              </a:graphicData>
            </a:graphic>
          </wp:inline>
        </w:drawing>
      </w:r>
    </w:p>
    <w:p>
      <w:pPr>
        <w:widowControl/>
        <w:spacing w:line="360" w:lineRule="auto"/>
        <w:jc w:val="left"/>
        <w:rPr>
          <w:rFonts w:hint="default" w:ascii="CESI仿宋-GB2312" w:hAnsi="CESI仿宋-GB2312" w:eastAsia="CESI仿宋-GB2312" w:cs="CESI仿宋-GB2312"/>
          <w:sz w:val="32"/>
          <w:szCs w:val="32"/>
          <w:lang w:val="en-US" w:eastAsia="zh-CN"/>
        </w:rPr>
      </w:pPr>
      <w:r>
        <w:rPr>
          <w:rFonts w:hint="default" w:ascii="CESI仿宋-GB2312" w:hAnsi="CESI仿宋-GB2312" w:eastAsia="CESI仿宋-GB2312" w:cs="CESI仿宋-GB2312"/>
          <w:sz w:val="32"/>
          <w:szCs w:val="32"/>
          <w:lang w:val="en-US" w:eastAsia="zh-CN"/>
        </w:rPr>
        <w:drawing>
          <wp:inline distT="0" distB="0" distL="114300" distR="114300">
            <wp:extent cx="5756910" cy="4925695"/>
            <wp:effectExtent l="0" t="0" r="15240" b="8255"/>
            <wp:docPr id="6" name="图片 6" descr="截图录屏_选择区域_20260824142815"/>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6" name="图片 6" descr="截图录屏_选择区域_20260824142815"/>
                    <pic:cNvPicPr>
                      <a:picLocks noChangeAspect="true"/>
                    </pic:cNvPicPr>
                  </pic:nvPicPr>
                  <pic:blipFill>
                    <a:blip r:embed="rId17"/>
                    <a:stretch>
                      <a:fillRect/>
                    </a:stretch>
                  </pic:blipFill>
                  <pic:spPr>
                    <a:xfrm>
                      <a:off x="0" y="0"/>
                      <a:ext cx="5756910" cy="4925695"/>
                    </a:xfrm>
                    <a:prstGeom prst="rect">
                      <a:avLst/>
                    </a:prstGeom>
                  </pic:spPr>
                </pic:pic>
              </a:graphicData>
            </a:graphic>
          </wp:inline>
        </w:drawing>
      </w:r>
    </w:p>
    <w:p>
      <w:pPr>
        <w:widowControl/>
        <w:spacing w:line="360" w:lineRule="auto"/>
        <w:jc w:val="left"/>
        <w:rPr>
          <w:rFonts w:hint="eastAsia" w:ascii="Times New Roman" w:eastAsia="仿宋_GB2312"/>
          <w:b/>
          <w:sz w:val="32"/>
          <w:szCs w:val="32"/>
          <w:lang w:eastAsia="zh-CN"/>
        </w:rPr>
      </w:pPr>
      <w:r>
        <w:rPr>
          <w:rFonts w:hint="eastAsia" w:ascii="Times New Roman" w:eastAsia="仿宋_GB2312"/>
          <w:b/>
          <w:sz w:val="32"/>
          <w:szCs w:val="32"/>
          <w:lang w:eastAsia="zh-CN"/>
        </w:rPr>
        <w:drawing>
          <wp:inline distT="0" distB="0" distL="114300" distR="114300">
            <wp:extent cx="5756910" cy="5064125"/>
            <wp:effectExtent l="0" t="0" r="15240" b="3175"/>
            <wp:docPr id="8" name="图片 8" descr="截图录屏_选择区域_2026082414290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8" name="图片 8" descr="截图录屏_选择区域_20260824142901"/>
                    <pic:cNvPicPr>
                      <a:picLocks noChangeAspect="true"/>
                    </pic:cNvPicPr>
                  </pic:nvPicPr>
                  <pic:blipFill>
                    <a:blip r:embed="rId18"/>
                    <a:stretch>
                      <a:fillRect/>
                    </a:stretch>
                  </pic:blipFill>
                  <pic:spPr>
                    <a:xfrm>
                      <a:off x="0" y="0"/>
                      <a:ext cx="5756910" cy="5064125"/>
                    </a:xfrm>
                    <a:prstGeom prst="rect">
                      <a:avLst/>
                    </a:prstGeom>
                  </pic:spPr>
                </pic:pic>
              </a:graphicData>
            </a:graphic>
          </wp:inline>
        </w:drawing>
      </w:r>
    </w:p>
    <w:p>
      <w:pPr>
        <w:widowControl/>
        <w:spacing w:line="360" w:lineRule="auto"/>
        <w:jc w:val="left"/>
        <w:rPr>
          <w:rFonts w:hint="eastAsia" w:ascii="Times New Roman" w:eastAsia="仿宋_GB2312"/>
          <w:b/>
          <w:sz w:val="32"/>
          <w:szCs w:val="32"/>
          <w:lang w:eastAsia="zh-CN"/>
        </w:rPr>
      </w:pPr>
      <w:r>
        <w:rPr>
          <w:rFonts w:hint="eastAsia" w:ascii="Times New Roman" w:eastAsia="仿宋_GB2312"/>
          <w:b/>
          <w:sz w:val="32"/>
          <w:szCs w:val="32"/>
          <w:lang w:eastAsia="zh-CN"/>
        </w:rPr>
        <w:drawing>
          <wp:inline distT="0" distB="0" distL="114300" distR="114300">
            <wp:extent cx="5755640" cy="5114925"/>
            <wp:effectExtent l="0" t="0" r="16510" b="9525"/>
            <wp:docPr id="10" name="图片 10" descr="截图录屏_选择区域_20260824142947"/>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0" name="图片 10" descr="截图录屏_选择区域_20260824142947"/>
                    <pic:cNvPicPr>
                      <a:picLocks noChangeAspect="true"/>
                    </pic:cNvPicPr>
                  </pic:nvPicPr>
                  <pic:blipFill>
                    <a:blip r:embed="rId19"/>
                    <a:stretch>
                      <a:fillRect/>
                    </a:stretch>
                  </pic:blipFill>
                  <pic:spPr>
                    <a:xfrm>
                      <a:off x="0" y="0"/>
                      <a:ext cx="5755640" cy="5114925"/>
                    </a:xfrm>
                    <a:prstGeom prst="rect">
                      <a:avLst/>
                    </a:prstGeom>
                  </pic:spPr>
                </pic:pic>
              </a:graphicData>
            </a:graphic>
          </wp:inline>
        </w:drawing>
      </w:r>
    </w:p>
    <w:p>
      <w:pPr>
        <w:widowControl/>
        <w:spacing w:line="360" w:lineRule="auto"/>
        <w:jc w:val="left"/>
        <w:rPr>
          <w:rFonts w:hint="eastAsia" w:ascii="Times New Roman" w:eastAsia="仿宋_GB2312"/>
          <w:b/>
          <w:sz w:val="32"/>
          <w:szCs w:val="32"/>
          <w:lang w:eastAsia="zh-CN"/>
        </w:rPr>
      </w:pPr>
      <w:r>
        <w:rPr>
          <w:rFonts w:hint="eastAsia" w:ascii="Times New Roman" w:eastAsia="仿宋_GB2312"/>
          <w:b/>
          <w:sz w:val="32"/>
          <w:szCs w:val="32"/>
          <w:lang w:eastAsia="zh-CN"/>
        </w:rPr>
        <w:drawing>
          <wp:inline distT="0" distB="0" distL="114300" distR="114300">
            <wp:extent cx="5756275" cy="5316855"/>
            <wp:effectExtent l="0" t="0" r="15875" b="17145"/>
            <wp:docPr id="12" name="图片 12" descr="业务咨询委托费"/>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2" name="图片 12" descr="业务咨询委托费"/>
                    <pic:cNvPicPr>
                      <a:picLocks noChangeAspect="true"/>
                    </pic:cNvPicPr>
                  </pic:nvPicPr>
                  <pic:blipFill>
                    <a:blip r:embed="rId20"/>
                    <a:stretch>
                      <a:fillRect/>
                    </a:stretch>
                  </pic:blipFill>
                  <pic:spPr>
                    <a:xfrm>
                      <a:off x="0" y="0"/>
                      <a:ext cx="5756275" cy="5316855"/>
                    </a:xfrm>
                    <a:prstGeom prst="rect">
                      <a:avLst/>
                    </a:prstGeom>
                  </pic:spPr>
                </pic:pic>
              </a:graphicData>
            </a:graphic>
          </wp:inline>
        </w:drawing>
      </w:r>
    </w:p>
    <w:p>
      <w:pPr>
        <w:widowControl/>
        <w:spacing w:line="360" w:lineRule="auto"/>
        <w:jc w:val="left"/>
        <w:rPr>
          <w:rFonts w:hint="eastAsia" w:ascii="Times New Roman" w:eastAsia="仿宋_GB2312"/>
          <w:b/>
          <w:sz w:val="32"/>
          <w:szCs w:val="32"/>
          <w:lang w:eastAsia="zh-CN"/>
        </w:rPr>
      </w:pPr>
      <w:r>
        <w:rPr>
          <w:rFonts w:hint="eastAsia" w:ascii="Times New Roman" w:eastAsia="仿宋_GB2312"/>
          <w:b/>
          <w:sz w:val="32"/>
          <w:szCs w:val="32"/>
          <w:lang w:eastAsia="zh-CN"/>
        </w:rPr>
        <w:drawing>
          <wp:inline distT="0" distB="0" distL="114300" distR="114300">
            <wp:extent cx="5755640" cy="5053330"/>
            <wp:effectExtent l="0" t="0" r="16510" b="13970"/>
            <wp:docPr id="13" name="图片 13" descr="截图录屏_选择区域_20260824143126"/>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3" name="图片 13" descr="截图录屏_选择区域_20260824143126"/>
                    <pic:cNvPicPr>
                      <a:picLocks noChangeAspect="true"/>
                    </pic:cNvPicPr>
                  </pic:nvPicPr>
                  <pic:blipFill>
                    <a:blip r:embed="rId21"/>
                    <a:stretch>
                      <a:fillRect/>
                    </a:stretch>
                  </pic:blipFill>
                  <pic:spPr>
                    <a:xfrm>
                      <a:off x="0" y="0"/>
                      <a:ext cx="5755640" cy="5053330"/>
                    </a:xfrm>
                    <a:prstGeom prst="rect">
                      <a:avLst/>
                    </a:prstGeom>
                  </pic:spPr>
                </pic:pic>
              </a:graphicData>
            </a:graphic>
          </wp:inline>
        </w:drawing>
      </w:r>
    </w:p>
    <w:p>
      <w:pPr>
        <w:widowControl/>
        <w:spacing w:line="360" w:lineRule="auto"/>
        <w:jc w:val="left"/>
        <w:rPr>
          <w:rFonts w:hint="eastAsia" w:ascii="Times New Roman" w:eastAsia="仿宋_GB2312"/>
          <w:b/>
          <w:sz w:val="32"/>
          <w:szCs w:val="32"/>
          <w:lang w:eastAsia="zh-CN"/>
        </w:rPr>
      </w:pPr>
      <w:r>
        <w:rPr>
          <w:rFonts w:hint="eastAsia" w:ascii="Times New Roman" w:eastAsia="仿宋_GB2312"/>
          <w:b/>
          <w:sz w:val="32"/>
          <w:szCs w:val="32"/>
          <w:lang w:eastAsia="zh-CN"/>
        </w:rPr>
        <w:drawing>
          <wp:inline distT="0" distB="0" distL="114300" distR="114300">
            <wp:extent cx="5760720" cy="4838700"/>
            <wp:effectExtent l="0" t="0" r="11430" b="0"/>
            <wp:docPr id="14" name="图片 14" descr="截图录屏_选择区域_20260824143209"/>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4" name="图片 14" descr="截图录屏_选择区域_20260824143209"/>
                    <pic:cNvPicPr>
                      <a:picLocks noChangeAspect="true"/>
                    </pic:cNvPicPr>
                  </pic:nvPicPr>
                  <pic:blipFill>
                    <a:blip r:embed="rId22"/>
                    <a:stretch>
                      <a:fillRect/>
                    </a:stretch>
                  </pic:blipFill>
                  <pic:spPr>
                    <a:xfrm>
                      <a:off x="0" y="0"/>
                      <a:ext cx="5760720" cy="4838700"/>
                    </a:xfrm>
                    <a:prstGeom prst="rect">
                      <a:avLst/>
                    </a:prstGeom>
                  </pic:spPr>
                </pic:pic>
              </a:graphicData>
            </a:graphic>
          </wp:inline>
        </w:drawing>
      </w:r>
    </w:p>
    <w:p>
      <w:pPr>
        <w:widowControl/>
        <w:spacing w:line="360" w:lineRule="auto"/>
        <w:jc w:val="left"/>
        <w:rPr>
          <w:rFonts w:hint="eastAsia" w:ascii="Times New Roman" w:eastAsia="仿宋_GB2312"/>
          <w:b/>
          <w:sz w:val="32"/>
          <w:szCs w:val="32"/>
          <w:lang w:eastAsia="zh-CN"/>
        </w:rPr>
      </w:pPr>
      <w:r>
        <w:rPr>
          <w:rFonts w:hint="eastAsia" w:ascii="Times New Roman" w:eastAsia="仿宋_GB2312"/>
          <w:b/>
          <w:sz w:val="32"/>
          <w:szCs w:val="32"/>
          <w:lang w:eastAsia="zh-CN"/>
        </w:rPr>
        <w:drawing>
          <wp:inline distT="0" distB="0" distL="114300" distR="114300">
            <wp:extent cx="5758180" cy="5175885"/>
            <wp:effectExtent l="0" t="0" r="13970" b="5715"/>
            <wp:docPr id="15" name="图片 15" descr="截图录屏_选择区域_2026082414325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5" name="图片 15" descr="截图录屏_选择区域_20260824143252"/>
                    <pic:cNvPicPr>
                      <a:picLocks noChangeAspect="true"/>
                    </pic:cNvPicPr>
                  </pic:nvPicPr>
                  <pic:blipFill>
                    <a:blip r:embed="rId23"/>
                    <a:stretch>
                      <a:fillRect/>
                    </a:stretch>
                  </pic:blipFill>
                  <pic:spPr>
                    <a:xfrm>
                      <a:off x="0" y="0"/>
                      <a:ext cx="5758180" cy="5175885"/>
                    </a:xfrm>
                    <a:prstGeom prst="rect">
                      <a:avLst/>
                    </a:prstGeom>
                  </pic:spPr>
                </pic:pic>
              </a:graphicData>
            </a:graphic>
          </wp:inline>
        </w:drawing>
      </w:r>
    </w:p>
    <w:p>
      <w:pPr>
        <w:widowControl/>
        <w:spacing w:line="360" w:lineRule="auto"/>
        <w:jc w:val="left"/>
        <w:rPr>
          <w:rFonts w:hint="eastAsia" w:ascii="Times New Roman" w:eastAsia="仿宋_GB2312"/>
          <w:b/>
          <w:sz w:val="32"/>
          <w:szCs w:val="32"/>
          <w:lang w:eastAsia="zh-CN"/>
        </w:rPr>
      </w:pPr>
      <w:r>
        <w:rPr>
          <w:rFonts w:hint="eastAsia" w:ascii="Times New Roman" w:eastAsia="仿宋_GB2312"/>
          <w:b/>
          <w:sz w:val="32"/>
          <w:szCs w:val="32"/>
          <w:lang w:eastAsia="zh-CN"/>
        </w:rPr>
        <w:drawing>
          <wp:inline distT="0" distB="0" distL="114300" distR="114300">
            <wp:extent cx="5756275" cy="5100955"/>
            <wp:effectExtent l="0" t="0" r="15875" b="4445"/>
            <wp:docPr id="16" name="图片 16" descr="截图录屏_选择区域_20260824143335"/>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6" name="图片 16" descr="截图录屏_选择区域_20260824143335"/>
                    <pic:cNvPicPr>
                      <a:picLocks noChangeAspect="true"/>
                    </pic:cNvPicPr>
                  </pic:nvPicPr>
                  <pic:blipFill>
                    <a:blip r:embed="rId24"/>
                    <a:stretch>
                      <a:fillRect/>
                    </a:stretch>
                  </pic:blipFill>
                  <pic:spPr>
                    <a:xfrm>
                      <a:off x="0" y="0"/>
                      <a:ext cx="5756275" cy="5100955"/>
                    </a:xfrm>
                    <a:prstGeom prst="rect">
                      <a:avLst/>
                    </a:prstGeom>
                  </pic:spPr>
                </pic:pic>
              </a:graphicData>
            </a:graphic>
          </wp:inline>
        </w:drawing>
      </w:r>
    </w:p>
    <w:p>
      <w:pPr>
        <w:widowControl/>
        <w:spacing w:line="360" w:lineRule="auto"/>
        <w:jc w:val="left"/>
        <w:rPr>
          <w:rFonts w:hint="eastAsia" w:ascii="Times New Roman" w:eastAsia="仿宋_GB2312"/>
          <w:b/>
          <w:sz w:val="32"/>
          <w:szCs w:val="32"/>
          <w:lang w:eastAsia="zh-CN"/>
        </w:rPr>
      </w:pPr>
      <w:r>
        <w:rPr>
          <w:rFonts w:hint="eastAsia" w:ascii="Times New Roman" w:eastAsia="仿宋_GB2312"/>
          <w:b/>
          <w:sz w:val="32"/>
          <w:szCs w:val="32"/>
          <w:lang w:eastAsia="zh-CN"/>
        </w:rPr>
        <w:drawing>
          <wp:inline distT="0" distB="0" distL="114300" distR="114300">
            <wp:extent cx="5759450" cy="5759450"/>
            <wp:effectExtent l="0" t="0" r="12700" b="12700"/>
            <wp:docPr id="17" name="图片 17" descr="截图录屏_选择区域_2026082414341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7" name="图片 17" descr="截图录屏_选择区域_20260824143414"/>
                    <pic:cNvPicPr>
                      <a:picLocks noChangeAspect="true"/>
                    </pic:cNvPicPr>
                  </pic:nvPicPr>
                  <pic:blipFill>
                    <a:blip r:embed="rId25"/>
                    <a:stretch>
                      <a:fillRect/>
                    </a:stretch>
                  </pic:blipFill>
                  <pic:spPr>
                    <a:xfrm>
                      <a:off x="0" y="0"/>
                      <a:ext cx="5759450" cy="5759450"/>
                    </a:xfrm>
                    <a:prstGeom prst="rect">
                      <a:avLst/>
                    </a:prstGeom>
                  </pic:spPr>
                </pic:pic>
              </a:graphicData>
            </a:graphic>
          </wp:inline>
        </w:drawing>
      </w:r>
    </w:p>
    <w:p>
      <w:pPr>
        <w:widowControl/>
        <w:spacing w:line="360" w:lineRule="auto"/>
        <w:jc w:val="left"/>
        <w:rPr>
          <w:rFonts w:hint="eastAsia" w:ascii="Times New Roman" w:eastAsia="仿宋_GB2312"/>
          <w:b/>
          <w:sz w:val="32"/>
          <w:szCs w:val="32"/>
          <w:lang w:eastAsia="zh-CN"/>
        </w:rPr>
      </w:pPr>
      <w:r>
        <w:rPr>
          <w:rFonts w:hint="eastAsia" w:ascii="Times New Roman" w:eastAsia="仿宋_GB2312"/>
          <w:b/>
          <w:sz w:val="32"/>
          <w:szCs w:val="32"/>
          <w:lang w:eastAsia="zh-CN"/>
        </w:rPr>
        <w:drawing>
          <wp:inline distT="0" distB="0" distL="114300" distR="114300">
            <wp:extent cx="5756275" cy="5124450"/>
            <wp:effectExtent l="0" t="0" r="15875" b="0"/>
            <wp:docPr id="18" name="图片 18" descr="截图录屏_选择区域_2026082414351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8" name="图片 18" descr="截图录屏_选择区域_20260824143514"/>
                    <pic:cNvPicPr>
                      <a:picLocks noChangeAspect="true"/>
                    </pic:cNvPicPr>
                  </pic:nvPicPr>
                  <pic:blipFill>
                    <a:blip r:embed="rId26"/>
                    <a:stretch>
                      <a:fillRect/>
                    </a:stretch>
                  </pic:blipFill>
                  <pic:spPr>
                    <a:xfrm>
                      <a:off x="0" y="0"/>
                      <a:ext cx="5756275" cy="5124450"/>
                    </a:xfrm>
                    <a:prstGeom prst="rect">
                      <a:avLst/>
                    </a:prstGeom>
                  </pic:spPr>
                </pic:pic>
              </a:graphicData>
            </a:graphic>
          </wp:inline>
        </w:drawing>
      </w:r>
    </w:p>
    <w:p>
      <w:pPr>
        <w:widowControl/>
        <w:spacing w:line="360" w:lineRule="auto"/>
        <w:jc w:val="left"/>
        <w:rPr>
          <w:rFonts w:hint="eastAsia" w:ascii="Times New Roman" w:eastAsia="仿宋_GB2312"/>
          <w:b/>
          <w:sz w:val="32"/>
          <w:szCs w:val="32"/>
          <w:lang w:eastAsia="zh-CN"/>
        </w:rPr>
      </w:pPr>
      <w:r>
        <w:rPr>
          <w:rFonts w:hint="eastAsia" w:ascii="Times New Roman" w:eastAsia="仿宋_GB2312"/>
          <w:b/>
          <w:sz w:val="32"/>
          <w:szCs w:val="32"/>
          <w:lang w:eastAsia="zh-CN"/>
        </w:rPr>
        <w:drawing>
          <wp:inline distT="0" distB="0" distL="114300" distR="114300">
            <wp:extent cx="5760085" cy="5660390"/>
            <wp:effectExtent l="0" t="0" r="12065" b="16510"/>
            <wp:docPr id="20" name="图片 20" descr="截图录屏_选择区域_20260824143546"/>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0" name="图片 20" descr="截图录屏_选择区域_20260824143546"/>
                    <pic:cNvPicPr>
                      <a:picLocks noChangeAspect="true"/>
                    </pic:cNvPicPr>
                  </pic:nvPicPr>
                  <pic:blipFill>
                    <a:blip r:embed="rId27"/>
                    <a:stretch>
                      <a:fillRect/>
                    </a:stretch>
                  </pic:blipFill>
                  <pic:spPr>
                    <a:xfrm>
                      <a:off x="0" y="0"/>
                      <a:ext cx="5760085" cy="5660390"/>
                    </a:xfrm>
                    <a:prstGeom prst="rect">
                      <a:avLst/>
                    </a:prstGeom>
                  </pic:spPr>
                </pic:pic>
              </a:graphicData>
            </a:graphic>
          </wp:inline>
        </w:drawing>
      </w:r>
    </w:p>
    <w:p>
      <w:pPr>
        <w:widowControl/>
        <w:spacing w:line="360" w:lineRule="auto"/>
        <w:jc w:val="left"/>
        <w:rPr>
          <w:rFonts w:hint="eastAsia" w:ascii="Times New Roman" w:eastAsia="仿宋_GB2312"/>
          <w:b/>
          <w:sz w:val="32"/>
          <w:szCs w:val="32"/>
          <w:lang w:eastAsia="zh-CN"/>
        </w:rPr>
      </w:pPr>
      <w:r>
        <w:rPr>
          <w:rFonts w:hint="eastAsia" w:ascii="Times New Roman" w:eastAsia="仿宋_GB2312"/>
          <w:b/>
          <w:sz w:val="32"/>
          <w:szCs w:val="32"/>
          <w:lang w:eastAsia="zh-CN"/>
        </w:rPr>
        <w:drawing>
          <wp:inline distT="0" distB="0" distL="114300" distR="114300">
            <wp:extent cx="5758815" cy="5445125"/>
            <wp:effectExtent l="0" t="0" r="13335" b="3175"/>
            <wp:docPr id="21" name="图片 21" descr="截图录屏_选择区域_2026082414363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1" name="图片 21" descr="截图录屏_选择区域_20260824143634"/>
                    <pic:cNvPicPr>
                      <a:picLocks noChangeAspect="true"/>
                    </pic:cNvPicPr>
                  </pic:nvPicPr>
                  <pic:blipFill>
                    <a:blip r:embed="rId28"/>
                    <a:stretch>
                      <a:fillRect/>
                    </a:stretch>
                  </pic:blipFill>
                  <pic:spPr>
                    <a:xfrm>
                      <a:off x="0" y="0"/>
                      <a:ext cx="5758815" cy="5445125"/>
                    </a:xfrm>
                    <a:prstGeom prst="rect">
                      <a:avLst/>
                    </a:prstGeom>
                  </pic:spPr>
                </pic:pic>
              </a:graphicData>
            </a:graphic>
          </wp:inline>
        </w:drawing>
      </w:r>
    </w:p>
    <w:p>
      <w:pPr>
        <w:widowControl/>
        <w:spacing w:line="360" w:lineRule="auto"/>
        <w:jc w:val="left"/>
        <w:rPr>
          <w:rFonts w:hint="eastAsia" w:ascii="Times New Roman" w:eastAsia="仿宋_GB2312"/>
          <w:b/>
          <w:sz w:val="32"/>
          <w:szCs w:val="32"/>
          <w:lang w:eastAsia="zh-CN"/>
        </w:rPr>
      </w:pPr>
      <w:r>
        <w:rPr>
          <w:rFonts w:hint="eastAsia" w:ascii="Times New Roman" w:eastAsia="仿宋_GB2312"/>
          <w:b/>
          <w:sz w:val="32"/>
          <w:szCs w:val="32"/>
          <w:lang w:eastAsia="zh-CN"/>
        </w:rPr>
        <w:drawing>
          <wp:inline distT="0" distB="0" distL="114300" distR="114300">
            <wp:extent cx="5758180" cy="5390515"/>
            <wp:effectExtent l="0" t="0" r="13970" b="635"/>
            <wp:docPr id="22" name="图片 22" descr="截图录屏_选择区域_20260824143707"/>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2" name="图片 22" descr="截图录屏_选择区域_20260824143707"/>
                    <pic:cNvPicPr>
                      <a:picLocks noChangeAspect="true"/>
                    </pic:cNvPicPr>
                  </pic:nvPicPr>
                  <pic:blipFill>
                    <a:blip r:embed="rId29"/>
                    <a:stretch>
                      <a:fillRect/>
                    </a:stretch>
                  </pic:blipFill>
                  <pic:spPr>
                    <a:xfrm>
                      <a:off x="0" y="0"/>
                      <a:ext cx="5758180" cy="5390515"/>
                    </a:xfrm>
                    <a:prstGeom prst="rect">
                      <a:avLst/>
                    </a:prstGeom>
                  </pic:spPr>
                </pic:pic>
              </a:graphicData>
            </a:graphic>
          </wp:inline>
        </w:drawing>
      </w:r>
    </w:p>
    <w:p>
      <w:pPr>
        <w:widowControl/>
        <w:spacing w:line="360" w:lineRule="auto"/>
        <w:jc w:val="left"/>
        <w:rPr>
          <w:rFonts w:hint="eastAsia" w:ascii="Times New Roman" w:eastAsia="仿宋_GB2312"/>
          <w:b/>
          <w:sz w:val="32"/>
          <w:szCs w:val="32"/>
          <w:lang w:eastAsia="zh-CN"/>
        </w:rPr>
      </w:pPr>
      <w:r>
        <w:rPr>
          <w:rFonts w:hint="eastAsia" w:ascii="Times New Roman" w:eastAsia="仿宋_GB2312"/>
          <w:b/>
          <w:sz w:val="32"/>
          <w:szCs w:val="32"/>
          <w:lang w:eastAsia="zh-CN"/>
        </w:rPr>
        <w:drawing>
          <wp:inline distT="0" distB="0" distL="114300" distR="114300">
            <wp:extent cx="5756275" cy="5147310"/>
            <wp:effectExtent l="0" t="0" r="15875" b="15240"/>
            <wp:docPr id="23" name="图片 23" descr="截图录屏_选择区域_2026082414384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3" name="图片 23" descr="截图录屏_选择区域_20260824143844"/>
                    <pic:cNvPicPr>
                      <a:picLocks noChangeAspect="true"/>
                    </pic:cNvPicPr>
                  </pic:nvPicPr>
                  <pic:blipFill>
                    <a:blip r:embed="rId30"/>
                    <a:stretch>
                      <a:fillRect/>
                    </a:stretch>
                  </pic:blipFill>
                  <pic:spPr>
                    <a:xfrm>
                      <a:off x="0" y="0"/>
                      <a:ext cx="5756275" cy="5147310"/>
                    </a:xfrm>
                    <a:prstGeom prst="rect">
                      <a:avLst/>
                    </a:prstGeom>
                  </pic:spPr>
                </pic:pic>
              </a:graphicData>
            </a:graphic>
          </wp:inline>
        </w:drawing>
      </w:r>
    </w:p>
    <w:p>
      <w:pPr>
        <w:widowControl/>
        <w:spacing w:line="360" w:lineRule="auto"/>
        <w:ind w:firstLine="321" w:firstLineChars="100"/>
        <w:jc w:val="left"/>
        <w:rPr>
          <w:rFonts w:ascii="Times New Roman" w:eastAsia="仿宋_GB2312"/>
          <w:sz w:val="32"/>
          <w:szCs w:val="32"/>
        </w:rPr>
      </w:pPr>
      <w:r>
        <w:rPr>
          <w:rFonts w:ascii="Times New Roman" w:eastAsia="仿宋_GB2312"/>
          <w:b/>
          <w:sz w:val="32"/>
          <w:szCs w:val="32"/>
        </w:rPr>
        <w:t>（三）部门评价项目绩效评价结果</w:t>
      </w:r>
    </w:p>
    <w:p>
      <w:pPr>
        <w:widowControl/>
        <w:spacing w:line="360" w:lineRule="auto"/>
        <w:ind w:firstLine="640" w:firstLineChars="200"/>
        <w:jc w:val="left"/>
        <w:rPr>
          <w:rFonts w:ascii="Times New Roman" w:eastAsia="仿宋_GB2312"/>
          <w:sz w:val="32"/>
          <w:szCs w:val="32"/>
        </w:rPr>
      </w:pPr>
      <w:r>
        <w:rPr>
          <w:rFonts w:hint="eastAsia" w:ascii="Times New Roman" w:eastAsia="仿宋_GB2312"/>
          <w:sz w:val="32"/>
          <w:szCs w:val="32"/>
        </w:rPr>
        <w:t xml:space="preserve">我部门通过项目实施，较为圆满的完成了年初设定的各项绩效目标。 </w:t>
      </w:r>
    </w:p>
    <w:p>
      <w:pPr>
        <w:widowControl/>
        <w:spacing w:line="360" w:lineRule="auto"/>
        <w:ind w:firstLine="640" w:firstLineChars="200"/>
        <w:jc w:val="left"/>
        <w:rPr>
          <w:rFonts w:ascii="Times New Roman" w:eastAsia="黑体"/>
          <w:sz w:val="32"/>
          <w:szCs w:val="32"/>
        </w:rPr>
      </w:pPr>
      <w:r>
        <w:rPr>
          <w:rFonts w:ascii="Times New Roman" w:eastAsia="黑体"/>
          <w:sz w:val="32"/>
          <w:szCs w:val="32"/>
        </w:rPr>
        <w:t>十、其他需要说明的情况</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1.本</w:t>
      </w:r>
      <w:r>
        <w:rPr>
          <w:rFonts w:hint="eastAsia" w:ascii="Times New Roman" w:eastAsia="仿宋_GB2312"/>
          <w:sz w:val="32"/>
          <w:szCs w:val="32"/>
          <w:lang w:eastAsia="zh-CN"/>
        </w:rPr>
        <w:t>部门</w:t>
      </w:r>
      <w:r>
        <w:rPr>
          <w:rFonts w:ascii="Times New Roman" w:eastAsia="仿宋_GB2312"/>
          <w:sz w:val="32"/>
          <w:szCs w:val="32"/>
        </w:rPr>
        <w:t>2025年度收入支出决算总表（公开01表）、收入决算表（公开02表）、支出决算表（公开03表）、财政拨款收入支出决算总表（公开04表）、一般公共预算财政拨款支出决算表（公开05表）、一般公共预算财政拨款基本支出决算明细表（公开06表）、政府性基金预算财政拨款收入支出决算表（公开07表）、国有资本经营预算财政拨款支出决算表（公开08表）、财政拨款“三公”经费支出决算表（公开09表）无相应收支，故空表列示。</w:t>
      </w:r>
    </w:p>
    <w:p>
      <w:pPr>
        <w:widowControl/>
        <w:spacing w:line="360" w:lineRule="auto"/>
        <w:ind w:firstLine="640" w:firstLineChars="200"/>
        <w:jc w:val="left"/>
        <w:rPr>
          <w:rFonts w:ascii="Times New Roman" w:eastAsia="仿宋_GB2312"/>
          <w:sz w:val="32"/>
          <w:szCs w:val="32"/>
        </w:rPr>
      </w:pPr>
      <w:r>
        <w:rPr>
          <w:rFonts w:ascii="Times New Roman" w:eastAsia="仿宋_GB2312"/>
          <w:sz w:val="32"/>
          <w:szCs w:val="32"/>
        </w:rPr>
        <w:t>2. 由于决算公开表格中金额数值应当保留两位小数，公开数据为四舍五入计算结果，个别数据合计项与分项之和存在小数点后差额，特此说明。</w:t>
      </w:r>
    </w:p>
    <w:p>
      <w:pPr>
        <w:rPr>
          <w:rFonts w:ascii="Times New Roman" w:hAnsi="Times New Roman" w:eastAsia="仿宋_GB2312" w:cs="Times New Roman"/>
          <w:sz w:val="32"/>
          <w:szCs w:val="32"/>
        </w:rPr>
      </w:pPr>
      <w:r>
        <w:rPr>
          <w:rFonts w:ascii="Times New Roman" w:hAnsi="Times New Roman" w:eastAsia="仿宋_GB2312" w:cs="Times New Roman"/>
          <w:sz w:val="32"/>
          <w:szCs w:val="32"/>
        </w:rPr>
        <w:br w:type="page"/>
      </w:r>
    </w:p>
    <w:p>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spacing w:line="360" w:lineRule="auto"/>
        <w:jc w:val="center"/>
        <w:outlineLvl w:val="0"/>
        <w:rPr>
          <w:rFonts w:ascii="Times New Roman" w:eastAsia="黑体"/>
          <w:sz w:val="44"/>
          <w:szCs w:val="44"/>
        </w:rPr>
      </w:pPr>
      <w:r>
        <w:rPr>
          <w:rFonts w:ascii="Times New Roman" w:eastAsia="黑体"/>
          <w:sz w:val="44"/>
          <w:szCs w:val="44"/>
        </w:rPr>
        <w:t>第四部分 名词解释</w:t>
      </w:r>
    </w:p>
    <w:p>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rPr>
          <w:rFonts w:ascii="Times New Roman" w:hAnsi="Times New Roman" w:eastAsia="黑体" w:cs="Times New Roman"/>
          <w:color w:val="000000" w:themeColor="text1"/>
          <w:sz w:val="44"/>
          <w:szCs w:val="44"/>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spacing w:line="360" w:lineRule="auto"/>
        <w:ind w:firstLine="642"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sz w:val="32"/>
          <w:szCs w:val="32"/>
        </w:rPr>
        <w:t>指单位从同级财政部门取得的财政预算资金。</w:t>
      </w:r>
    </w:p>
    <w:p>
      <w:pPr>
        <w:widowControl/>
        <w:spacing w:line="360" w:lineRule="auto"/>
        <w:ind w:firstLine="642"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sz w:val="32"/>
          <w:szCs w:val="32"/>
        </w:rPr>
        <w:t>指事业单位开展专业业务活动及辅助活动取得的收入。</w:t>
      </w:r>
    </w:p>
    <w:p>
      <w:pPr>
        <w:widowControl/>
        <w:spacing w:line="360" w:lineRule="auto"/>
        <w:ind w:firstLine="642"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sz w:val="32"/>
          <w:szCs w:val="32"/>
        </w:rPr>
        <w:t>指事业单位在专业业务活动及其辅助活动之外开展非独立核算经营活动取得的收入。</w:t>
      </w:r>
    </w:p>
    <w:p>
      <w:pPr>
        <w:widowControl/>
        <w:spacing w:line="360" w:lineRule="auto"/>
        <w:ind w:firstLine="642"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sz w:val="32"/>
          <w:szCs w:val="32"/>
        </w:rPr>
        <w:t>指单位取得的除上述收入以外的各项收入。主要是事业单位固定资产出租收入、存款利息收入等。</w:t>
      </w:r>
    </w:p>
    <w:p>
      <w:pPr>
        <w:widowControl/>
        <w:spacing w:line="360" w:lineRule="auto"/>
        <w:ind w:firstLine="642"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sz w:val="32"/>
          <w:szCs w:val="32"/>
        </w:rPr>
        <w:t>指事业单位按照预算管理要求使用非财政拨款结余弥补收支差额的金额，以及使用专用结余安排支出的金额。</w:t>
      </w:r>
    </w:p>
    <w:p>
      <w:pPr>
        <w:widowControl/>
        <w:spacing w:line="360" w:lineRule="auto"/>
        <w:ind w:firstLine="642"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sz w:val="32"/>
          <w:szCs w:val="32"/>
        </w:rPr>
        <w:t>指单位以前年度尚未完成、结转到本年仍按原规定用途继续使用的资金，或项目已完成等产生的结余资金。</w:t>
      </w:r>
    </w:p>
    <w:p>
      <w:pPr>
        <w:widowControl/>
        <w:spacing w:line="360" w:lineRule="auto"/>
        <w:ind w:firstLine="642"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sz w:val="32"/>
          <w:szCs w:val="32"/>
        </w:rPr>
        <w:t>指事业单位按照会计制度规定缴纳的所得税、提取的专用结余以及转入非财政拨款结余的金额等。</w:t>
      </w:r>
    </w:p>
    <w:p>
      <w:pPr>
        <w:widowControl/>
        <w:spacing w:line="360" w:lineRule="auto"/>
        <w:ind w:firstLine="642"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sz w:val="32"/>
          <w:szCs w:val="32"/>
        </w:rPr>
        <w:t>指单位按有关规定结转到下年或以后年度继续使用的资金，或项目已完成等产生的结余资金。</w:t>
      </w:r>
    </w:p>
    <w:p>
      <w:pPr>
        <w:widowControl/>
        <w:spacing w:line="360" w:lineRule="auto"/>
        <w:ind w:firstLine="642"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sz w:val="32"/>
          <w:szCs w:val="32"/>
        </w:rPr>
        <w:t>指为保障机构正常运转、完成日常工作任务而发生的人员支出和公用支出。</w:t>
      </w:r>
    </w:p>
    <w:p>
      <w:pPr>
        <w:widowControl/>
        <w:spacing w:line="360" w:lineRule="auto"/>
        <w:ind w:firstLine="642"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sz w:val="32"/>
          <w:szCs w:val="32"/>
        </w:rPr>
        <w:t>指在基本支出之外为完成特定行政任务和事业发展目标所发生的支出。</w:t>
      </w:r>
    </w:p>
    <w:p>
      <w:pPr>
        <w:widowControl/>
        <w:spacing w:line="360" w:lineRule="auto"/>
        <w:ind w:firstLine="642"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sz w:val="32"/>
          <w:szCs w:val="32"/>
        </w:rPr>
        <w:t>指事业单位在专业业务活动及其辅助活动之外开展非独立核算经营活动发生的支出。</w:t>
      </w:r>
    </w:p>
    <w:p>
      <w:pPr>
        <w:widowControl/>
        <w:spacing w:line="360" w:lineRule="auto"/>
        <w:ind w:firstLine="642"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pPr>
        <w:widowControl/>
        <w:spacing w:line="360" w:lineRule="auto"/>
        <w:ind w:firstLine="642"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sz w:val="32"/>
          <w:szCs w:val="32"/>
        </w:rPr>
        <w:t>填列由各级非发展与改革部门集中安排的用于购置固定资产、战备性和应急性储备、土地和无形资产，以及购建基础设施、大型修缮和财政支持企业更新改造所发生的支出。</w:t>
      </w:r>
    </w:p>
    <w:p>
      <w:pPr>
        <w:widowControl/>
        <w:spacing w:line="360" w:lineRule="auto"/>
        <w:ind w:firstLine="642"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pPr>
        <w:widowControl/>
        <w:spacing w:line="360" w:lineRule="auto"/>
        <w:ind w:firstLine="642"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sz w:val="32"/>
          <w:szCs w:val="32"/>
        </w:rPr>
        <w:t>填列单位除公务用车运行维护费以外的其他交通费用。如公务交通补贴、租车费用、出租车费用，飞机、船舶等燃料费、维修费、保险费等。</w:t>
      </w:r>
    </w:p>
    <w:p>
      <w:pPr>
        <w:widowControl/>
        <w:spacing w:line="360" w:lineRule="auto"/>
        <w:ind w:firstLine="642"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sz w:val="32"/>
          <w:szCs w:val="32"/>
        </w:rPr>
        <w:t>填列单位公务用车车辆购置支出（含车辆购置税、牌照费）。</w:t>
      </w:r>
    </w:p>
    <w:p>
      <w:pPr>
        <w:widowControl/>
        <w:spacing w:line="360" w:lineRule="auto"/>
        <w:ind w:firstLine="642"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sz w:val="32"/>
          <w:szCs w:val="32"/>
        </w:rPr>
        <w:t>填列单位除公务用车外的其他各类交通工具（如船舶、飞机等）购置支出（含车辆购置税、牌照费）。</w:t>
      </w:r>
    </w:p>
    <w:p>
      <w:pPr>
        <w:widowControl/>
        <w:spacing w:line="360" w:lineRule="auto"/>
        <w:ind w:firstLine="642"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cols w:space="0" w:num="1"/>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roman"/>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
    <w:altName w:val="方正仿宋_GBK"/>
    <w:panose1 w:val="02010609060101010101"/>
    <w:charset w:val="86"/>
    <w:family w:val="modern"/>
    <w:pitch w:val="default"/>
    <w:sig w:usb0="00000000" w:usb1="00000000" w:usb2="00000016" w:usb3="00000000" w:csb0="00040001" w:csb1="00000000"/>
  </w:font>
  <w:font w:name="Calibri Light">
    <w:altName w:val="DejaVu Sans"/>
    <w:panose1 w:val="020F0302020204030204"/>
    <w:charset w:val="00"/>
    <w:family w:val="swiss"/>
    <w:pitch w:val="default"/>
    <w:sig w:usb0="00000000" w:usb1="00000000" w:usb2="00000000" w:usb3="00000000" w:csb0="0000019F" w:csb1="00000000"/>
  </w:font>
  <w:font w:name="华文中宋">
    <w:altName w:val="汉仪中宋简"/>
    <w:panose1 w:val="02010600040101010101"/>
    <w:charset w:val="86"/>
    <w:family w:val="auto"/>
    <w:pitch w:val="default"/>
    <w:sig w:usb0="00000000" w:usb1="00000000" w:usb2="00000010" w:usb3="00000000" w:csb0="0004009F" w:csb1="00000000"/>
  </w:font>
  <w:font w:name="方正仿宋_GB2312">
    <w:altName w:val="方正仿宋_GBK"/>
    <w:panose1 w:val="00000000000000000000"/>
    <w:charset w:val="86"/>
    <w:family w:val="auto"/>
    <w:pitch w:val="default"/>
    <w:sig w:usb0="00000000" w:usb1="00000000" w:usb2="00000012" w:usb3="00000000" w:csb0="00040001" w:csb1="00000000"/>
  </w:font>
  <w:font w:name="楷体_GB2312">
    <w:altName w:val="方正楷体_GBK"/>
    <w:panose1 w:val="00000000000000000000"/>
    <w:charset w:val="86"/>
    <w:family w:val="auto"/>
    <w:pitch w:val="default"/>
    <w:sig w:usb0="00000000" w:usb1="00000000" w:usb2="00000000" w:usb3="00000000" w:csb0="00040000" w:csb1="00000000"/>
  </w:font>
  <w:font w:name="微软雅黑">
    <w:altName w:val="方正黑体_GBK"/>
    <w:panose1 w:val="020B0503020204020204"/>
    <w:charset w:val="86"/>
    <w:family w:val="swiss"/>
    <w:pitch w:val="default"/>
    <w:sig w:usb0="00000000" w:usb1="00000000" w:usb2="00000016" w:usb3="00000000" w:csb0="0004001F" w:csb1="00000000"/>
  </w:font>
  <w:font w:name="楷体">
    <w:altName w:val="方正楷体_GBK"/>
    <w:panose1 w:val="02010609060101010101"/>
    <w:charset w:val="86"/>
    <w:family w:val="modern"/>
    <w:pitch w:val="default"/>
    <w:sig w:usb0="00000000" w:usb1="00000000" w:usb2="00000016" w:usb3="00000000" w:csb0="00040001" w:csb1="00000000"/>
  </w:font>
  <w:font w:name="方正小标宋_GBK">
    <w:panose1 w:val="02000000000000000000"/>
    <w:charset w:val="86"/>
    <w:family w:val="script"/>
    <w:pitch w:val="default"/>
    <w:sig w:usb0="00000001" w:usb1="08000000" w:usb2="00000000" w:usb3="00000000" w:csb0="00040000" w:csb1="00000000"/>
  </w:font>
  <w:font w:name="仿宋_GB2312">
    <w:altName w:val="方正仿宋_GBK"/>
    <w:panose1 w:val="00000000000000000000"/>
    <w:charset w:val="86"/>
    <w:family w:val="auto"/>
    <w:pitch w:val="default"/>
    <w:sig w:usb0="00000000" w:usb1="00000000" w:usb2="00000000" w:usb3="00000000" w:csb0="00040000" w:csb1="00000000"/>
  </w:font>
  <w:font w:name="ArialUnicodeMS">
    <w:altName w:val="Nimbus Roman No9 L"/>
    <w:panose1 w:val="00000000000000000000"/>
    <w:charset w:val="81"/>
    <w:family w:val="auto"/>
    <w:pitch w:val="default"/>
    <w:sig w:usb0="00000000" w:usb1="00000000" w:usb2="00000010" w:usb3="00000000" w:csb0="00080001" w:csb1="00000000"/>
  </w:font>
  <w:font w:name="CESI仿宋-GB2312">
    <w:panose1 w:val="02000500000000000000"/>
    <w:charset w:val="86"/>
    <w:family w:val="auto"/>
    <w:pitch w:val="default"/>
    <w:sig w:usb0="800002AF" w:usb1="084F6CF8" w:usb2="00000010" w:usb3="00000000" w:csb0="0004000F" w:csb1="00000000"/>
  </w:font>
  <w:font w:name="方正书宋_GBK">
    <w:panose1 w:val="02000000000000000000"/>
    <w:charset w:val="86"/>
    <w:family w:val="auto"/>
    <w:pitch w:val="default"/>
    <w:sig w:usb0="A00002BF" w:usb1="38CF7CFA" w:usb2="00082016" w:usb3="00000000" w:csb0="00040001" w:csb1="00000000"/>
  </w:font>
  <w:font w:name="方正楷体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A00002BF" w:usb1="38CF7CFA" w:usb2="00082016" w:usb3="00000000" w:csb0="00040001" w:csb1="00000000"/>
  </w:font>
  <w:font w:name="Nimbus Roman No9 L">
    <w:panose1 w:val="00000000000000000000"/>
    <w:charset w:val="00"/>
    <w:family w:val="auto"/>
    <w:pitch w:val="default"/>
    <w:sig w:usb0="00000000" w:usb1="00000000" w:usb2="00000000" w:usb3="00000000" w:csb0="00000000" w:csb1="00000000"/>
  </w:font>
  <w:font w:name="方正仿宋_GBK">
    <w:panose1 w:val="02000000000000000000"/>
    <w:charset w:val="86"/>
    <w:family w:val="auto"/>
    <w:pitch w:val="default"/>
    <w:sig w:usb0="A00002BF" w:usb1="38CF7CFA" w:usb2="00082016" w:usb3="00000000" w:csb0="00040001" w:csb1="00000000"/>
  </w:font>
  <w:font w:name="汉仪中宋简">
    <w:panose1 w:val="02010600000101010101"/>
    <w:charset w:val="86"/>
    <w:family w:val="auto"/>
    <w:pitch w:val="default"/>
    <w:sig w:usb0="00000001" w:usb1="080E0800" w:usb2="00000002"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fldChar w:fldCharType="begin"/>
    </w:r>
    <w:r>
      <w:instrText xml:space="preserve">PAGE</w:instrText>
    </w:r>
    <w:r>
      <w:fldChar w:fldCharType="separate"/>
    </w:r>
    <w:r>
      <w:t>3</w:t>
    </w:r>
    <w:r>
      <w:fldChar w:fldCharType="end"/>
    </w:r>
  </w:p>
  <w:p/>
  <w:p>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fldChar w:fldCharType="begin"/>
    </w:r>
    <w:r>
      <w:instrText xml:space="preserve">PAGE</w:instrText>
    </w:r>
    <w:r>
      <w:fldChar w:fldCharType="separate"/>
    </w:r>
    <w:r>
      <w:t>23</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true"/>
  <w:embedTrueTypeFonts/>
  <w:saveSubsetFonts/>
  <w:bordersDoNotSurroundHeader w:val="false"/>
  <w:bordersDoNotSurroundFooter w:val="false"/>
  <w:documentProtection w:enforcement="0"/>
  <w:defaultTabStop w:val="420"/>
  <w:drawingGridVerticalSpacing w:val="165"/>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172A27"/>
    <w:rsid w:val="00086151"/>
    <w:rsid w:val="000868BF"/>
    <w:rsid w:val="000E1CA9"/>
    <w:rsid w:val="00172A27"/>
    <w:rsid w:val="00236F8C"/>
    <w:rsid w:val="004E65FE"/>
    <w:rsid w:val="00822154"/>
    <w:rsid w:val="00C65689"/>
    <w:rsid w:val="00CC2C8E"/>
    <w:rsid w:val="00DA1AB2"/>
    <w:rsid w:val="0179546C"/>
    <w:rsid w:val="01A03C5A"/>
    <w:rsid w:val="01A5267D"/>
    <w:rsid w:val="01AE3368"/>
    <w:rsid w:val="01AF6A8D"/>
    <w:rsid w:val="024808A2"/>
    <w:rsid w:val="025C3821"/>
    <w:rsid w:val="02DA3B1B"/>
    <w:rsid w:val="02E57B4D"/>
    <w:rsid w:val="03450B90"/>
    <w:rsid w:val="037B12D4"/>
    <w:rsid w:val="03804D63"/>
    <w:rsid w:val="03F5128D"/>
    <w:rsid w:val="03FB73B0"/>
    <w:rsid w:val="04642795"/>
    <w:rsid w:val="04806B11"/>
    <w:rsid w:val="049C1B9D"/>
    <w:rsid w:val="04BD008C"/>
    <w:rsid w:val="04C55939"/>
    <w:rsid w:val="04DA28BB"/>
    <w:rsid w:val="04F528BE"/>
    <w:rsid w:val="050E10CE"/>
    <w:rsid w:val="054F2DFB"/>
    <w:rsid w:val="05991C82"/>
    <w:rsid w:val="05CD1EC8"/>
    <w:rsid w:val="05E57574"/>
    <w:rsid w:val="061416A9"/>
    <w:rsid w:val="061D60A6"/>
    <w:rsid w:val="06236884"/>
    <w:rsid w:val="06B07006"/>
    <w:rsid w:val="06FC7C2A"/>
    <w:rsid w:val="070B57B7"/>
    <w:rsid w:val="07533AFE"/>
    <w:rsid w:val="07AC18F2"/>
    <w:rsid w:val="07B3657A"/>
    <w:rsid w:val="07C857D0"/>
    <w:rsid w:val="081163FE"/>
    <w:rsid w:val="083F3A0A"/>
    <w:rsid w:val="08AB5AAF"/>
    <w:rsid w:val="08C65EBD"/>
    <w:rsid w:val="08D24C32"/>
    <w:rsid w:val="09012C64"/>
    <w:rsid w:val="093B2E99"/>
    <w:rsid w:val="095D7943"/>
    <w:rsid w:val="09C006C6"/>
    <w:rsid w:val="0A10621F"/>
    <w:rsid w:val="0A464C4F"/>
    <w:rsid w:val="0A6729A3"/>
    <w:rsid w:val="0A694877"/>
    <w:rsid w:val="0AA954BE"/>
    <w:rsid w:val="0AE70639"/>
    <w:rsid w:val="0AEC32FF"/>
    <w:rsid w:val="0B4F5E6D"/>
    <w:rsid w:val="0B52270F"/>
    <w:rsid w:val="0B753AE2"/>
    <w:rsid w:val="0BB67D0A"/>
    <w:rsid w:val="0BC56230"/>
    <w:rsid w:val="0BCF21BD"/>
    <w:rsid w:val="0C481041"/>
    <w:rsid w:val="0C4E53E8"/>
    <w:rsid w:val="0C6712D6"/>
    <w:rsid w:val="0C7F7845"/>
    <w:rsid w:val="0C9F7900"/>
    <w:rsid w:val="0CB20B1A"/>
    <w:rsid w:val="0CB23317"/>
    <w:rsid w:val="0D101068"/>
    <w:rsid w:val="0D4E13BE"/>
    <w:rsid w:val="0D7557DF"/>
    <w:rsid w:val="0D853E34"/>
    <w:rsid w:val="0D9C2A57"/>
    <w:rsid w:val="0DC3019B"/>
    <w:rsid w:val="0DE47D04"/>
    <w:rsid w:val="0DFA5D82"/>
    <w:rsid w:val="0E1E52CE"/>
    <w:rsid w:val="0E866524"/>
    <w:rsid w:val="0E9268D3"/>
    <w:rsid w:val="0E957F1F"/>
    <w:rsid w:val="0F0E7284"/>
    <w:rsid w:val="0F28110F"/>
    <w:rsid w:val="0F37083F"/>
    <w:rsid w:val="0F4351D1"/>
    <w:rsid w:val="0F7470AF"/>
    <w:rsid w:val="0F8751F8"/>
    <w:rsid w:val="0F891DB8"/>
    <w:rsid w:val="0F8D3287"/>
    <w:rsid w:val="0FAA3B86"/>
    <w:rsid w:val="0FFE430A"/>
    <w:rsid w:val="10191346"/>
    <w:rsid w:val="102A01A6"/>
    <w:rsid w:val="105A290D"/>
    <w:rsid w:val="10754A6C"/>
    <w:rsid w:val="108B537D"/>
    <w:rsid w:val="10B11DB1"/>
    <w:rsid w:val="11177F57"/>
    <w:rsid w:val="11217C97"/>
    <w:rsid w:val="113076C2"/>
    <w:rsid w:val="11365128"/>
    <w:rsid w:val="11464C20"/>
    <w:rsid w:val="115E4926"/>
    <w:rsid w:val="118A1FFA"/>
    <w:rsid w:val="11E35B5A"/>
    <w:rsid w:val="11E42DD6"/>
    <w:rsid w:val="125F5A1B"/>
    <w:rsid w:val="126979D6"/>
    <w:rsid w:val="129E45A7"/>
    <w:rsid w:val="13074404"/>
    <w:rsid w:val="136A5C00"/>
    <w:rsid w:val="13B97B08"/>
    <w:rsid w:val="13C527AC"/>
    <w:rsid w:val="14711797"/>
    <w:rsid w:val="147B6F17"/>
    <w:rsid w:val="14D42061"/>
    <w:rsid w:val="15081C8B"/>
    <w:rsid w:val="15090D5C"/>
    <w:rsid w:val="15CC19E2"/>
    <w:rsid w:val="15CF053D"/>
    <w:rsid w:val="15E0131A"/>
    <w:rsid w:val="15E11DC0"/>
    <w:rsid w:val="16457D9F"/>
    <w:rsid w:val="17223EFF"/>
    <w:rsid w:val="17AA5F28"/>
    <w:rsid w:val="17B713F6"/>
    <w:rsid w:val="184350A0"/>
    <w:rsid w:val="18935485"/>
    <w:rsid w:val="18A34206"/>
    <w:rsid w:val="18DE3B2C"/>
    <w:rsid w:val="18EF453A"/>
    <w:rsid w:val="1906685D"/>
    <w:rsid w:val="19111683"/>
    <w:rsid w:val="19353916"/>
    <w:rsid w:val="193E101D"/>
    <w:rsid w:val="19C10AF1"/>
    <w:rsid w:val="1A017CDA"/>
    <w:rsid w:val="1A2672DE"/>
    <w:rsid w:val="1AA81D42"/>
    <w:rsid w:val="1AB433D9"/>
    <w:rsid w:val="1AEE2FA0"/>
    <w:rsid w:val="1AFB6D70"/>
    <w:rsid w:val="1B1B11EE"/>
    <w:rsid w:val="1B3719E0"/>
    <w:rsid w:val="1B6261C3"/>
    <w:rsid w:val="1B731730"/>
    <w:rsid w:val="1B882BB5"/>
    <w:rsid w:val="1B9B33C7"/>
    <w:rsid w:val="1B9D7FEC"/>
    <w:rsid w:val="1BA55461"/>
    <w:rsid w:val="1BE74496"/>
    <w:rsid w:val="1BFB1448"/>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1680E"/>
    <w:rsid w:val="1DF60A19"/>
    <w:rsid w:val="1DFA6713"/>
    <w:rsid w:val="1DFED5C7"/>
    <w:rsid w:val="1E050843"/>
    <w:rsid w:val="1E2D3FB0"/>
    <w:rsid w:val="1E2E50F1"/>
    <w:rsid w:val="1E3B4E26"/>
    <w:rsid w:val="1E5F044D"/>
    <w:rsid w:val="1ED22D79"/>
    <w:rsid w:val="1EDF707D"/>
    <w:rsid w:val="1F394761"/>
    <w:rsid w:val="1F65664C"/>
    <w:rsid w:val="1F7C149A"/>
    <w:rsid w:val="1F84140D"/>
    <w:rsid w:val="1F9B7FFD"/>
    <w:rsid w:val="1F9C7614"/>
    <w:rsid w:val="1FBE1971"/>
    <w:rsid w:val="2008768D"/>
    <w:rsid w:val="204B327F"/>
    <w:rsid w:val="204C2B10"/>
    <w:rsid w:val="207D30AD"/>
    <w:rsid w:val="209064B9"/>
    <w:rsid w:val="20970D81"/>
    <w:rsid w:val="20D165D5"/>
    <w:rsid w:val="210878E6"/>
    <w:rsid w:val="210E1408"/>
    <w:rsid w:val="211069AD"/>
    <w:rsid w:val="21573FAB"/>
    <w:rsid w:val="2172069C"/>
    <w:rsid w:val="21834E87"/>
    <w:rsid w:val="21987BC4"/>
    <w:rsid w:val="21BE314A"/>
    <w:rsid w:val="220451AB"/>
    <w:rsid w:val="2237486E"/>
    <w:rsid w:val="223D1378"/>
    <w:rsid w:val="22451BC7"/>
    <w:rsid w:val="22940650"/>
    <w:rsid w:val="22AD4B1E"/>
    <w:rsid w:val="22C43743"/>
    <w:rsid w:val="22D31DF3"/>
    <w:rsid w:val="22F1A5F8"/>
    <w:rsid w:val="22FD3CF7"/>
    <w:rsid w:val="232C221B"/>
    <w:rsid w:val="2356249E"/>
    <w:rsid w:val="236E713A"/>
    <w:rsid w:val="23700968"/>
    <w:rsid w:val="238761A6"/>
    <w:rsid w:val="23920578"/>
    <w:rsid w:val="23BB6F9A"/>
    <w:rsid w:val="23FC3864"/>
    <w:rsid w:val="24857B00"/>
    <w:rsid w:val="24F25212"/>
    <w:rsid w:val="25087C0C"/>
    <w:rsid w:val="251B0465"/>
    <w:rsid w:val="254B0AC6"/>
    <w:rsid w:val="25571AB6"/>
    <w:rsid w:val="2561056D"/>
    <w:rsid w:val="2577160A"/>
    <w:rsid w:val="259C5A45"/>
    <w:rsid w:val="25B40AD6"/>
    <w:rsid w:val="25BE7872"/>
    <w:rsid w:val="25BF702A"/>
    <w:rsid w:val="26390459"/>
    <w:rsid w:val="264D2D17"/>
    <w:rsid w:val="26661BB3"/>
    <w:rsid w:val="26773DC1"/>
    <w:rsid w:val="26D50E55"/>
    <w:rsid w:val="271A539C"/>
    <w:rsid w:val="273823FA"/>
    <w:rsid w:val="274972D4"/>
    <w:rsid w:val="27AA3D97"/>
    <w:rsid w:val="280A3758"/>
    <w:rsid w:val="28292E99"/>
    <w:rsid w:val="284E28FF"/>
    <w:rsid w:val="289057C5"/>
    <w:rsid w:val="28A67C7A"/>
    <w:rsid w:val="28EA3248"/>
    <w:rsid w:val="28F72F97"/>
    <w:rsid w:val="28F879DA"/>
    <w:rsid w:val="294B7731"/>
    <w:rsid w:val="29514455"/>
    <w:rsid w:val="29D21FF2"/>
    <w:rsid w:val="2A611B0F"/>
    <w:rsid w:val="2AC1762B"/>
    <w:rsid w:val="2AE845D0"/>
    <w:rsid w:val="2B4975FB"/>
    <w:rsid w:val="2B695031"/>
    <w:rsid w:val="2B735A8F"/>
    <w:rsid w:val="2BA7478D"/>
    <w:rsid w:val="2BB038DB"/>
    <w:rsid w:val="2BB761E0"/>
    <w:rsid w:val="2BB812F9"/>
    <w:rsid w:val="2BE35C27"/>
    <w:rsid w:val="2BFA504B"/>
    <w:rsid w:val="2C681F1F"/>
    <w:rsid w:val="2C8608DC"/>
    <w:rsid w:val="2CA4764A"/>
    <w:rsid w:val="2CC42ECA"/>
    <w:rsid w:val="2CCC7A22"/>
    <w:rsid w:val="2CDA4349"/>
    <w:rsid w:val="2D225539"/>
    <w:rsid w:val="2D4618D2"/>
    <w:rsid w:val="2D5F021B"/>
    <w:rsid w:val="2D6E1286"/>
    <w:rsid w:val="2D70583E"/>
    <w:rsid w:val="2DA07759"/>
    <w:rsid w:val="2E0725DC"/>
    <w:rsid w:val="2E1B4BB8"/>
    <w:rsid w:val="2E256CB6"/>
    <w:rsid w:val="2E3FF15B"/>
    <w:rsid w:val="2E5F27E4"/>
    <w:rsid w:val="2EBD223E"/>
    <w:rsid w:val="2EC10AD1"/>
    <w:rsid w:val="2ECB6A5A"/>
    <w:rsid w:val="2EE65418"/>
    <w:rsid w:val="2EFC0112"/>
    <w:rsid w:val="2F0F45A5"/>
    <w:rsid w:val="2F0F6197"/>
    <w:rsid w:val="2F2B730D"/>
    <w:rsid w:val="2F6A001E"/>
    <w:rsid w:val="2F9F3DC1"/>
    <w:rsid w:val="2FFC7AC2"/>
    <w:rsid w:val="301430AF"/>
    <w:rsid w:val="30630612"/>
    <w:rsid w:val="308E59B0"/>
    <w:rsid w:val="30B10568"/>
    <w:rsid w:val="30E070F0"/>
    <w:rsid w:val="30E55DD3"/>
    <w:rsid w:val="30E60399"/>
    <w:rsid w:val="31356AA5"/>
    <w:rsid w:val="313E22F0"/>
    <w:rsid w:val="31B0194C"/>
    <w:rsid w:val="31CE17D1"/>
    <w:rsid w:val="31FD161E"/>
    <w:rsid w:val="32270449"/>
    <w:rsid w:val="323E4515"/>
    <w:rsid w:val="326A4E14"/>
    <w:rsid w:val="3286389B"/>
    <w:rsid w:val="32994FDB"/>
    <w:rsid w:val="32CF5C94"/>
    <w:rsid w:val="32D337C7"/>
    <w:rsid w:val="32E200EC"/>
    <w:rsid w:val="32E5408B"/>
    <w:rsid w:val="32EB0D70"/>
    <w:rsid w:val="330E785B"/>
    <w:rsid w:val="332824BC"/>
    <w:rsid w:val="332868BB"/>
    <w:rsid w:val="333211F3"/>
    <w:rsid w:val="33504B41"/>
    <w:rsid w:val="338B4A07"/>
    <w:rsid w:val="33944811"/>
    <w:rsid w:val="33BE79A7"/>
    <w:rsid w:val="33CE0488"/>
    <w:rsid w:val="341D31EE"/>
    <w:rsid w:val="34262463"/>
    <w:rsid w:val="34296F31"/>
    <w:rsid w:val="34340A27"/>
    <w:rsid w:val="346A2989"/>
    <w:rsid w:val="348865E9"/>
    <w:rsid w:val="348F70D5"/>
    <w:rsid w:val="349D2BAD"/>
    <w:rsid w:val="34B25886"/>
    <w:rsid w:val="34E538E1"/>
    <w:rsid w:val="34EB4BE1"/>
    <w:rsid w:val="35277FF8"/>
    <w:rsid w:val="35763460"/>
    <w:rsid w:val="35776F72"/>
    <w:rsid w:val="35997371"/>
    <w:rsid w:val="35BC359E"/>
    <w:rsid w:val="35DA3A24"/>
    <w:rsid w:val="35DD4D47"/>
    <w:rsid w:val="360134DF"/>
    <w:rsid w:val="360B1E2F"/>
    <w:rsid w:val="360D500F"/>
    <w:rsid w:val="36330424"/>
    <w:rsid w:val="36FE3ABA"/>
    <w:rsid w:val="37072BDE"/>
    <w:rsid w:val="37455334"/>
    <w:rsid w:val="37527C32"/>
    <w:rsid w:val="37731921"/>
    <w:rsid w:val="37E509C0"/>
    <w:rsid w:val="37E96FB8"/>
    <w:rsid w:val="38222D85"/>
    <w:rsid w:val="38767A34"/>
    <w:rsid w:val="38803721"/>
    <w:rsid w:val="38925A62"/>
    <w:rsid w:val="389F5F4F"/>
    <w:rsid w:val="38C36BA2"/>
    <w:rsid w:val="38D34E55"/>
    <w:rsid w:val="38E11CEF"/>
    <w:rsid w:val="38F6595C"/>
    <w:rsid w:val="391702A7"/>
    <w:rsid w:val="39286EB6"/>
    <w:rsid w:val="39601DF4"/>
    <w:rsid w:val="396960F3"/>
    <w:rsid w:val="39840D35"/>
    <w:rsid w:val="39A97DAF"/>
    <w:rsid w:val="39BF365D"/>
    <w:rsid w:val="39CD1330"/>
    <w:rsid w:val="39DD1AFF"/>
    <w:rsid w:val="39FF2C88"/>
    <w:rsid w:val="3A2510B9"/>
    <w:rsid w:val="3A2B0CF2"/>
    <w:rsid w:val="3A2B1DFC"/>
    <w:rsid w:val="3A7B8311"/>
    <w:rsid w:val="3AA6422C"/>
    <w:rsid w:val="3AAF46D5"/>
    <w:rsid w:val="3AF562AE"/>
    <w:rsid w:val="3B135A0E"/>
    <w:rsid w:val="3B183213"/>
    <w:rsid w:val="3B272BBC"/>
    <w:rsid w:val="3B374FEE"/>
    <w:rsid w:val="3B4410EE"/>
    <w:rsid w:val="3B46744C"/>
    <w:rsid w:val="3B56159C"/>
    <w:rsid w:val="3B596DF7"/>
    <w:rsid w:val="3B7D732B"/>
    <w:rsid w:val="3BD30423"/>
    <w:rsid w:val="3C14299D"/>
    <w:rsid w:val="3C6C0B58"/>
    <w:rsid w:val="3C945583"/>
    <w:rsid w:val="3CBE41D5"/>
    <w:rsid w:val="3CDDB497"/>
    <w:rsid w:val="3D446B0E"/>
    <w:rsid w:val="3D745844"/>
    <w:rsid w:val="3D8626D0"/>
    <w:rsid w:val="3D8C1AA8"/>
    <w:rsid w:val="3D953A6B"/>
    <w:rsid w:val="3DBB5979"/>
    <w:rsid w:val="3DBD44D7"/>
    <w:rsid w:val="3DD56F21"/>
    <w:rsid w:val="3DEF6699"/>
    <w:rsid w:val="3DFBCC2F"/>
    <w:rsid w:val="3E1057AF"/>
    <w:rsid w:val="3E6C0DFA"/>
    <w:rsid w:val="3E740322"/>
    <w:rsid w:val="3E7F4380"/>
    <w:rsid w:val="3E8D171B"/>
    <w:rsid w:val="3EA5630D"/>
    <w:rsid w:val="3EBA731B"/>
    <w:rsid w:val="3EE33949"/>
    <w:rsid w:val="3EFB5800"/>
    <w:rsid w:val="3EFDB452"/>
    <w:rsid w:val="3F3B4E59"/>
    <w:rsid w:val="3F6E677C"/>
    <w:rsid w:val="3F712F46"/>
    <w:rsid w:val="3FAF22A6"/>
    <w:rsid w:val="3FBC0EF7"/>
    <w:rsid w:val="3FCD2AB9"/>
    <w:rsid w:val="3FCD4B44"/>
    <w:rsid w:val="3FD17600"/>
    <w:rsid w:val="3FE77D86"/>
    <w:rsid w:val="3FFE171D"/>
    <w:rsid w:val="3FFF0C57"/>
    <w:rsid w:val="402E7C36"/>
    <w:rsid w:val="4050218A"/>
    <w:rsid w:val="405C7868"/>
    <w:rsid w:val="406B3BF6"/>
    <w:rsid w:val="408B24EB"/>
    <w:rsid w:val="408D1DBF"/>
    <w:rsid w:val="40C652D1"/>
    <w:rsid w:val="40F40090"/>
    <w:rsid w:val="417044B8"/>
    <w:rsid w:val="41A203A0"/>
    <w:rsid w:val="41A25D3E"/>
    <w:rsid w:val="41C77987"/>
    <w:rsid w:val="41E83F8C"/>
    <w:rsid w:val="421C17EA"/>
    <w:rsid w:val="422D1842"/>
    <w:rsid w:val="425B7C31"/>
    <w:rsid w:val="427D66D0"/>
    <w:rsid w:val="42BC7E02"/>
    <w:rsid w:val="42C82575"/>
    <w:rsid w:val="43022EE1"/>
    <w:rsid w:val="431A5F8F"/>
    <w:rsid w:val="431F247A"/>
    <w:rsid w:val="43335E8F"/>
    <w:rsid w:val="433F2968"/>
    <w:rsid w:val="43655F7F"/>
    <w:rsid w:val="43676E20"/>
    <w:rsid w:val="43A31040"/>
    <w:rsid w:val="43BF774E"/>
    <w:rsid w:val="43CD062F"/>
    <w:rsid w:val="43E214F9"/>
    <w:rsid w:val="43F06264"/>
    <w:rsid w:val="44223AB6"/>
    <w:rsid w:val="44404C8E"/>
    <w:rsid w:val="447537F1"/>
    <w:rsid w:val="44870D07"/>
    <w:rsid w:val="44D33826"/>
    <w:rsid w:val="45344EFF"/>
    <w:rsid w:val="453950E7"/>
    <w:rsid w:val="45513D03"/>
    <w:rsid w:val="45541E1C"/>
    <w:rsid w:val="45FE7734"/>
    <w:rsid w:val="461F0A8B"/>
    <w:rsid w:val="4648721E"/>
    <w:rsid w:val="46663E71"/>
    <w:rsid w:val="466A37AC"/>
    <w:rsid w:val="468A1A00"/>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2A4397"/>
    <w:rsid w:val="483820D2"/>
    <w:rsid w:val="48692CD0"/>
    <w:rsid w:val="48AE3D01"/>
    <w:rsid w:val="48B96318"/>
    <w:rsid w:val="49067B2F"/>
    <w:rsid w:val="49100B80"/>
    <w:rsid w:val="49677E31"/>
    <w:rsid w:val="496C2225"/>
    <w:rsid w:val="49A35E02"/>
    <w:rsid w:val="49AE2880"/>
    <w:rsid w:val="49F42EAF"/>
    <w:rsid w:val="4A337323"/>
    <w:rsid w:val="4A5B28DC"/>
    <w:rsid w:val="4AA06B93"/>
    <w:rsid w:val="4ADB18EB"/>
    <w:rsid w:val="4B3A6FE7"/>
    <w:rsid w:val="4B96118E"/>
    <w:rsid w:val="4BAE1B66"/>
    <w:rsid w:val="4BBF6159"/>
    <w:rsid w:val="4BC806E6"/>
    <w:rsid w:val="4BED4708"/>
    <w:rsid w:val="4BF133DC"/>
    <w:rsid w:val="4C1A4AD9"/>
    <w:rsid w:val="4C2E4987"/>
    <w:rsid w:val="4C4117A4"/>
    <w:rsid w:val="4C507D4A"/>
    <w:rsid w:val="4CD60F91"/>
    <w:rsid w:val="4CDF5563"/>
    <w:rsid w:val="4CFB2214"/>
    <w:rsid w:val="4D2C4D26"/>
    <w:rsid w:val="4D335E0E"/>
    <w:rsid w:val="4D4759EB"/>
    <w:rsid w:val="4D4E4EA3"/>
    <w:rsid w:val="4D9A5B1B"/>
    <w:rsid w:val="4DA55D85"/>
    <w:rsid w:val="4DBB20DB"/>
    <w:rsid w:val="4DDC3F22"/>
    <w:rsid w:val="4DE66FB2"/>
    <w:rsid w:val="4DEC6CB8"/>
    <w:rsid w:val="4E1040C7"/>
    <w:rsid w:val="4E1760BF"/>
    <w:rsid w:val="4E30647F"/>
    <w:rsid w:val="4E353A96"/>
    <w:rsid w:val="4E5D2C75"/>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BFB8F8"/>
    <w:rsid w:val="4FC4714D"/>
    <w:rsid w:val="4FD571A2"/>
    <w:rsid w:val="503D1C79"/>
    <w:rsid w:val="507A6406"/>
    <w:rsid w:val="50853863"/>
    <w:rsid w:val="508A4590"/>
    <w:rsid w:val="50F1461D"/>
    <w:rsid w:val="50FE5411"/>
    <w:rsid w:val="510B072E"/>
    <w:rsid w:val="511B0BF4"/>
    <w:rsid w:val="51264306"/>
    <w:rsid w:val="514E62C9"/>
    <w:rsid w:val="516123CE"/>
    <w:rsid w:val="51932FAD"/>
    <w:rsid w:val="51B177A9"/>
    <w:rsid w:val="51E066EB"/>
    <w:rsid w:val="52640E8B"/>
    <w:rsid w:val="5267570A"/>
    <w:rsid w:val="52707792"/>
    <w:rsid w:val="52734B8D"/>
    <w:rsid w:val="528D02F2"/>
    <w:rsid w:val="52A12CDC"/>
    <w:rsid w:val="52DF0C92"/>
    <w:rsid w:val="52E1159C"/>
    <w:rsid w:val="52E34D6A"/>
    <w:rsid w:val="530C1269"/>
    <w:rsid w:val="531E524E"/>
    <w:rsid w:val="534072EB"/>
    <w:rsid w:val="537648BE"/>
    <w:rsid w:val="538E2D0B"/>
    <w:rsid w:val="53922782"/>
    <w:rsid w:val="539C1424"/>
    <w:rsid w:val="53A639C0"/>
    <w:rsid w:val="53BE2B3F"/>
    <w:rsid w:val="53F00A24"/>
    <w:rsid w:val="53F63DBA"/>
    <w:rsid w:val="53FF492A"/>
    <w:rsid w:val="54261D4F"/>
    <w:rsid w:val="5448624E"/>
    <w:rsid w:val="54492049"/>
    <w:rsid w:val="546E2B1A"/>
    <w:rsid w:val="5482555F"/>
    <w:rsid w:val="54A31DD8"/>
    <w:rsid w:val="54AA6F8B"/>
    <w:rsid w:val="54D26583"/>
    <w:rsid w:val="55363E67"/>
    <w:rsid w:val="556E6DF7"/>
    <w:rsid w:val="55965CE3"/>
    <w:rsid w:val="559D47CE"/>
    <w:rsid w:val="55BE1959"/>
    <w:rsid w:val="56232437"/>
    <w:rsid w:val="56541A75"/>
    <w:rsid w:val="56755377"/>
    <w:rsid w:val="568832FC"/>
    <w:rsid w:val="568C4181"/>
    <w:rsid w:val="570725A9"/>
    <w:rsid w:val="5714693E"/>
    <w:rsid w:val="571D0C9C"/>
    <w:rsid w:val="573A16CE"/>
    <w:rsid w:val="57482A8C"/>
    <w:rsid w:val="578D049F"/>
    <w:rsid w:val="579C7F80"/>
    <w:rsid w:val="57B30D7C"/>
    <w:rsid w:val="57D3A4D5"/>
    <w:rsid w:val="57FD6111"/>
    <w:rsid w:val="58166B03"/>
    <w:rsid w:val="583E3C94"/>
    <w:rsid w:val="58721734"/>
    <w:rsid w:val="58900246"/>
    <w:rsid w:val="58977358"/>
    <w:rsid w:val="58CB5DC0"/>
    <w:rsid w:val="58D53944"/>
    <w:rsid w:val="58D65478"/>
    <w:rsid w:val="58F52487"/>
    <w:rsid w:val="58F9403E"/>
    <w:rsid w:val="590422E6"/>
    <w:rsid w:val="592257E5"/>
    <w:rsid w:val="59635CB4"/>
    <w:rsid w:val="59655E33"/>
    <w:rsid w:val="5970233D"/>
    <w:rsid w:val="59CF5BD9"/>
    <w:rsid w:val="59E20C3C"/>
    <w:rsid w:val="59E3512D"/>
    <w:rsid w:val="59EFD2B8"/>
    <w:rsid w:val="5A001BC6"/>
    <w:rsid w:val="5A1D5B0A"/>
    <w:rsid w:val="5A2447F3"/>
    <w:rsid w:val="5A3B4B4E"/>
    <w:rsid w:val="5A4804CA"/>
    <w:rsid w:val="5A594C85"/>
    <w:rsid w:val="5A8842AA"/>
    <w:rsid w:val="5AEB1E3C"/>
    <w:rsid w:val="5B2507CA"/>
    <w:rsid w:val="5B2A474A"/>
    <w:rsid w:val="5B2D237E"/>
    <w:rsid w:val="5B612747"/>
    <w:rsid w:val="5B830730"/>
    <w:rsid w:val="5BBB2DD6"/>
    <w:rsid w:val="5BD6009C"/>
    <w:rsid w:val="5BE263B6"/>
    <w:rsid w:val="5C8E5C5A"/>
    <w:rsid w:val="5C965E61"/>
    <w:rsid w:val="5CD839BA"/>
    <w:rsid w:val="5CF0089C"/>
    <w:rsid w:val="5CF5796F"/>
    <w:rsid w:val="5D242A11"/>
    <w:rsid w:val="5D5B8CA4"/>
    <w:rsid w:val="5D9217C2"/>
    <w:rsid w:val="5DAD06BF"/>
    <w:rsid w:val="5DC7559E"/>
    <w:rsid w:val="5DC92CE9"/>
    <w:rsid w:val="5DD4DAFD"/>
    <w:rsid w:val="5DDD6DA8"/>
    <w:rsid w:val="5DE23CB3"/>
    <w:rsid w:val="5DE97EEC"/>
    <w:rsid w:val="5DFA5EB0"/>
    <w:rsid w:val="5E000E4D"/>
    <w:rsid w:val="5E0B583E"/>
    <w:rsid w:val="5E201A7B"/>
    <w:rsid w:val="5EA45884"/>
    <w:rsid w:val="5EBD0484"/>
    <w:rsid w:val="5EFFA702"/>
    <w:rsid w:val="5F2C5C7C"/>
    <w:rsid w:val="5F36141C"/>
    <w:rsid w:val="5FC5273F"/>
    <w:rsid w:val="5FD64459"/>
    <w:rsid w:val="5FDA707A"/>
    <w:rsid w:val="5FE33352"/>
    <w:rsid w:val="604F6C39"/>
    <w:rsid w:val="60806DF2"/>
    <w:rsid w:val="61072DA5"/>
    <w:rsid w:val="611C0817"/>
    <w:rsid w:val="61224A52"/>
    <w:rsid w:val="61300818"/>
    <w:rsid w:val="61520CCB"/>
    <w:rsid w:val="61851A29"/>
    <w:rsid w:val="61DF7484"/>
    <w:rsid w:val="622D1522"/>
    <w:rsid w:val="622E0574"/>
    <w:rsid w:val="62683B6B"/>
    <w:rsid w:val="6275761C"/>
    <w:rsid w:val="62816E52"/>
    <w:rsid w:val="62AB7BE6"/>
    <w:rsid w:val="62AC5944"/>
    <w:rsid w:val="632F3F8A"/>
    <w:rsid w:val="63332842"/>
    <w:rsid w:val="63716241"/>
    <w:rsid w:val="637279B4"/>
    <w:rsid w:val="63817D2B"/>
    <w:rsid w:val="63BD1FA9"/>
    <w:rsid w:val="63D175D1"/>
    <w:rsid w:val="63D27965"/>
    <w:rsid w:val="63F4667E"/>
    <w:rsid w:val="63FF930D"/>
    <w:rsid w:val="64095516"/>
    <w:rsid w:val="641A2468"/>
    <w:rsid w:val="64372F20"/>
    <w:rsid w:val="648944D0"/>
    <w:rsid w:val="64DC72D7"/>
    <w:rsid w:val="64FA42B4"/>
    <w:rsid w:val="653619A6"/>
    <w:rsid w:val="65610A02"/>
    <w:rsid w:val="658C0E37"/>
    <w:rsid w:val="65A11EA3"/>
    <w:rsid w:val="65AC3D66"/>
    <w:rsid w:val="65BB5334"/>
    <w:rsid w:val="663E1DBA"/>
    <w:rsid w:val="665D0213"/>
    <w:rsid w:val="668506C7"/>
    <w:rsid w:val="669E59F1"/>
    <w:rsid w:val="66A2024B"/>
    <w:rsid w:val="66CB5E2D"/>
    <w:rsid w:val="6704732B"/>
    <w:rsid w:val="670F6731"/>
    <w:rsid w:val="67585CB0"/>
    <w:rsid w:val="67770F0C"/>
    <w:rsid w:val="679E649A"/>
    <w:rsid w:val="67B03535"/>
    <w:rsid w:val="68174F69"/>
    <w:rsid w:val="682C436A"/>
    <w:rsid w:val="68382778"/>
    <w:rsid w:val="68391F41"/>
    <w:rsid w:val="68436B8C"/>
    <w:rsid w:val="68797358"/>
    <w:rsid w:val="6884624F"/>
    <w:rsid w:val="68A519DF"/>
    <w:rsid w:val="68BF2482"/>
    <w:rsid w:val="68C4160B"/>
    <w:rsid w:val="68C41C30"/>
    <w:rsid w:val="68CF3BA4"/>
    <w:rsid w:val="69257FA7"/>
    <w:rsid w:val="693F26C7"/>
    <w:rsid w:val="697E12B2"/>
    <w:rsid w:val="69C8706D"/>
    <w:rsid w:val="6A0E3FB4"/>
    <w:rsid w:val="6A292754"/>
    <w:rsid w:val="6A5E3B28"/>
    <w:rsid w:val="6A6B1EBE"/>
    <w:rsid w:val="6A8F43F7"/>
    <w:rsid w:val="6AD625F3"/>
    <w:rsid w:val="6B5B46E4"/>
    <w:rsid w:val="6B7218BE"/>
    <w:rsid w:val="6B750BA9"/>
    <w:rsid w:val="6BB93285"/>
    <w:rsid w:val="6BFC9E23"/>
    <w:rsid w:val="6C0C698C"/>
    <w:rsid w:val="6C222401"/>
    <w:rsid w:val="6C56267F"/>
    <w:rsid w:val="6C826EF9"/>
    <w:rsid w:val="6C9FE50F"/>
    <w:rsid w:val="6CAE4C93"/>
    <w:rsid w:val="6CB14F16"/>
    <w:rsid w:val="6CEC2069"/>
    <w:rsid w:val="6CF7AA0F"/>
    <w:rsid w:val="6CFFA098"/>
    <w:rsid w:val="6D0B1869"/>
    <w:rsid w:val="6D65402D"/>
    <w:rsid w:val="6D683822"/>
    <w:rsid w:val="6D8D136C"/>
    <w:rsid w:val="6DBF2759"/>
    <w:rsid w:val="6DC96F36"/>
    <w:rsid w:val="6DED00D0"/>
    <w:rsid w:val="6DFA3EBF"/>
    <w:rsid w:val="6E3E63D2"/>
    <w:rsid w:val="6E5F7BE6"/>
    <w:rsid w:val="6E6918C6"/>
    <w:rsid w:val="6EBF1FE2"/>
    <w:rsid w:val="6EEB4AC4"/>
    <w:rsid w:val="6F212DD6"/>
    <w:rsid w:val="6F3B5912"/>
    <w:rsid w:val="6F66725E"/>
    <w:rsid w:val="6FA14A81"/>
    <w:rsid w:val="6FA3261F"/>
    <w:rsid w:val="6FB44BAA"/>
    <w:rsid w:val="6FF7F6BF"/>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5400DF"/>
    <w:rsid w:val="726A729D"/>
    <w:rsid w:val="73177841"/>
    <w:rsid w:val="733774FE"/>
    <w:rsid w:val="735231C7"/>
    <w:rsid w:val="73617E1B"/>
    <w:rsid w:val="736D7653"/>
    <w:rsid w:val="738035CB"/>
    <w:rsid w:val="73852C46"/>
    <w:rsid w:val="7396335C"/>
    <w:rsid w:val="73F46595"/>
    <w:rsid w:val="73F47FAE"/>
    <w:rsid w:val="74283FA2"/>
    <w:rsid w:val="742C135B"/>
    <w:rsid w:val="74463733"/>
    <w:rsid w:val="748A2F40"/>
    <w:rsid w:val="74D84FF7"/>
    <w:rsid w:val="74F85778"/>
    <w:rsid w:val="75272439"/>
    <w:rsid w:val="758F1E9B"/>
    <w:rsid w:val="75CE266B"/>
    <w:rsid w:val="75E538F2"/>
    <w:rsid w:val="75FB4AD1"/>
    <w:rsid w:val="76120141"/>
    <w:rsid w:val="763FF940"/>
    <w:rsid w:val="76510960"/>
    <w:rsid w:val="768216BE"/>
    <w:rsid w:val="76C23B43"/>
    <w:rsid w:val="76D3D0E4"/>
    <w:rsid w:val="76EA9FD4"/>
    <w:rsid w:val="76FD6F97"/>
    <w:rsid w:val="770218E8"/>
    <w:rsid w:val="779469CE"/>
    <w:rsid w:val="779B8BF9"/>
    <w:rsid w:val="77C875A5"/>
    <w:rsid w:val="77D777E8"/>
    <w:rsid w:val="77EF028A"/>
    <w:rsid w:val="77F71A2B"/>
    <w:rsid w:val="78A27DF6"/>
    <w:rsid w:val="79285B3A"/>
    <w:rsid w:val="79490B03"/>
    <w:rsid w:val="79625CA9"/>
    <w:rsid w:val="79A91196"/>
    <w:rsid w:val="7A0B32D3"/>
    <w:rsid w:val="7AC13CD3"/>
    <w:rsid w:val="7AE10264"/>
    <w:rsid w:val="7AE4248E"/>
    <w:rsid w:val="7B4A207F"/>
    <w:rsid w:val="7B7122A7"/>
    <w:rsid w:val="7B936F45"/>
    <w:rsid w:val="7BA47419"/>
    <w:rsid w:val="7BB10D45"/>
    <w:rsid w:val="7BB44151"/>
    <w:rsid w:val="7BBFBE62"/>
    <w:rsid w:val="7BFF047B"/>
    <w:rsid w:val="7C067CC4"/>
    <w:rsid w:val="7C656A39"/>
    <w:rsid w:val="7C9369C0"/>
    <w:rsid w:val="7CAE7D7C"/>
    <w:rsid w:val="7CB93996"/>
    <w:rsid w:val="7CBE0F99"/>
    <w:rsid w:val="7CDFAC41"/>
    <w:rsid w:val="7D2D564D"/>
    <w:rsid w:val="7D41C91C"/>
    <w:rsid w:val="7D4E45F1"/>
    <w:rsid w:val="7D8D937D"/>
    <w:rsid w:val="7DFB6D82"/>
    <w:rsid w:val="7E1D71D1"/>
    <w:rsid w:val="7E246254"/>
    <w:rsid w:val="7E553215"/>
    <w:rsid w:val="7E6D090F"/>
    <w:rsid w:val="7E7E2263"/>
    <w:rsid w:val="7ECC66B2"/>
    <w:rsid w:val="7EE3D75B"/>
    <w:rsid w:val="7EE412CA"/>
    <w:rsid w:val="7EEE38B7"/>
    <w:rsid w:val="7F2914C3"/>
    <w:rsid w:val="7F3E4883"/>
    <w:rsid w:val="7F5F2ED6"/>
    <w:rsid w:val="7F77D3BE"/>
    <w:rsid w:val="7F79B32A"/>
    <w:rsid w:val="7F9F38D9"/>
    <w:rsid w:val="7FA691C4"/>
    <w:rsid w:val="7FA837EF"/>
    <w:rsid w:val="7FC36955"/>
    <w:rsid w:val="7FE903A0"/>
    <w:rsid w:val="7FF07065"/>
    <w:rsid w:val="7FF7E958"/>
    <w:rsid w:val="7FF97946"/>
    <w:rsid w:val="7FFC9C21"/>
    <w:rsid w:val="7FFD2495"/>
    <w:rsid w:val="7FFE7888"/>
    <w:rsid w:val="9D633749"/>
    <w:rsid w:val="9FAF7721"/>
    <w:rsid w:val="9FF52E20"/>
    <w:rsid w:val="ADFDA137"/>
    <w:rsid w:val="AFEF8F3C"/>
    <w:rsid w:val="AFFA661D"/>
    <w:rsid w:val="AFFBD011"/>
    <w:rsid w:val="B77CDB71"/>
    <w:rsid w:val="BA6EFFE4"/>
    <w:rsid w:val="BA9B53EC"/>
    <w:rsid w:val="BAFF09F3"/>
    <w:rsid w:val="BE33D6EA"/>
    <w:rsid w:val="BEDF7198"/>
    <w:rsid w:val="BF34BA0D"/>
    <w:rsid w:val="BF670BCF"/>
    <w:rsid w:val="BF6713C4"/>
    <w:rsid w:val="BF7FEDEE"/>
    <w:rsid w:val="BF9D20A0"/>
    <w:rsid w:val="BFDDD2D6"/>
    <w:rsid w:val="BFED01DA"/>
    <w:rsid w:val="BFFBFB8B"/>
    <w:rsid w:val="BFFDD30C"/>
    <w:rsid w:val="BFFF4563"/>
    <w:rsid w:val="C9EE7A09"/>
    <w:rsid w:val="CDBD7008"/>
    <w:rsid w:val="CE6E67D2"/>
    <w:rsid w:val="CEFD89ED"/>
    <w:rsid w:val="CF5FDA87"/>
    <w:rsid w:val="D13F44FE"/>
    <w:rsid w:val="D5FD7F53"/>
    <w:rsid w:val="D6ED260E"/>
    <w:rsid w:val="D73ED493"/>
    <w:rsid w:val="D87D03A1"/>
    <w:rsid w:val="DBBE258B"/>
    <w:rsid w:val="DBD714BA"/>
    <w:rsid w:val="DDBDA8DB"/>
    <w:rsid w:val="DEF3AD2A"/>
    <w:rsid w:val="DEFE35CF"/>
    <w:rsid w:val="DF76E6CE"/>
    <w:rsid w:val="DFFFA3E9"/>
    <w:rsid w:val="E73CD874"/>
    <w:rsid w:val="E7FFB42F"/>
    <w:rsid w:val="E9E7ACB5"/>
    <w:rsid w:val="EA9F44D6"/>
    <w:rsid w:val="EB9F7C8C"/>
    <w:rsid w:val="EBBF569E"/>
    <w:rsid w:val="ED5D38DE"/>
    <w:rsid w:val="EFD3B4D8"/>
    <w:rsid w:val="EFEF1D5A"/>
    <w:rsid w:val="EFEF8E90"/>
    <w:rsid w:val="EFEFC209"/>
    <w:rsid w:val="EFFF8E8F"/>
    <w:rsid w:val="F0BD016C"/>
    <w:rsid w:val="F3773D7D"/>
    <w:rsid w:val="F4FCD84E"/>
    <w:rsid w:val="F5BF909D"/>
    <w:rsid w:val="F7FF596E"/>
    <w:rsid w:val="F9DF168C"/>
    <w:rsid w:val="F9FF4530"/>
    <w:rsid w:val="FBD77C62"/>
    <w:rsid w:val="FCF3657E"/>
    <w:rsid w:val="FD06C7B4"/>
    <w:rsid w:val="FD77155E"/>
    <w:rsid w:val="FD7EC4D1"/>
    <w:rsid w:val="FD7F8BED"/>
    <w:rsid w:val="FDDCB433"/>
    <w:rsid w:val="FDFF75BF"/>
    <w:rsid w:val="FECB9154"/>
    <w:rsid w:val="FEFD6D88"/>
    <w:rsid w:val="FEFF1A5E"/>
    <w:rsid w:val="FEFF4D5D"/>
    <w:rsid w:val="FF3FFBD4"/>
    <w:rsid w:val="FFDDC2EB"/>
    <w:rsid w:val="FFED6636"/>
    <w:rsid w:val="FFEDB345"/>
    <w:rsid w:val="FFEF10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numPr>
        <w:ilvl w:val="1"/>
        <w:numId w:val="1"/>
      </w:numPr>
      <w:spacing w:line="416" w:lineRule="auto"/>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Autospacing="1" w:afterAutospacing="1"/>
      <w:jc w:val="left"/>
    </w:pPr>
    <w:rPr>
      <w:rFonts w:cs="Times New Roman"/>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字符"/>
    <w:link w:val="3"/>
    <w:qFormat/>
    <w:uiPriority w:val="0"/>
    <w:rPr>
      <w:rFonts w:ascii="Calibri Light" w:hAnsi="Calibri Light" w:eastAsia="宋体" w:cs="Times New Roman"/>
      <w:b/>
      <w:bCs/>
      <w:sz w:val="28"/>
      <w:szCs w:val="32"/>
    </w:rPr>
  </w:style>
  <w:style w:type="character" w:customStyle="1" w:styleId="16">
    <w:name w:val="页脚 字符"/>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字符"/>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字符"/>
    <w:basedOn w:val="13"/>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21"/>
    <w:basedOn w:val="13"/>
    <w:qFormat/>
    <w:uiPriority w:val="0"/>
    <w:rPr>
      <w:rFonts w:hint="eastAsia" w:ascii="方正仿宋_GB2312" w:hAnsi="方正仿宋_GB2312" w:eastAsia="方正仿宋_GB2312" w:cs="方正仿宋_GB2312"/>
      <w:color w:val="000000"/>
      <w:sz w:val="18"/>
      <w:szCs w:val="18"/>
      <w:u w:val="none"/>
    </w:rPr>
  </w:style>
  <w:style w:type="character" w:customStyle="1" w:styleId="26">
    <w:name w:val="font61"/>
    <w:basedOn w:val="13"/>
    <w:qFormat/>
    <w:uiPriority w:val="0"/>
    <w:rPr>
      <w:rFonts w:hint="eastAsia" w:ascii="方正仿宋_GB2312" w:hAnsi="方正仿宋_GB2312" w:eastAsia="方正仿宋_GB2312" w:cs="方正仿宋_GB2312"/>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3" Type="http://schemas.openxmlformats.org/officeDocument/2006/relationships/fontTable" Target="fontTable.xml"/><Relationship Id="rId32" Type="http://schemas.openxmlformats.org/officeDocument/2006/relationships/numbering" Target="numbering.xml"/><Relationship Id="rId31" Type="http://schemas.openxmlformats.org/officeDocument/2006/relationships/customXml" Target="../customXml/item1.xml"/><Relationship Id="rId30" Type="http://schemas.openxmlformats.org/officeDocument/2006/relationships/image" Target="media/image16.png"/><Relationship Id="rId3" Type="http://schemas.openxmlformats.org/officeDocument/2006/relationships/header" Target="header1.xml"/><Relationship Id="rId29" Type="http://schemas.openxmlformats.org/officeDocument/2006/relationships/image" Target="media/image15.png"/><Relationship Id="rId28" Type="http://schemas.openxmlformats.org/officeDocument/2006/relationships/image" Target="media/image14.png"/><Relationship Id="rId27" Type="http://schemas.openxmlformats.org/officeDocument/2006/relationships/image" Target="media/image13.png"/><Relationship Id="rId26" Type="http://schemas.openxmlformats.org/officeDocument/2006/relationships/image" Target="media/image12.png"/><Relationship Id="rId25" Type="http://schemas.openxmlformats.org/officeDocument/2006/relationships/image" Target="media/image11.png"/><Relationship Id="rId24" Type="http://schemas.openxmlformats.org/officeDocument/2006/relationships/image" Target="media/image10.png"/><Relationship Id="rId23" Type="http://schemas.openxmlformats.org/officeDocument/2006/relationships/image" Target="media/image9.png"/><Relationship Id="rId22" Type="http://schemas.openxmlformats.org/officeDocument/2006/relationships/image" Target="media/image8.png"/><Relationship Id="rId21" Type="http://schemas.openxmlformats.org/officeDocument/2006/relationships/image" Target="media/image7.png"/><Relationship Id="rId20" Type="http://schemas.openxmlformats.org/officeDocument/2006/relationships/image" Target="media/image6.png"/><Relationship Id="rId2" Type="http://schemas.openxmlformats.org/officeDocument/2006/relationships/settings" Target="settings.xml"/><Relationship Id="rId19" Type="http://schemas.openxmlformats.org/officeDocument/2006/relationships/image" Target="media/image5.png"/><Relationship Id="rId18" Type="http://schemas.openxmlformats.org/officeDocument/2006/relationships/image" Target="media/image4.png"/><Relationship Id="rId17" Type="http://schemas.openxmlformats.org/officeDocument/2006/relationships/image" Target="media/image3.png"/><Relationship Id="rId16" Type="http://schemas.openxmlformats.org/officeDocument/2006/relationships/image" Target="media/image2.png"/><Relationship Id="rId15" Type="http://schemas.openxmlformats.org/officeDocument/2006/relationships/chart" Target="charts/chart5.xml"/><Relationship Id="rId14" Type="http://schemas.openxmlformats.org/officeDocument/2006/relationships/chart" Target="charts/chart4.xml"/><Relationship Id="rId13" Type="http://schemas.openxmlformats.org/officeDocument/2006/relationships/chart" Target="charts/chart3.xml"/><Relationship Id="rId12" Type="http://schemas.openxmlformats.org/officeDocument/2006/relationships/chart" Target="charts/chart2.xml"/><Relationship Id="rId11" Type="http://schemas.openxmlformats.org/officeDocument/2006/relationships/chart" Target="charts/chart1.xml"/><Relationship Id="rId10" Type="http://schemas.openxmlformats.org/officeDocument/2006/relationships/image" Target="media/image1.jpeg"/><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chart1.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true"/>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false"/>
      <c:spPr>
        <a:noFill/>
        <a:ln>
          <a:noFill/>
        </a:ln>
        <a:effectLst/>
      </c:spPr>
    </c:title>
    <c:autoTitleDeleted val="false"/>
    <c:plotArea>
      <c:layout/>
      <c:barChart>
        <c:barDir val="col"/>
        <c:grouping val="clustered"/>
        <c:varyColors val="false"/>
        <c:ser>
          <c:idx val="0"/>
          <c:order val="0"/>
          <c:tx>
            <c:strRef>
              <c:f>Sheet1!$B$1</c:f>
              <c:strCache>
                <c:ptCount val="1"/>
                <c:pt idx="0">
                  <c:v>收支总计</c:v>
                </c:pt>
              </c:strCache>
            </c:strRef>
          </c:tx>
          <c:spPr>
            <a:solidFill>
              <a:schemeClr val="accent1"/>
            </a:solidFill>
            <a:ln>
              <a:noFill/>
            </a:ln>
            <a:effectLst/>
          </c:spPr>
          <c:invertIfNegative val="false"/>
          <c:dLbls>
            <c:spPr>
              <a:noFill/>
              <a:ln>
                <a:noFill/>
              </a:ln>
              <a:effectLst/>
            </c:spPr>
            <c:txPr>
              <a:bodyPr rot="0" spcFirstLastPara="0" vertOverflow="ellipsis" vert="horz" wrap="square" lIns="38100" tIns="19050" rIns="38100" bIns="19050" anchor="ctr" anchorCtr="true"/>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2699.2</c:v>
                </c:pt>
                <c:pt idx="1">
                  <c:v>6783.78</c:v>
                </c:pt>
              </c:numCache>
            </c:numRef>
          </c:val>
        </c:ser>
        <c:dLbls>
          <c:showLegendKey val="false"/>
          <c:showVal val="true"/>
          <c:showCatName val="false"/>
          <c:showSerName val="false"/>
          <c:showPercent val="false"/>
          <c:showBubbleSize val="false"/>
        </c:dLbls>
        <c:gapWidth val="246"/>
        <c:overlap val="-28"/>
        <c:axId val="817088452"/>
        <c:axId val="587069473"/>
      </c:barChart>
      <c:catAx>
        <c:axId val="817088452"/>
        <c:scaling>
          <c:orientation val="minMax"/>
        </c:scaling>
        <c:delete val="false"/>
        <c:axPos val="b"/>
        <c:numFmt formatCode="General" sourceLinked="false"/>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true"/>
        <c:lblAlgn val="ctr"/>
        <c:lblOffset val="100"/>
        <c:noMultiLvlLbl val="false"/>
      </c:catAx>
      <c:valAx>
        <c:axId val="587069473"/>
        <c:scaling>
          <c:orientation val="minMax"/>
        </c:scaling>
        <c:delete val="false"/>
        <c:axPos val="l"/>
        <c:majorGridlines>
          <c:spPr>
            <a:ln w="9525" cap="flat" cmpd="sng" algn="ctr">
              <a:solidFill>
                <a:schemeClr val="lt1">
                  <a:lumMod val="90200"/>
                </a:schemeClr>
              </a:solidFill>
              <a:round/>
            </a:ln>
            <a:effectLst/>
          </c:spPr>
        </c:majorGridlines>
        <c:numFmt formatCode="General" sourceLinked="true"/>
        <c:majorTickMark val="none"/>
        <c:minorTickMark val="none"/>
        <c:tickLblPos val="nextTo"/>
        <c:spPr>
          <a:noFill/>
          <a:ln>
            <a:noFill/>
          </a:ln>
          <a:effectLst/>
        </c:spPr>
        <c:txPr>
          <a:bodyPr rot="-6000000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true"/>
    <c:dispBlanksAs val="gap"/>
    <c:showDLblsOverMax val="false"/>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false"/>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true"/>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false"/>
      <c:spPr>
        <a:noFill/>
        <a:ln>
          <a:noFill/>
        </a:ln>
        <a:effectLst/>
      </c:spPr>
    </c:title>
    <c:autoTitleDeleted val="false"/>
    <c:plotArea>
      <c:layout/>
      <c:pieChart>
        <c:varyColors val="true"/>
        <c:ser>
          <c:idx val="0"/>
          <c:order val="0"/>
          <c:tx>
            <c:strRef>
              <c:f>Sheet1!$B$1</c:f>
              <c:strCache>
                <c:ptCount val="1"/>
                <c:pt idx="0">
                  <c:v>金额</c:v>
                </c:pt>
              </c:strCache>
            </c:strRef>
          </c:tx>
          <c:spPr/>
          <c:explosion val="0"/>
          <c:dPt>
            <c:idx val="0"/>
            <c:bubble3D val="false"/>
            <c:spPr>
              <a:solidFill>
                <a:schemeClr val="accent1"/>
              </a:solidFill>
              <a:ln>
                <a:solidFill>
                  <a:schemeClr val="bg1"/>
                </a:solidFill>
              </a:ln>
              <a:effectLst/>
            </c:spPr>
          </c:dPt>
          <c:dPt>
            <c:idx val="1"/>
            <c:bubble3D val="false"/>
            <c:spPr>
              <a:solidFill>
                <a:schemeClr val="accent2"/>
              </a:solidFill>
              <a:ln>
                <a:solidFill>
                  <a:schemeClr val="bg1"/>
                </a:solidFill>
              </a:ln>
              <a:effectLst/>
            </c:spPr>
          </c:dPt>
          <c:dPt>
            <c:idx val="2"/>
            <c:bubble3D val="false"/>
            <c:spPr>
              <a:solidFill>
                <a:schemeClr val="accent3"/>
              </a:solidFill>
              <a:ln>
                <a:solidFill>
                  <a:schemeClr val="bg1"/>
                </a:solidFill>
              </a:ln>
              <a:effectLst/>
            </c:spPr>
          </c:dPt>
          <c:dPt>
            <c:idx val="3"/>
            <c:bubble3D val="false"/>
            <c:spPr>
              <a:solidFill>
                <a:schemeClr val="accent4"/>
              </a:solidFill>
              <a:ln>
                <a:solidFill>
                  <a:schemeClr val="bg1"/>
                </a:solidFill>
              </a:ln>
              <a:effectLst/>
            </c:spPr>
          </c:dPt>
          <c:dPt>
            <c:idx val="4"/>
            <c:bubble3D val="false"/>
            <c:spPr>
              <a:solidFill>
                <a:schemeClr val="accent5"/>
              </a:solidFill>
              <a:ln>
                <a:solidFill>
                  <a:schemeClr val="bg1"/>
                </a:solidFill>
              </a:ln>
              <a:effectLst/>
            </c:spPr>
          </c:dPt>
          <c:dPt>
            <c:idx val="5"/>
            <c:bubble3D val="false"/>
            <c:spPr>
              <a:solidFill>
                <a:schemeClr val="accent6"/>
              </a:solidFill>
              <a:ln>
                <a:solidFill>
                  <a:schemeClr val="bg1"/>
                </a:solidFill>
              </a:ln>
              <a:effectLst/>
            </c:spPr>
          </c:dPt>
          <c:dLbls>
            <c:dLbl>
              <c:idx val="0"/>
              <c:layout>
                <c:manualLayout>
                  <c:x val="0.320125539403024"/>
                  <c:y val="0.726907139821478"/>
                </c:manualLayout>
              </c:layout>
              <c:dLblPos val="bestFit"/>
              <c:showLegendKey val="true"/>
              <c:showVal val="false"/>
              <c:showCatName val="true"/>
              <c:showSerName val="false"/>
              <c:showPercent val="true"/>
              <c:showBubbleSize val="false"/>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true"/>
              <c:showVal val="false"/>
              <c:showCatName val="true"/>
              <c:showSerName val="false"/>
              <c:showPercent val="true"/>
              <c:showBubbleSize val="false"/>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true"/>
              <c:showVal val="false"/>
              <c:showCatName val="true"/>
              <c:showSerName val="false"/>
              <c:showPercent val="true"/>
              <c:showBubbleSize val="false"/>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true"/>
              <c:showVal val="false"/>
              <c:showCatName val="true"/>
              <c:showSerName val="false"/>
              <c:showPercent val="true"/>
              <c:showBubbleSize val="false"/>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true"/>
              <c:showVal val="false"/>
              <c:showCatName val="true"/>
              <c:showSerName val="false"/>
              <c:showPercent val="true"/>
              <c:showBubbleSize val="false"/>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true"/>
              <c:showVal val="false"/>
              <c:showCatName val="true"/>
              <c:showSerName val="false"/>
              <c:showPercent val="true"/>
              <c:showBubbleSize val="false"/>
              <c:separator> </c:separator>
              <c:extLst>
                <c:ext xmlns:c15="http://schemas.microsoft.com/office/drawing/2012/chart" uri="{CE6537A1-D6FC-4f65-9D91-7224C49458BB}">
                  <c15:layout>
                    <c:manualLayout>
                      <c:w val="0.19545300797294"/>
                      <c:h val="0.110922226944326"/>
                    </c:manualLayout>
                  </c15:layout>
                </c:ext>
              </c:extLst>
            </c:dLbl>
            <c:numFmt formatCode="0.0%" sourceLinked="false"/>
            <c:spPr>
              <a:noFill/>
              <a:ln>
                <a:noFill/>
              </a:ln>
              <a:effectLst/>
            </c:spPr>
            <c:txPr>
              <a:bodyPr rot="0" spcFirstLastPara="0" vertOverflow="ellipsis" vert="horz" wrap="square" lIns="38100" tIns="19050" rIns="38100" bIns="19050" anchor="ctr" anchorCtr="true"/>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true"/>
            <c:showVal val="false"/>
            <c:showCatName val="true"/>
            <c:showSerName val="false"/>
            <c:showPercent val="true"/>
            <c:showBubbleSize val="false"/>
            <c:separator> </c:separator>
            <c:showLeaderLines val="tru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26992033.89</c:v>
                </c:pt>
                <c:pt idx="1">
                  <c:v>0</c:v>
                </c:pt>
                <c:pt idx="2">
                  <c:v>0</c:v>
                </c:pt>
                <c:pt idx="3">
                  <c:v>0</c:v>
                </c:pt>
                <c:pt idx="4">
                  <c:v>0</c:v>
                </c:pt>
                <c:pt idx="5">
                  <c:v>0</c:v>
                </c:pt>
              </c:numCache>
            </c:numRef>
          </c:val>
        </c:ser>
        <c:dLbls>
          <c:showLegendKey val="false"/>
          <c:showVal val="true"/>
          <c:showCatName val="false"/>
          <c:showSerName val="false"/>
          <c:showPercent val="false"/>
          <c:showBubbleSize val="false"/>
          <c:showLeaderLines val="true"/>
        </c:dLbls>
        <c:firstSliceAng val="0"/>
      </c:pieChart>
      <c:spPr>
        <a:noFill/>
        <a:ln>
          <a:noFill/>
        </a:ln>
        <a:effectLst/>
      </c:spPr>
    </c:plotArea>
    <c:legend>
      <c:legendPos val="r"/>
      <c:layout/>
      <c:overlay val="false"/>
      <c:spPr>
        <a:noFill/>
        <a:ln>
          <a:noFill/>
        </a:ln>
        <a:effectLst/>
      </c:spPr>
      <c:txPr>
        <a:bodyPr rot="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legend>
    <c:plotVisOnly val="true"/>
    <c:dispBlanksAs val="gap"/>
    <c:showDLblsOverMax val="false"/>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false"/>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true"/>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false"/>
      <c:spPr>
        <a:noFill/>
        <a:ln>
          <a:noFill/>
        </a:ln>
        <a:effectLst/>
      </c:spPr>
    </c:title>
    <c:autoTitleDeleted val="false"/>
    <c:plotArea>
      <c:layout>
        <c:manualLayout>
          <c:layoutTarget val="inner"/>
          <c:xMode val="edge"/>
          <c:yMode val="edge"/>
          <c:x val="0.298441652573085"/>
          <c:y val="0.225244368890778"/>
          <c:w val="0.412297656438753"/>
          <c:h val="0.725244368890778"/>
        </c:manualLayout>
      </c:layout>
      <c:pieChart>
        <c:varyColors val="true"/>
        <c:ser>
          <c:idx val="0"/>
          <c:order val="0"/>
          <c:tx>
            <c:strRef>
              <c:f>Sheet1!$B$1</c:f>
              <c:strCache>
                <c:ptCount val="1"/>
                <c:pt idx="0">
                  <c:v>金额</c:v>
                </c:pt>
              </c:strCache>
            </c:strRef>
          </c:tx>
          <c:spPr/>
          <c:explosion val="0"/>
          <c:dPt>
            <c:idx val="0"/>
            <c:bubble3D val="false"/>
            <c:spPr>
              <a:solidFill>
                <a:schemeClr val="accent1"/>
              </a:solidFill>
              <a:ln>
                <a:solidFill>
                  <a:schemeClr val="bg1"/>
                </a:solidFill>
              </a:ln>
              <a:effectLst/>
            </c:spPr>
          </c:dPt>
          <c:dPt>
            <c:idx val="1"/>
            <c:bubble3D val="false"/>
            <c:spPr>
              <a:solidFill>
                <a:schemeClr val="accent2"/>
              </a:solidFill>
              <a:ln>
                <a:solidFill>
                  <a:schemeClr val="bg1"/>
                </a:solidFill>
              </a:ln>
              <a:effectLst/>
            </c:spPr>
          </c:dPt>
          <c:dPt>
            <c:idx val="2"/>
            <c:bubble3D val="false"/>
            <c:spPr>
              <a:solidFill>
                <a:schemeClr val="accent3"/>
              </a:solidFill>
              <a:ln>
                <a:solidFill>
                  <a:schemeClr val="bg1"/>
                </a:solidFill>
              </a:ln>
              <a:effectLst/>
            </c:spPr>
          </c:dPt>
          <c:dPt>
            <c:idx val="3"/>
            <c:bubble3D val="false"/>
            <c:spPr>
              <a:solidFill>
                <a:schemeClr val="accent4"/>
              </a:solidFill>
              <a:ln>
                <a:solidFill>
                  <a:schemeClr val="bg1"/>
                </a:solidFill>
              </a:ln>
              <a:effectLst/>
            </c:spPr>
          </c:dPt>
          <c:dPt>
            <c:idx val="4"/>
            <c:bubble3D val="false"/>
            <c:spPr>
              <a:solidFill>
                <a:schemeClr val="accent5"/>
              </a:solidFill>
              <a:ln>
                <a:solidFill>
                  <a:schemeClr val="bg1"/>
                </a:solidFill>
              </a:ln>
              <a:effectLst/>
            </c:spPr>
          </c:dPt>
          <c:dLbls>
            <c:dLbl>
              <c:idx val="0"/>
              <c:layout>
                <c:manualLayout>
                  <c:x val="-0.28690513020387"/>
                  <c:y val="0.199835316617064"/>
                </c:manualLayout>
              </c:layout>
              <c:dLblPos val="bestFit"/>
              <c:showLegendKey val="true"/>
              <c:showVal val="false"/>
              <c:showCatName val="true"/>
              <c:showSerName val="false"/>
              <c:showPercent val="true"/>
              <c:showBubbleSize val="false"/>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true"/>
              <c:showVal val="false"/>
              <c:showCatName val="true"/>
              <c:showSerName val="false"/>
              <c:showPercent val="true"/>
              <c:showBubbleSize val="false"/>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true"/>
              <c:showVal val="false"/>
              <c:showCatName val="true"/>
              <c:showSerName val="false"/>
              <c:showPercent val="true"/>
              <c:showBubbleSize val="false"/>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true"/>
              <c:showVal val="false"/>
              <c:showCatName val="true"/>
              <c:showSerName val="false"/>
              <c:showPercent val="true"/>
              <c:showBubbleSize val="false"/>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true"/>
              <c:showVal val="false"/>
              <c:showCatName val="true"/>
              <c:showSerName val="false"/>
              <c:showPercent val="true"/>
              <c:showBubbleSize val="false"/>
              <c:separator> </c:separator>
              <c:extLst>
                <c:ext xmlns:c15="http://schemas.microsoft.com/office/drawing/2012/chart" uri="{CE6537A1-D6FC-4f65-9D91-7224C49458BB}">
                  <c15:layout/>
                </c:ext>
              </c:extLst>
            </c:dLbl>
            <c:numFmt formatCode="0.0%" sourceLinked="false"/>
            <c:spPr>
              <a:noFill/>
              <a:ln>
                <a:noFill/>
              </a:ln>
              <a:effectLst/>
            </c:spPr>
            <c:txPr>
              <a:bodyPr rot="0" spcFirstLastPara="0" vertOverflow="ellipsis" vert="horz" wrap="none" lIns="0" tIns="0" rIns="0" bIns="0" anchor="ctr" anchorCtr="true"/>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true"/>
            <c:showVal val="false"/>
            <c:showCatName val="true"/>
            <c:showSerName val="false"/>
            <c:showPercent val="true"/>
            <c:showBubbleSize val="false"/>
            <c:separator> </c:separator>
            <c:showLeaderLines val="tru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10630261.49</c:v>
                </c:pt>
                <c:pt idx="1">
                  <c:v>16361772.4</c:v>
                </c:pt>
                <c:pt idx="2">
                  <c:v>0</c:v>
                </c:pt>
                <c:pt idx="3">
                  <c:v>0</c:v>
                </c:pt>
                <c:pt idx="4">
                  <c:v>0</c:v>
                </c:pt>
              </c:numCache>
            </c:numRef>
          </c:val>
        </c:ser>
        <c:dLbls>
          <c:showLegendKey val="false"/>
          <c:showVal val="true"/>
          <c:showCatName val="false"/>
          <c:showSerName val="false"/>
          <c:showPercent val="false"/>
          <c:showBubbleSize val="false"/>
          <c:showLeaderLines val="true"/>
        </c:dLbls>
        <c:firstSliceAng val="0"/>
      </c:pieChart>
      <c:spPr>
        <a:noFill/>
        <a:ln>
          <a:noFill/>
        </a:ln>
        <a:effectLst/>
      </c:spPr>
    </c:plotArea>
    <c:legend>
      <c:legendPos val="t"/>
      <c:legendEntry>
        <c:idx val="0"/>
        <c:txPr>
          <a:bodyPr rot="0" spcFirstLastPara="0" vertOverflow="ellipsis" vert="horz" wrap="square" anchor="ctr" anchorCtr="true"/>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true"/>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true"/>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true"/>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true"/>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false"/>
      <c:spPr>
        <a:noFill/>
        <a:ln>
          <a:noFill/>
        </a:ln>
        <a:effectLst/>
      </c:spPr>
      <c:txPr>
        <a:bodyPr rot="0" spcFirstLastPara="0" vertOverflow="ellipsis" vert="horz" wrap="square" anchor="ctr" anchorCtr="true"/>
        <a:lstStyle/>
        <a:p>
          <a:pPr>
            <a:defRPr lang="zh-CN" sz="800" b="0" i="0" u="none" strike="noStrike" kern="1200" baseline="0">
              <a:solidFill>
                <a:schemeClr val="tx1">
                  <a:lumMod val="65000"/>
                  <a:lumOff val="35000"/>
                </a:schemeClr>
              </a:solidFill>
              <a:latin typeface="+mn-lt"/>
              <a:ea typeface="+mn-ea"/>
              <a:cs typeface="+mn-cs"/>
            </a:defRPr>
          </a:pPr>
        </a:p>
      </c:txPr>
    </c:legend>
    <c:plotVisOnly val="true"/>
    <c:dispBlanksAs val="gap"/>
    <c:showDLblsOverMax val="false"/>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false"/>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true"/>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false"/>
      <c:spPr>
        <a:noFill/>
        <a:ln>
          <a:noFill/>
        </a:ln>
        <a:effectLst/>
      </c:spPr>
    </c:title>
    <c:autoTitleDeleted val="false"/>
    <c:plotArea>
      <c:layout/>
      <c:barChart>
        <c:barDir val="col"/>
        <c:grouping val="clustered"/>
        <c:varyColors val="false"/>
        <c:ser>
          <c:idx val="0"/>
          <c:order val="0"/>
          <c:tx>
            <c:strRef>
              <c:f>Sheet1!$B$1</c:f>
              <c:strCache>
                <c:ptCount val="1"/>
                <c:pt idx="0">
                  <c:v>2024年</c:v>
                </c:pt>
              </c:strCache>
            </c:strRef>
          </c:tx>
          <c:spPr>
            <a:solidFill>
              <a:schemeClr val="accent1"/>
            </a:solidFill>
            <a:ln>
              <a:noFill/>
            </a:ln>
            <a:effectLst/>
          </c:spPr>
          <c:invertIfNegative val="false"/>
          <c:dLbls>
            <c:spPr>
              <a:noFill/>
              <a:ln>
                <a:noFill/>
              </a:ln>
              <a:effectLst/>
            </c:spPr>
            <c:txPr>
              <a:bodyPr rot="0" spcFirstLastPara="0" vertOverflow="ellipsis" vert="horz" wrap="square" lIns="38100" tIns="19050" rIns="38100" bIns="19050" anchor="ctr" anchorCtr="true"/>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6783.78</c:v>
                </c:pt>
                <c:pt idx="1">
                  <c:v>6783.78</c:v>
                </c:pt>
                <c:pt idx="2">
                  <c:v>6783.78</c:v>
                </c:pt>
                <c:pt idx="3">
                  <c:v>6783.78</c:v>
                </c:pt>
                <c:pt idx="4">
                  <c:v>0</c:v>
                </c:pt>
                <c:pt idx="5">
                  <c:v>0</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false"/>
          <c:dLbls>
            <c:spPr>
              <a:noFill/>
              <a:ln>
                <a:noFill/>
              </a:ln>
              <a:effectLst/>
            </c:spPr>
            <c:txPr>
              <a:bodyPr rot="0" spcFirstLastPara="0" vertOverflow="ellipsis" vert="horz" wrap="square" lIns="38100" tIns="19050" rIns="38100" bIns="19050" anchor="ctr" anchorCtr="true"/>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2699.2</c:v>
                </c:pt>
                <c:pt idx="1">
                  <c:v>2699.2</c:v>
                </c:pt>
                <c:pt idx="2">
                  <c:v>2699.2</c:v>
                </c:pt>
                <c:pt idx="3">
                  <c:v>2699.2</c:v>
                </c:pt>
                <c:pt idx="4">
                  <c:v>0</c:v>
                </c:pt>
                <c:pt idx="5">
                  <c:v>0</c:v>
                </c:pt>
                <c:pt idx="6">
                  <c:v>0</c:v>
                </c:pt>
                <c:pt idx="7">
                  <c:v>0</c:v>
                </c:pt>
              </c:numCache>
            </c:numRef>
          </c:val>
        </c:ser>
        <c:dLbls>
          <c:showLegendKey val="false"/>
          <c:showVal val="true"/>
          <c:showCatName val="false"/>
          <c:showSerName val="false"/>
          <c:showPercent val="false"/>
          <c:showBubbleSize val="false"/>
        </c:dLbls>
        <c:gapWidth val="246"/>
        <c:overlap val="-28"/>
        <c:axId val="40225855"/>
        <c:axId val="660958640"/>
      </c:barChart>
      <c:catAx>
        <c:axId val="40225855"/>
        <c:scaling>
          <c:orientation val="minMax"/>
        </c:scaling>
        <c:delete val="false"/>
        <c:axPos val="b"/>
        <c:numFmt formatCode="General" sourceLinked="false"/>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true"/>
        <c:lblAlgn val="ctr"/>
        <c:lblOffset val="100"/>
        <c:noMultiLvlLbl val="false"/>
      </c:catAx>
      <c:valAx>
        <c:axId val="660958640"/>
        <c:scaling>
          <c:orientation val="minMax"/>
        </c:scaling>
        <c:delete val="false"/>
        <c:axPos val="l"/>
        <c:majorGridlines>
          <c:spPr>
            <a:ln w="9525" cap="flat" cmpd="sng" algn="ctr">
              <a:solidFill>
                <a:schemeClr val="lt1">
                  <a:lumMod val="90200"/>
                </a:schemeClr>
              </a:solidFill>
              <a:round/>
            </a:ln>
            <a:effectLst/>
          </c:spPr>
        </c:majorGridlines>
        <c:numFmt formatCode="General" sourceLinked="true"/>
        <c:majorTickMark val="out"/>
        <c:minorTickMark val="none"/>
        <c:tickLblPos val="nextTo"/>
        <c:spPr>
          <a:noFill/>
          <a:ln>
            <a:noFill/>
          </a:ln>
          <a:effectLst/>
        </c:spPr>
        <c:txPr>
          <a:bodyPr rot="-6000000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false"/>
      <c:spPr>
        <a:noFill/>
        <a:ln>
          <a:noFill/>
        </a:ln>
        <a:effectLst/>
      </c:spPr>
      <c:txPr>
        <a:bodyPr rot="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legend>
    <c:plotVisOnly val="true"/>
    <c:dispBlanksAs val="gap"/>
    <c:showDLblsOverMax val="false"/>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false"/>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true"/>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false"/>
      <c:spPr>
        <a:noFill/>
        <a:ln>
          <a:noFill/>
        </a:ln>
        <a:effectLst/>
      </c:spPr>
    </c:title>
    <c:autoTitleDeleted val="false"/>
    <c:plotArea>
      <c:layout>
        <c:manualLayout>
          <c:layoutTarget val="inner"/>
          <c:xMode val="edge"/>
          <c:yMode val="edge"/>
          <c:x val="0.17641942498188"/>
          <c:y val="0.160433489162771"/>
          <c:w val="0.795796086011114"/>
          <c:h val="0.474330641733957"/>
        </c:manualLayout>
      </c:layout>
      <c:barChart>
        <c:barDir val="col"/>
        <c:grouping val="clustered"/>
        <c:varyColors val="false"/>
        <c:ser>
          <c:idx val="0"/>
          <c:order val="0"/>
          <c:tx>
            <c:strRef>
              <c:f>Sheet1!$B$1</c:f>
              <c:strCache>
                <c:ptCount val="1"/>
                <c:pt idx="0">
                  <c:v>年初预算数</c:v>
                </c:pt>
              </c:strCache>
            </c:strRef>
          </c:tx>
          <c:spPr>
            <a:solidFill>
              <a:schemeClr val="accent1"/>
            </a:solidFill>
            <a:ln>
              <a:noFill/>
            </a:ln>
            <a:effectLst/>
          </c:spPr>
          <c:invertIfNegative val="false"/>
          <c:dLbls>
            <c:spPr>
              <a:noFill/>
              <a:ln>
                <a:noFill/>
              </a:ln>
              <a:effectLst/>
            </c:spPr>
            <c:txPr>
              <a:bodyPr rot="0" spcFirstLastPara="0" vertOverflow="ellipsis" vert="horz" wrap="square" lIns="38100" tIns="19050" rIns="38100" bIns="19050" anchor="ctr" anchorCtr="true"/>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1587.31</c:v>
                </c:pt>
                <c:pt idx="1">
                  <c:v>1587.31</c:v>
                </c:pt>
                <c:pt idx="2">
                  <c:v>1587.31</c:v>
                </c:pt>
                <c:pt idx="3">
                  <c:v>1587.31</c:v>
                </c:pt>
                <c:pt idx="4">
                  <c:v>0</c:v>
                </c:pt>
                <c:pt idx="5">
                  <c:v>0</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false"/>
          <c:dLbls>
            <c:spPr>
              <a:noFill/>
              <a:ln>
                <a:noFill/>
              </a:ln>
              <a:effectLst/>
            </c:spPr>
            <c:txPr>
              <a:bodyPr rot="0" spcFirstLastPara="0" vertOverflow="ellipsis" vert="horz" wrap="square" lIns="38100" tIns="19050" rIns="38100" bIns="19050" anchor="ctr" anchorCtr="true"/>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2699.2</c:v>
                </c:pt>
                <c:pt idx="1">
                  <c:v>2699.2</c:v>
                </c:pt>
                <c:pt idx="2">
                  <c:v>2699.2</c:v>
                </c:pt>
                <c:pt idx="3">
                  <c:v>2699.2</c:v>
                </c:pt>
                <c:pt idx="4">
                  <c:v>0</c:v>
                </c:pt>
                <c:pt idx="5">
                  <c:v>0</c:v>
                </c:pt>
                <c:pt idx="6">
                  <c:v>0</c:v>
                </c:pt>
                <c:pt idx="7">
                  <c:v>0</c:v>
                </c:pt>
              </c:numCache>
            </c:numRef>
          </c:val>
        </c:ser>
        <c:dLbls>
          <c:showLegendKey val="false"/>
          <c:showVal val="true"/>
          <c:showCatName val="false"/>
          <c:showSerName val="false"/>
          <c:showPercent val="false"/>
          <c:showBubbleSize val="false"/>
        </c:dLbls>
        <c:gapWidth val="150"/>
        <c:axId val="136214206"/>
        <c:axId val="897256872"/>
      </c:barChart>
      <c:catAx>
        <c:axId val="136214206"/>
        <c:scaling>
          <c:orientation val="minMax"/>
        </c:scaling>
        <c:delete val="false"/>
        <c:axPos val="b"/>
        <c:numFmt formatCode="General" sourceLinked="false"/>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true"/>
          <a:lstStyle/>
          <a:p>
            <a:pPr>
              <a:defRPr lang="zh-CN" sz="800" b="0" i="0" u="none" strike="noStrike" kern="1200" baseline="0">
                <a:solidFill>
                  <a:schemeClr val="tx1">
                    <a:lumMod val="65000"/>
                    <a:lumOff val="35000"/>
                  </a:schemeClr>
                </a:solidFill>
                <a:latin typeface="+mn-lt"/>
                <a:ea typeface="+mn-ea"/>
                <a:cs typeface="+mn-cs"/>
              </a:defRPr>
            </a:pPr>
          </a:p>
        </c:txPr>
        <c:crossAx val="897256872"/>
        <c:crosses val="autoZero"/>
        <c:auto val="true"/>
        <c:lblAlgn val="ctr"/>
        <c:lblOffset val="100"/>
        <c:noMultiLvlLbl val="false"/>
      </c:catAx>
      <c:valAx>
        <c:axId val="897256872"/>
        <c:scaling>
          <c:orientation val="minMax"/>
        </c:scaling>
        <c:delete val="false"/>
        <c:axPos val="l"/>
        <c:majorGridlines>
          <c:spPr>
            <a:ln w="9525" cap="flat" cmpd="sng" algn="ctr">
              <a:solidFill>
                <a:schemeClr val="lt1">
                  <a:lumMod val="90200"/>
                </a:schemeClr>
              </a:solidFill>
              <a:round/>
            </a:ln>
            <a:effectLst/>
          </c:spPr>
        </c:majorGridlines>
        <c:numFmt formatCode="General" sourceLinked="true"/>
        <c:majorTickMark val="none"/>
        <c:minorTickMark val="none"/>
        <c:tickLblPos val="nextTo"/>
        <c:spPr>
          <a:noFill/>
          <a:ln>
            <a:noFill/>
          </a:ln>
          <a:effectLst/>
        </c:spPr>
        <c:txPr>
          <a:bodyPr rot="-60000000" spcFirstLastPara="0" vertOverflow="ellipsis" vert="horz" wrap="square" anchor="ctr" anchorCtr="true"/>
          <a:lstStyle/>
          <a:p>
            <a:pPr>
              <a:defRPr lang="zh-CN" sz="8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spPr>
        <a:noFill/>
        <a:ln>
          <a:noFill/>
        </a:ln>
        <a:effectLst/>
      </c:spPr>
    </c:plotArea>
    <c:plotVisOnly val="true"/>
    <c:dispBlanksAs val="gap"/>
    <c:showDLblsOverMax val="false"/>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false"/>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true">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true">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true">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true">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true">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神州网信技术有限公司</Company>
  <Pages>1</Pages>
  <Words>2347</Words>
  <Characters>13379</Characters>
  <Lines>111</Lines>
  <Paragraphs>31</Paragraphs>
  <TotalTime>164</TotalTime>
  <ScaleCrop>false</ScaleCrop>
  <LinksUpToDate>false</LinksUpToDate>
  <CharactersWithSpaces>15695</CharactersWithSpaces>
  <Application>WPS Office_11.8.2.9980_F1E327BC-269C-435d-A152-05C5408002CA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2023-08-06T15:55:00Z</dcterms:created>
  <dc:creator>王明新TIAD</dc:creator>
  <cp:lastModifiedBy>uos</cp:lastModifiedBy>
  <cp:lastPrinted>2026-08-28T02:31:00Z</cp:lastPrinted>
  <dcterms:modified xsi:type="dcterms:W3CDTF">2026-09-01T10:52:04Z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2052-11.8.2.9980</vt:lpwstr>
  </property>
  <property fmtid="{D5CDD505-2E9C-101B-9397-08002B2CF9AE}" pid="3" name="ICV">
    <vt:lpwstr>5C1B136609854E18BDF3455763276D05_13</vt:lpwstr>
  </property>
  <property fmtid="{D5CDD505-2E9C-101B-9397-08002B2CF9AE}" pid="4" name="KSOTemplateUUID">
    <vt:lpwstr>v1.0_mb_S7ajbG3IpAnL1wSthNCxfw==</vt:lpwstr>
  </property>
  <property fmtid="{D5CDD505-2E9C-101B-9397-08002B2CF9AE}" pid="5" name="KSOTemplateDocerSaveRecord">
    <vt:lpwstr>eyJoZGlkIjoiMGUwMDdiZjE4MTAzNDUzMDk3OTAyNWU5OGVmNGE2MmMiLCJ1c2VySWQiOiIxNTIwMzY1OTkzIn0=</vt:lpwstr>
  </property>
</Properties>
</file>