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D3EA18">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14:paraId="18B71D5F">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5FECE66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14:paraId="18B71D5F">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5FECE66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v:textbox>
              </v:shape>
            </w:pict>
          </mc:Fallback>
        </mc:AlternateContent>
      </w:r>
    </w:p>
    <w:p w14:paraId="65D0C417">
      <w:pPr>
        <w:spacing w:line="600" w:lineRule="auto"/>
        <w:jc w:val="both"/>
        <w:rPr>
          <w:rFonts w:hint="eastAsia" w:ascii="楷体_GB2312" w:hAnsi="楷体_GB2312" w:eastAsia="楷体_GB2312" w:cs="楷体_GB2312"/>
          <w:color w:val="000000"/>
          <w:sz w:val="40"/>
          <w:szCs w:val="40"/>
        </w:rPr>
      </w:pPr>
    </w:p>
    <w:p w14:paraId="6470D87F">
      <w:pPr>
        <w:spacing w:line="600" w:lineRule="auto"/>
        <w:jc w:val="both"/>
        <w:rPr>
          <w:rFonts w:hint="eastAsia" w:ascii="楷体_GB2312" w:hAnsi="楷体_GB2312" w:eastAsia="楷体_GB2312" w:cs="楷体_GB2312"/>
          <w:color w:val="000000"/>
          <w:sz w:val="40"/>
          <w:szCs w:val="40"/>
        </w:rPr>
      </w:pPr>
    </w:p>
    <w:p w14:paraId="08C7EE89">
      <w:pPr>
        <w:spacing w:line="600" w:lineRule="auto"/>
        <w:jc w:val="both"/>
        <w:rPr>
          <w:rFonts w:hint="eastAsia" w:ascii="楷体_GB2312" w:hAnsi="楷体_GB2312" w:eastAsia="楷体_GB2312" w:cs="楷体_GB2312"/>
          <w:color w:val="000000"/>
          <w:sz w:val="40"/>
          <w:szCs w:val="40"/>
        </w:rPr>
      </w:pPr>
    </w:p>
    <w:p w14:paraId="389BD91B">
      <w:pPr>
        <w:spacing w:line="600" w:lineRule="auto"/>
        <w:jc w:val="both"/>
        <w:rPr>
          <w:rFonts w:hint="eastAsia" w:ascii="楷体_GB2312" w:hAnsi="楷体_GB2312" w:eastAsia="楷体_GB2312" w:cs="楷体_GB2312"/>
          <w:color w:val="000000"/>
          <w:sz w:val="40"/>
          <w:szCs w:val="40"/>
        </w:rPr>
      </w:pPr>
    </w:p>
    <w:p w14:paraId="29FC01F7">
      <w:pPr>
        <w:spacing w:line="600" w:lineRule="auto"/>
        <w:jc w:val="both"/>
        <w:rPr>
          <w:rFonts w:hint="eastAsia" w:ascii="楷体_GB2312" w:hAnsi="楷体_GB2312" w:eastAsia="楷体_GB2312" w:cs="楷体_GB2312"/>
          <w:color w:val="000000"/>
          <w:sz w:val="40"/>
          <w:szCs w:val="40"/>
        </w:rPr>
      </w:pPr>
    </w:p>
    <w:p w14:paraId="6CDAD699">
      <w:pPr>
        <w:spacing w:line="600" w:lineRule="auto"/>
        <w:jc w:val="both"/>
        <w:rPr>
          <w:rFonts w:hint="eastAsia" w:ascii="楷体_GB2312" w:hAnsi="楷体_GB2312" w:eastAsia="楷体_GB2312" w:cs="楷体_GB2312"/>
          <w:color w:val="000000"/>
          <w:sz w:val="40"/>
          <w:szCs w:val="40"/>
        </w:rPr>
      </w:pPr>
    </w:p>
    <w:p w14:paraId="3F26FDC7">
      <w:pPr>
        <w:spacing w:line="600" w:lineRule="auto"/>
        <w:jc w:val="both"/>
        <w:rPr>
          <w:rFonts w:hint="eastAsia" w:ascii="楷体_GB2312" w:hAnsi="楷体_GB2312" w:eastAsia="楷体_GB2312" w:cs="楷体_GB2312"/>
          <w:color w:val="000000"/>
          <w:sz w:val="40"/>
          <w:szCs w:val="40"/>
        </w:rPr>
      </w:pPr>
    </w:p>
    <w:p w14:paraId="1DD36FB5">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267F7DA9">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5A57137A">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2CDD98B3">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220B2AAF">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8319C76">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河北省石家庄市中级人民法院</w:t>
      </w:r>
    </w:p>
    <w:p w14:paraId="26FF5C16">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161001</w:t>
      </w:r>
    </w:p>
    <w:p w14:paraId="164F9DCC">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14:paraId="6824C822">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二〇二六年八月</w:t>
      </w:r>
    </w:p>
    <w:p w14:paraId="70F8CC16">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14:paraId="1315636A">
      <w:pPr>
        <w:spacing w:line="600" w:lineRule="auto"/>
        <w:jc w:val="center"/>
        <w:rPr>
          <w:rFonts w:hint="eastAsia" w:ascii="楷体_GB2312" w:hAnsi="楷体_GB2312" w:eastAsia="楷体_GB2312" w:cs="楷体_GB2312"/>
          <w:color w:val="000000"/>
          <w:sz w:val="40"/>
          <w:szCs w:val="40"/>
        </w:rPr>
      </w:pPr>
    </w:p>
    <w:p w14:paraId="02055CCB">
      <w:pPr>
        <w:rPr>
          <w:rFonts w:hint="eastAsia" w:ascii="黑体" w:hAnsi="黑体" w:eastAsia="黑体" w:cs="黑体"/>
          <w:b/>
          <w:bCs/>
          <w:sz w:val="32"/>
          <w:szCs w:val="36"/>
          <w:highlight w:val="yellow"/>
        </w:rPr>
      </w:pPr>
    </w:p>
    <w:p w14:paraId="4773C4A4">
      <w:pPr>
        <w:widowControl/>
        <w:spacing w:before="0" w:beforeLines="0" w:beforeAutospacing="0" w:after="0" w:afterLines="0" w:afterAutospacing="0" w:line="360" w:lineRule="auto"/>
        <w:jc w:val="center"/>
        <w:rPr>
          <w:rFonts w:ascii="Times New Roman" w:eastAsia="方正小标宋_GBK"/>
          <w:b w:val="0"/>
          <w:sz w:val="72"/>
          <w:szCs w:val="72"/>
        </w:rPr>
      </w:pPr>
      <w:r>
        <w:rPr>
          <w:rFonts w:ascii="Times New Roman" w:eastAsia="方正小标宋_GBK"/>
          <w:b w:val="0"/>
          <w:sz w:val="72"/>
          <w:szCs w:val="72"/>
        </w:rPr>
        <w:t>河北省石家庄市中级人民</w:t>
      </w:r>
    </w:p>
    <w:p w14:paraId="64CB8DC7">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法院</w:t>
      </w:r>
    </w:p>
    <w:p w14:paraId="44AAE9EA">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年度部门决算公开文本</w:t>
      </w:r>
    </w:p>
    <w:p w14:paraId="36384D8F">
      <w:pPr>
        <w:spacing w:line="360" w:lineRule="auto"/>
        <w:jc w:val="center"/>
        <w:rPr>
          <w:rFonts w:ascii="黑体" w:hAnsi="黑体" w:eastAsia="黑体" w:cs="黑体"/>
          <w:sz w:val="56"/>
          <w:szCs w:val="72"/>
        </w:rPr>
      </w:pPr>
    </w:p>
    <w:p w14:paraId="297C80D4">
      <w:pPr>
        <w:spacing w:line="480" w:lineRule="auto"/>
        <w:jc w:val="both"/>
        <w:rPr>
          <w:rFonts w:ascii="黑体" w:hAnsi="黑体" w:eastAsia="黑体" w:cs="黑体"/>
          <w:sz w:val="56"/>
          <w:szCs w:val="72"/>
        </w:rPr>
      </w:pPr>
    </w:p>
    <w:p w14:paraId="20346BD5">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河北省石家庄市中级人民法院</w:t>
      </w:r>
    </w:p>
    <w:p w14:paraId="212B099C">
      <w:pPr>
        <w:widowControl/>
        <w:spacing w:before="0" w:beforeLines="0" w:beforeAutospacing="0" w:after="0" w:afterLines="0" w:afterAutospacing="0" w:line="360" w:lineRule="auto"/>
        <w:jc w:val="center"/>
        <w:rPr>
          <w:rFonts w:ascii="Times New Roman" w:eastAsia="楷体_GB2312"/>
          <w:b w:val="0"/>
          <w:sz w:val="44"/>
          <w:szCs w:val="44"/>
        </w:rPr>
      </w:pPr>
    </w:p>
    <w:p w14:paraId="16759F95">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二〇二六年八月</w:t>
      </w:r>
    </w:p>
    <w:p w14:paraId="4227C790">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14:paraId="0988A4EB">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474" w:right="1474" w:bottom="1474" w:left="1474"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18FFAE3C">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14:paraId="0575C904">
      <w:pPr>
        <w:widowControl/>
        <w:spacing w:after="160" w:line="580" w:lineRule="exact"/>
        <w:ind w:firstLine="640" w:firstLineChars="200"/>
        <w:rPr>
          <w:rFonts w:ascii="Times New Roman" w:hAnsi="Times New Roman" w:eastAsia="黑体" w:cs="Times New Roman"/>
          <w:sz w:val="32"/>
          <w:szCs w:val="32"/>
        </w:rPr>
      </w:pPr>
    </w:p>
    <w:p w14:paraId="12C9559F">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w:t>
      </w:r>
      <w:r>
        <w:rPr>
          <w:rFonts w:hint="eastAsia" w:ascii="Times New Roman" w:eastAsia="黑体"/>
          <w:b w:val="0"/>
          <w:sz w:val="32"/>
          <w:szCs w:val="32"/>
          <w:lang w:val="en-US" w:eastAsia="zh-CN"/>
        </w:rPr>
        <w:t>部门</w:t>
      </w:r>
      <w:r>
        <w:rPr>
          <w:rFonts w:ascii="Times New Roman" w:eastAsia="黑体"/>
          <w:b w:val="0"/>
          <w:sz w:val="32"/>
          <w:szCs w:val="32"/>
        </w:rPr>
        <w:t>概况</w:t>
      </w:r>
    </w:p>
    <w:p w14:paraId="2C57CEB1">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一、</w:t>
      </w:r>
      <w:r>
        <w:rPr>
          <w:rFonts w:hint="eastAsia" w:ascii="方正仿宋_GB2312" w:hAnsi="方正仿宋_GB2312" w:eastAsia="方正仿宋_GB2312" w:cs="方正仿宋_GB2312"/>
          <w:b w:val="0"/>
          <w:sz w:val="32"/>
          <w:szCs w:val="32"/>
          <w:lang w:val="en-US" w:eastAsia="zh-CN"/>
        </w:rPr>
        <w:t>部门</w:t>
      </w:r>
      <w:r>
        <w:rPr>
          <w:rFonts w:hint="eastAsia" w:ascii="方正仿宋_GB2312" w:hAnsi="方正仿宋_GB2312" w:eastAsia="方正仿宋_GB2312" w:cs="方正仿宋_GB2312"/>
          <w:b w:val="0"/>
          <w:sz w:val="32"/>
          <w:szCs w:val="32"/>
        </w:rPr>
        <w:t>职责</w:t>
      </w:r>
    </w:p>
    <w:p w14:paraId="34577A03">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二、机构设置</w:t>
      </w:r>
    </w:p>
    <w:p w14:paraId="49826557">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2025年度部门决算报表</w:t>
      </w:r>
    </w:p>
    <w:p w14:paraId="3B77433D">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一、收入支出决算总表</w:t>
      </w:r>
    </w:p>
    <w:p w14:paraId="76A3DD1D">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二、收入决算表</w:t>
      </w:r>
    </w:p>
    <w:p w14:paraId="064F5895">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三、支出决算表</w:t>
      </w:r>
    </w:p>
    <w:p w14:paraId="60DF1A61">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四、财政拨款收入支出决算总表</w:t>
      </w:r>
    </w:p>
    <w:p w14:paraId="4C6EAB7B">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五、一般公共预算财政拨款支出决算表</w:t>
      </w:r>
    </w:p>
    <w:p w14:paraId="5585E518">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六、一般公共预算财政拨款基本支出决算明细表</w:t>
      </w:r>
    </w:p>
    <w:p w14:paraId="30C295FB">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七、政府性基金预算财政拨款收入支出决算表</w:t>
      </w:r>
    </w:p>
    <w:p w14:paraId="7A140D48">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八、国有资本经营预算财政拨款支出决算表</w:t>
      </w:r>
    </w:p>
    <w:p w14:paraId="20C6C9F9">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九、财政拨款“三公”经费支出决算表</w:t>
      </w:r>
    </w:p>
    <w:p w14:paraId="751FDF78">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2025年度部门决算情况说明</w:t>
      </w:r>
    </w:p>
    <w:p w14:paraId="2541B30D">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一、收入支出决算总体情况说明</w:t>
      </w:r>
    </w:p>
    <w:p w14:paraId="4FF2C860">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二、收入决算情况说明</w:t>
      </w:r>
    </w:p>
    <w:p w14:paraId="62FB964C">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三、支出决算情况说明</w:t>
      </w:r>
    </w:p>
    <w:p w14:paraId="36E4F629">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四、财政拨款收入支出决算总体情况说明</w:t>
      </w:r>
    </w:p>
    <w:p w14:paraId="5E2865EB">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五、财政拨款“三公”经费支出决算情况说明</w:t>
      </w:r>
    </w:p>
    <w:p w14:paraId="4640148B">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六、机关运行经费支出说明</w:t>
      </w:r>
    </w:p>
    <w:p w14:paraId="1E797EA8">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七、政府采购支出说明</w:t>
      </w:r>
    </w:p>
    <w:p w14:paraId="5291E69C">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八、国有资产占用情况说明</w:t>
      </w:r>
    </w:p>
    <w:p w14:paraId="2246C99B">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九、关于2025年度绩效评价情况的说明</w:t>
      </w:r>
    </w:p>
    <w:p w14:paraId="333AE6EF">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十、其他需要说明的情况</w:t>
      </w:r>
    </w:p>
    <w:p w14:paraId="0FE833E1">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14:paraId="105B7E25">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14:paraId="5E9C841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2B3FAAB7">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30E0E057">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146D373">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EE359FD">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19D3010">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w:t>
      </w:r>
      <w:r>
        <w:rPr>
          <w:rFonts w:hint="eastAsia" w:ascii="Times New Roman" w:eastAsia="黑体"/>
          <w:b w:val="0"/>
          <w:sz w:val="44"/>
          <w:szCs w:val="44"/>
          <w:lang w:val="en-US" w:eastAsia="zh-CN"/>
        </w:rPr>
        <w:t>部门</w:t>
      </w:r>
      <w:r>
        <w:rPr>
          <w:rFonts w:ascii="Times New Roman" w:eastAsia="黑体"/>
          <w:b w:val="0"/>
          <w:sz w:val="44"/>
          <w:szCs w:val="44"/>
        </w:rPr>
        <w:t>概况</w:t>
      </w:r>
    </w:p>
    <w:p w14:paraId="1D4B9A76">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0D63AB8">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56333DD">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4836B16">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9B31D5B">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45FE13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5AB03A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76905CF7">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5B65F78">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14:paraId="344EE33B">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w:t>
      </w:r>
      <w:r>
        <w:rPr>
          <w:rFonts w:hint="eastAsia" w:ascii="Times New Roman" w:eastAsia="黑体"/>
          <w:b w:val="0"/>
          <w:sz w:val="32"/>
          <w:szCs w:val="32"/>
          <w:lang w:val="en-US" w:eastAsia="zh-CN"/>
        </w:rPr>
        <w:t>部门</w:t>
      </w:r>
      <w:r>
        <w:rPr>
          <w:rFonts w:ascii="Times New Roman" w:eastAsia="黑体"/>
          <w:b w:val="0"/>
          <w:sz w:val="32"/>
          <w:szCs w:val="32"/>
        </w:rPr>
        <w:t>职责</w:t>
      </w:r>
    </w:p>
    <w:p w14:paraId="75603131">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1、依法审判法律规定的由市中级人民法院管辖的和其认为应当由自己审判的刑事、民事、行政等第一审案件。</w:t>
      </w:r>
    </w:p>
    <w:p w14:paraId="08892AB7">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2、依法审判法律规定由市中级人民法院管辖的刑事、民事、行政等第二审案件。</w:t>
      </w:r>
    </w:p>
    <w:p w14:paraId="1207C28F">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3、受理不服基层人民法院生效裁判的各类申诉和再审申请，对其中确有错误的，依法审判或指令下级人民法院再审；办理减刑、假释案件。</w:t>
      </w:r>
    </w:p>
    <w:p w14:paraId="68E4D02E">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4、依法审判市人民检察院按照审判监督程序提出的抗诉案件。</w:t>
      </w:r>
    </w:p>
    <w:p w14:paraId="2CBEF7F3">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 xml:space="preserve">5、依法对基层人民法院行使指定管辖权。 </w:t>
      </w:r>
    </w:p>
    <w:p w14:paraId="14D14FBA">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 xml:space="preserve">6、监督、指导下级人民法院的审判工作。 </w:t>
      </w:r>
    </w:p>
    <w:p w14:paraId="7DC5668B">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 xml:space="preserve">7、依法办理发生法律效力的民事、行政案件判决和裁定的执行事项及刑事案件判决和裁定中有关财产部分的执行事项；办理法律规定由法院执行的其他法律文书的执行事项。 </w:t>
      </w:r>
    </w:p>
    <w:p w14:paraId="6567E3BF">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 xml:space="preserve">8、依法行使司法决定权。 </w:t>
      </w:r>
    </w:p>
    <w:p w14:paraId="50312F75">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 xml:space="preserve">9、依法决定国家赔偿。 </w:t>
      </w:r>
    </w:p>
    <w:p w14:paraId="5001964A">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b w:val="0"/>
          <w:sz w:val="32"/>
          <w:szCs w:val="32"/>
          <w:lang w:val="en-US" w:eastAsia="zh-CN"/>
        </w:rPr>
      </w:pPr>
      <w:r>
        <w:rPr>
          <w:rFonts w:hint="eastAsia" w:ascii="方正仿宋_GB2312" w:hAnsi="方正仿宋_GB2312" w:eastAsia="方正仿宋_GB2312" w:cs="方正仿宋_GB2312"/>
          <w:b w:val="0"/>
          <w:sz w:val="32"/>
          <w:szCs w:val="32"/>
        </w:rPr>
        <w:t xml:space="preserve">10、组织、指导基层人民法院办理司法协助事项。 </w:t>
      </w:r>
      <w:r>
        <w:rPr>
          <w:rFonts w:hint="eastAsia" w:ascii="方正仿宋_GB2312" w:hAnsi="方正仿宋_GB2312" w:eastAsia="方正仿宋_GB2312" w:cs="方正仿宋_GB2312"/>
          <w:b w:val="0"/>
          <w:sz w:val="32"/>
          <w:szCs w:val="32"/>
          <w:lang w:val="en-US" w:eastAsia="zh-CN"/>
        </w:rPr>
        <w:t xml:space="preserve">    </w:t>
      </w:r>
    </w:p>
    <w:p w14:paraId="6CE07B1C">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 xml:space="preserve">11、对规章等草案提出意见；针对案件审理中发现的问题提出司法建议。负责适用法律政策问题的请示、答复。 </w:t>
      </w:r>
    </w:p>
    <w:p w14:paraId="0A3D1483">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 xml:space="preserve">12、对市中级人民法院的法官和其他工作人员进行思想政治教育、组织培训；指导基层人民法院的思想政治工作和教育培训工作；按照权限管理法官和其他工作人员；协助市主管部门管理基层人民法院的机构编制工作。 </w:t>
      </w:r>
    </w:p>
    <w:p w14:paraId="63774E39">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 xml:space="preserve">13、领导基层人民法院的监察工作。 </w:t>
      </w:r>
    </w:p>
    <w:p w14:paraId="3E0D3ECD">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 xml:space="preserve">14、管理人民法院的有关经费和物资装备。 </w:t>
      </w:r>
    </w:p>
    <w:p w14:paraId="3F2A7B42">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 xml:space="preserve">15、负责人民法院的司法鉴定、通讯、计算机等技术管理工作。 </w:t>
      </w:r>
    </w:p>
    <w:p w14:paraId="1CA6C657">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 xml:space="preserve">16、在审判工作中宣传法制，教育公民忠于社会主义祖国，自觉遵守宪法、法律和社会主义公德。 </w:t>
      </w:r>
    </w:p>
    <w:p w14:paraId="149B7FBC">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hint="eastAsia" w:ascii="方正仿宋_GB2312" w:hAnsi="方正仿宋_GB2312" w:eastAsia="方正仿宋_GB2312" w:cs="方正仿宋_GB2312"/>
          <w:b w:val="0"/>
          <w:sz w:val="32"/>
          <w:szCs w:val="32"/>
        </w:rPr>
        <w:t>17、承办其他应由市中级人民法院负责的工作。</w:t>
      </w:r>
    </w:p>
    <w:p w14:paraId="7959DA10">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14:paraId="44C331F4">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从决算编报</w:t>
      </w:r>
      <w:r>
        <w:rPr>
          <w:rFonts w:hint="eastAsia" w:ascii="方正仿宋_GB2312" w:hAnsi="方正仿宋_GB2312" w:eastAsia="方正仿宋_GB2312" w:cs="方正仿宋_GB2312"/>
          <w:b w:val="0"/>
          <w:sz w:val="32"/>
          <w:szCs w:val="32"/>
          <w:lang w:eastAsia="zh-CN"/>
        </w:rPr>
        <w:t>部门</w:t>
      </w:r>
      <w:r>
        <w:rPr>
          <w:rFonts w:hint="eastAsia" w:ascii="方正仿宋_GB2312" w:hAnsi="方正仿宋_GB2312" w:eastAsia="方正仿宋_GB2312" w:cs="方正仿宋_GB2312"/>
          <w:b w:val="0"/>
          <w:sz w:val="32"/>
          <w:szCs w:val="32"/>
        </w:rPr>
        <w:t>构成看，纳入2025年度本部门决算汇编范围的独立核算</w:t>
      </w:r>
      <w:r>
        <w:rPr>
          <w:rFonts w:hint="eastAsia" w:ascii="方正仿宋_GB2312" w:hAnsi="方正仿宋_GB2312" w:eastAsia="方正仿宋_GB2312" w:cs="方正仿宋_GB2312"/>
          <w:b w:val="0"/>
          <w:sz w:val="32"/>
          <w:szCs w:val="32"/>
          <w:lang w:eastAsia="zh-CN"/>
        </w:rPr>
        <w:t>部门</w:t>
      </w:r>
      <w:r>
        <w:rPr>
          <w:rFonts w:hint="eastAsia" w:ascii="方正仿宋_GB2312" w:hAnsi="方正仿宋_GB2312" w:eastAsia="方正仿宋_GB2312" w:cs="方正仿宋_GB2312"/>
          <w:b w:val="0"/>
          <w:sz w:val="32"/>
          <w:szCs w:val="32"/>
        </w:rPr>
        <w:t>（以下简称“</w:t>
      </w:r>
      <w:r>
        <w:rPr>
          <w:rFonts w:hint="eastAsia" w:ascii="方正仿宋_GB2312" w:hAnsi="方正仿宋_GB2312" w:eastAsia="方正仿宋_GB2312" w:cs="方正仿宋_GB2312"/>
          <w:b w:val="0"/>
          <w:sz w:val="32"/>
          <w:szCs w:val="32"/>
          <w:lang w:eastAsia="zh-CN"/>
        </w:rPr>
        <w:t>部门</w:t>
      </w:r>
      <w:r>
        <w:rPr>
          <w:rFonts w:hint="eastAsia" w:ascii="方正仿宋_GB2312" w:hAnsi="方正仿宋_GB2312" w:eastAsia="方正仿宋_GB2312" w:cs="方正仿宋_GB2312"/>
          <w:b w:val="0"/>
          <w:sz w:val="32"/>
          <w:szCs w:val="32"/>
        </w:rPr>
        <w:t>”）共1个，具体情况如下：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7"/>
        <w:gridCol w:w="4855"/>
        <w:gridCol w:w="2212"/>
        <w:gridCol w:w="1576"/>
      </w:tblGrid>
      <w:tr w14:paraId="6C9E0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937" w:type="dxa"/>
            <w:vAlign w:val="center"/>
          </w:tcPr>
          <w:p w14:paraId="4406872F">
            <w:pPr>
              <w:widowControl/>
              <w:spacing w:before="0" w:beforeLines="0" w:beforeAutospacing="0" w:after="0" w:afterLines="0" w:afterAutospacing="0" w:line="360" w:lineRule="auto"/>
              <w:jc w:val="center"/>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序号</w:t>
            </w:r>
          </w:p>
        </w:tc>
        <w:tc>
          <w:tcPr>
            <w:tcW w:w="4855" w:type="dxa"/>
            <w:vAlign w:val="center"/>
          </w:tcPr>
          <w:p w14:paraId="74047F71">
            <w:pPr>
              <w:widowControl/>
              <w:spacing w:before="0" w:beforeLines="0" w:beforeAutospacing="0" w:after="0" w:afterLines="0" w:afterAutospacing="0" w:line="360" w:lineRule="auto"/>
              <w:ind w:firstLine="640" w:firstLineChars="200"/>
              <w:jc w:val="center"/>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lang w:eastAsia="zh-CN"/>
              </w:rPr>
              <w:t>部门</w:t>
            </w:r>
            <w:r>
              <w:rPr>
                <w:rFonts w:hint="eastAsia" w:ascii="方正仿宋_GB2312" w:hAnsi="方正仿宋_GB2312" w:eastAsia="方正仿宋_GB2312" w:cs="方正仿宋_GB2312"/>
                <w:b w:val="0"/>
                <w:sz w:val="32"/>
                <w:szCs w:val="32"/>
              </w:rPr>
              <w:t>名称</w:t>
            </w:r>
          </w:p>
        </w:tc>
        <w:tc>
          <w:tcPr>
            <w:tcW w:w="2212" w:type="dxa"/>
            <w:vAlign w:val="center"/>
          </w:tcPr>
          <w:p w14:paraId="6B7E7FF6">
            <w:pPr>
              <w:widowControl/>
              <w:spacing w:before="0" w:beforeLines="0" w:beforeAutospacing="0" w:after="0" w:afterLines="0" w:afterAutospacing="0" w:line="360" w:lineRule="auto"/>
              <w:jc w:val="center"/>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lang w:eastAsia="zh-CN"/>
              </w:rPr>
              <w:t>部门</w:t>
            </w:r>
            <w:r>
              <w:rPr>
                <w:rFonts w:hint="eastAsia" w:ascii="方正仿宋_GB2312" w:hAnsi="方正仿宋_GB2312" w:eastAsia="方正仿宋_GB2312" w:cs="方正仿宋_GB2312"/>
                <w:b w:val="0"/>
                <w:sz w:val="32"/>
                <w:szCs w:val="32"/>
              </w:rPr>
              <w:t>基本性质</w:t>
            </w:r>
          </w:p>
        </w:tc>
        <w:tc>
          <w:tcPr>
            <w:tcW w:w="1576" w:type="dxa"/>
            <w:vAlign w:val="center"/>
          </w:tcPr>
          <w:p w14:paraId="10118E75">
            <w:pPr>
              <w:widowControl/>
              <w:spacing w:before="0" w:beforeLines="0" w:beforeAutospacing="0" w:after="0" w:afterLines="0" w:afterAutospacing="0" w:line="360" w:lineRule="auto"/>
              <w:jc w:val="center"/>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经费形式</w:t>
            </w:r>
          </w:p>
        </w:tc>
      </w:tr>
      <w:tr w14:paraId="0AFBD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37" w:type="dxa"/>
            <w:vAlign w:val="center"/>
          </w:tcPr>
          <w:p w14:paraId="3AAAC2AD">
            <w:pPr>
              <w:widowControl/>
              <w:spacing w:before="0" w:beforeLines="0" w:beforeAutospacing="0" w:after="0" w:afterLines="0" w:afterAutospacing="0" w:line="360" w:lineRule="auto"/>
              <w:jc w:val="center"/>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lang w:val="en-US" w:eastAsia="zh-CN"/>
              </w:rPr>
              <w:t>1</w:t>
            </w:r>
          </w:p>
        </w:tc>
        <w:tc>
          <w:tcPr>
            <w:tcW w:w="4855" w:type="dxa"/>
            <w:vAlign w:val="center"/>
          </w:tcPr>
          <w:p w14:paraId="066F3F05">
            <w:pPr>
              <w:widowControl/>
              <w:spacing w:before="0" w:beforeLines="0" w:beforeAutospacing="0" w:after="0" w:afterLines="0" w:afterAutospacing="0" w:line="360" w:lineRule="auto"/>
              <w:jc w:val="center"/>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lang w:val="en-US" w:eastAsia="zh-CN"/>
              </w:rPr>
              <w:t>河北省石家庄市中级人民法院</w:t>
            </w:r>
          </w:p>
        </w:tc>
        <w:tc>
          <w:tcPr>
            <w:tcW w:w="2212" w:type="dxa"/>
            <w:vAlign w:val="center"/>
          </w:tcPr>
          <w:p w14:paraId="7FDEDD52">
            <w:pPr>
              <w:widowControl/>
              <w:spacing w:before="0" w:beforeLines="0" w:beforeAutospacing="0" w:after="0" w:afterLines="0" w:afterAutospacing="0" w:line="360" w:lineRule="auto"/>
              <w:ind w:firstLine="320" w:firstLineChars="100"/>
              <w:jc w:val="center"/>
              <w:rPr>
                <w:rFonts w:hint="eastAsia" w:ascii="方正仿宋_GB2312" w:hAnsi="方正仿宋_GB2312" w:eastAsia="方正仿宋_GB2312" w:cs="方正仿宋_GB2312"/>
                <w:b w:val="0"/>
                <w:sz w:val="32"/>
                <w:szCs w:val="32"/>
                <w:lang w:val="en-US" w:eastAsia="zh-CN"/>
              </w:rPr>
            </w:pPr>
            <w:r>
              <w:rPr>
                <w:rFonts w:hint="eastAsia" w:ascii="方正仿宋_GB2312" w:hAnsi="方正仿宋_GB2312" w:eastAsia="方正仿宋_GB2312" w:cs="方正仿宋_GB2312"/>
                <w:b w:val="0"/>
                <w:sz w:val="32"/>
                <w:szCs w:val="32"/>
                <w:lang w:val="en-US" w:eastAsia="zh-CN"/>
              </w:rPr>
              <w:t>行政部门</w:t>
            </w:r>
          </w:p>
        </w:tc>
        <w:tc>
          <w:tcPr>
            <w:tcW w:w="1576" w:type="dxa"/>
            <w:vAlign w:val="center"/>
          </w:tcPr>
          <w:p w14:paraId="6562B3D0">
            <w:pPr>
              <w:widowControl/>
              <w:spacing w:before="0" w:beforeLines="0" w:beforeAutospacing="0" w:after="0" w:afterLines="0" w:afterAutospacing="0" w:line="360" w:lineRule="auto"/>
              <w:jc w:val="center"/>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lang w:val="en-US" w:eastAsia="zh-CN"/>
              </w:rPr>
              <w:t>全额</w:t>
            </w:r>
          </w:p>
        </w:tc>
      </w:tr>
    </w:tbl>
    <w:p w14:paraId="09E6F77C">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14:paraId="5A69480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93EE60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1C04A5C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285F84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2161805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3594CFC">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年度部门决算表</w:t>
      </w:r>
    </w:p>
    <w:p w14:paraId="2B277827">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12B3AAB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3802331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CB6C1D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9098DD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1A191EF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87E546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2926158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165DA909">
      <w:pPr>
        <w:bidi w:val="0"/>
        <w:rPr>
          <w:rFonts w:hint="default"/>
          <w:lang w:val="en-US" w:eastAsia="zh-CN"/>
        </w:rPr>
      </w:pPr>
    </w:p>
    <w:p w14:paraId="753F3993">
      <w:pPr>
        <w:bidi w:val="0"/>
        <w:rPr>
          <w:rFonts w:hint="default"/>
          <w:lang w:val="en-US" w:eastAsia="zh-CN"/>
        </w:rPr>
      </w:pPr>
    </w:p>
    <w:tbl>
      <w:tblPr>
        <w:tblStyle w:val="11"/>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161"/>
        <w:gridCol w:w="649"/>
        <w:gridCol w:w="812"/>
        <w:gridCol w:w="222"/>
        <w:gridCol w:w="2793"/>
        <w:gridCol w:w="584"/>
        <w:gridCol w:w="953"/>
      </w:tblGrid>
      <w:tr w14:paraId="1000E5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4985" w:type="pct"/>
            <w:gridSpan w:val="7"/>
            <w:tcBorders>
              <w:top w:val="nil"/>
              <w:left w:val="nil"/>
              <w:bottom w:val="nil"/>
              <w:right w:val="nil"/>
            </w:tcBorders>
            <w:noWrap/>
            <w:vAlign w:val="bottom"/>
          </w:tcPr>
          <w:p w14:paraId="396F0E7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14:paraId="1826E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7" w:hRule="atLeast"/>
        </w:trPr>
        <w:tc>
          <w:tcPr>
            <w:tcW w:w="4985" w:type="pct"/>
            <w:gridSpan w:val="7"/>
            <w:tcBorders>
              <w:top w:val="nil"/>
              <w:left w:val="nil"/>
              <w:bottom w:val="nil"/>
              <w:right w:val="nil"/>
            </w:tcBorders>
            <w:noWrap/>
            <w:vAlign w:val="bottom"/>
          </w:tcPr>
          <w:p w14:paraId="2370F585">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DB3D2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1963" w:type="pct"/>
            <w:gridSpan w:val="3"/>
            <w:tcBorders>
              <w:top w:val="nil"/>
              <w:left w:val="nil"/>
              <w:bottom w:val="single" w:color="000000" w:themeColor="text1" w:sz="8" w:space="0"/>
              <w:right w:val="nil"/>
            </w:tcBorders>
            <w:noWrap/>
            <w:vAlign w:val="bottom"/>
          </w:tcPr>
          <w:p w14:paraId="71770BA9">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部门（部门）：河北省石家庄市中级人民法院</w:t>
            </w:r>
          </w:p>
        </w:tc>
        <w:tc>
          <w:tcPr>
            <w:tcW w:w="1262" w:type="pct"/>
            <w:gridSpan w:val="2"/>
            <w:tcBorders>
              <w:top w:val="nil"/>
              <w:left w:val="nil"/>
              <w:bottom w:val="single" w:color="000000" w:themeColor="text1" w:sz="8" w:space="0"/>
              <w:right w:val="nil"/>
            </w:tcBorders>
            <w:noWrap/>
            <w:vAlign w:val="bottom"/>
          </w:tcPr>
          <w:p w14:paraId="350BAE28">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8" w:type="pct"/>
            <w:gridSpan w:val="2"/>
            <w:tcBorders>
              <w:top w:val="nil"/>
              <w:left w:val="nil"/>
              <w:bottom w:val="single" w:color="000000" w:themeColor="text1" w:sz="8" w:space="0"/>
              <w:right w:val="nil"/>
            </w:tcBorders>
            <w:noWrap/>
            <w:vAlign w:val="bottom"/>
          </w:tcPr>
          <w:p w14:paraId="791C5FAA">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金额部门：万元</w:t>
            </w:r>
          </w:p>
        </w:tc>
      </w:tr>
      <w:tr w14:paraId="4D97A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trPr>
        <w:tc>
          <w:tcPr>
            <w:tcW w:w="2086"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88DCE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898"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5C4F0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14:paraId="5471C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23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3EDD7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B689D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4ACBB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14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9CC91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53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45BC6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12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7580A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14:paraId="0DE652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atLeast"/>
        </w:trPr>
        <w:tc>
          <w:tcPr>
            <w:tcW w:w="123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B1913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3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537FE3">
            <w:pPr>
              <w:jc w:val="center"/>
              <w:rPr>
                <w:rFonts w:hint="eastAsia" w:ascii="宋体" w:hAnsi="宋体" w:eastAsia="宋体" w:cs="宋体"/>
                <w:i w:val="0"/>
                <w:iCs w:val="0"/>
                <w:color w:val="000000"/>
                <w:sz w:val="20"/>
                <w:szCs w:val="20"/>
                <w:highlight w:val="none"/>
                <w:u w:val="none"/>
              </w:rPr>
            </w:pPr>
          </w:p>
        </w:tc>
        <w:tc>
          <w:tcPr>
            <w:tcW w:w="5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0EBAB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14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0EBE5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53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DC1299">
            <w:pPr>
              <w:jc w:val="center"/>
              <w:rPr>
                <w:rFonts w:hint="eastAsia" w:ascii="宋体" w:hAnsi="宋体" w:eastAsia="宋体" w:cs="宋体"/>
                <w:i w:val="0"/>
                <w:iCs w:val="0"/>
                <w:color w:val="000000"/>
                <w:sz w:val="20"/>
                <w:szCs w:val="20"/>
                <w:highlight w:val="none"/>
                <w:u w:val="none"/>
              </w:rPr>
            </w:pPr>
          </w:p>
        </w:tc>
        <w:tc>
          <w:tcPr>
            <w:tcW w:w="12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3F28F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14:paraId="515B3A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atLeast"/>
        </w:trPr>
        <w:tc>
          <w:tcPr>
            <w:tcW w:w="123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5D4FB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3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1E4A8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5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E7614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17,113.69</w:t>
            </w:r>
          </w:p>
        </w:tc>
        <w:tc>
          <w:tcPr>
            <w:tcW w:w="114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DE164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53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9C111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12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00ABA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812.27</w:t>
            </w:r>
          </w:p>
        </w:tc>
      </w:tr>
      <w:tr w14:paraId="132BF9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atLeast"/>
        </w:trPr>
        <w:tc>
          <w:tcPr>
            <w:tcW w:w="123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3DCB7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3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A5BF3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5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8BBCE2">
            <w:pPr>
              <w:jc w:val="right"/>
              <w:rPr>
                <w:rFonts w:hint="default" w:ascii="Times New Roman" w:hAnsi="Times New Roman" w:eastAsia="宋体" w:cs="Times New Roman"/>
                <w:i w:val="0"/>
                <w:iCs w:val="0"/>
                <w:color w:val="000000"/>
                <w:sz w:val="20"/>
                <w:szCs w:val="20"/>
                <w:highlight w:val="none"/>
                <w:u w:val="none"/>
              </w:rPr>
            </w:pPr>
          </w:p>
        </w:tc>
        <w:tc>
          <w:tcPr>
            <w:tcW w:w="114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DA3DE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53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27BF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12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0CC740">
            <w:pPr>
              <w:jc w:val="right"/>
              <w:rPr>
                <w:rFonts w:hint="default" w:ascii="Times New Roman" w:hAnsi="Times New Roman" w:eastAsia="宋体" w:cs="Times New Roman"/>
                <w:i w:val="0"/>
                <w:iCs w:val="0"/>
                <w:color w:val="000000"/>
                <w:sz w:val="20"/>
                <w:szCs w:val="20"/>
                <w:highlight w:val="none"/>
                <w:u w:val="none"/>
              </w:rPr>
            </w:pPr>
          </w:p>
        </w:tc>
      </w:tr>
      <w:tr w14:paraId="7A6487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atLeast"/>
        </w:trPr>
        <w:tc>
          <w:tcPr>
            <w:tcW w:w="123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7C428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3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1E58F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5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B2ED17">
            <w:pPr>
              <w:jc w:val="right"/>
              <w:rPr>
                <w:rFonts w:hint="default" w:ascii="Times New Roman" w:hAnsi="Times New Roman" w:eastAsia="宋体" w:cs="Times New Roman"/>
                <w:i w:val="0"/>
                <w:iCs w:val="0"/>
                <w:color w:val="000000"/>
                <w:sz w:val="20"/>
                <w:szCs w:val="20"/>
                <w:highlight w:val="none"/>
                <w:u w:val="none"/>
              </w:rPr>
            </w:pPr>
          </w:p>
        </w:tc>
        <w:tc>
          <w:tcPr>
            <w:tcW w:w="114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21B72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53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42349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12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5B32F">
            <w:pPr>
              <w:jc w:val="right"/>
              <w:rPr>
                <w:rFonts w:hint="default" w:ascii="Times New Roman" w:hAnsi="Times New Roman" w:eastAsia="宋体" w:cs="Times New Roman"/>
                <w:i w:val="0"/>
                <w:iCs w:val="0"/>
                <w:color w:val="000000"/>
                <w:sz w:val="20"/>
                <w:szCs w:val="20"/>
                <w:highlight w:val="none"/>
                <w:u w:val="none"/>
              </w:rPr>
            </w:pPr>
          </w:p>
        </w:tc>
      </w:tr>
      <w:tr w14:paraId="177A78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atLeast"/>
        </w:trPr>
        <w:tc>
          <w:tcPr>
            <w:tcW w:w="123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2DFB7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3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7E6C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5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8D285D">
            <w:pPr>
              <w:jc w:val="right"/>
              <w:rPr>
                <w:rFonts w:hint="default" w:ascii="Times New Roman" w:hAnsi="Times New Roman" w:eastAsia="宋体" w:cs="Times New Roman"/>
                <w:i w:val="0"/>
                <w:iCs w:val="0"/>
                <w:color w:val="000000"/>
                <w:sz w:val="20"/>
                <w:szCs w:val="20"/>
                <w:highlight w:val="none"/>
                <w:u w:val="none"/>
              </w:rPr>
            </w:pPr>
          </w:p>
        </w:tc>
        <w:tc>
          <w:tcPr>
            <w:tcW w:w="114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67CE9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53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9061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12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BC714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12,510.98</w:t>
            </w:r>
          </w:p>
        </w:tc>
      </w:tr>
      <w:tr w14:paraId="4FD423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atLeast"/>
        </w:trPr>
        <w:tc>
          <w:tcPr>
            <w:tcW w:w="123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60294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3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A4A19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5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A4C213">
            <w:pPr>
              <w:jc w:val="right"/>
              <w:rPr>
                <w:rFonts w:hint="default" w:ascii="Times New Roman" w:hAnsi="Times New Roman" w:eastAsia="宋体" w:cs="Times New Roman"/>
                <w:i w:val="0"/>
                <w:iCs w:val="0"/>
                <w:color w:val="000000"/>
                <w:sz w:val="20"/>
                <w:szCs w:val="20"/>
                <w:highlight w:val="none"/>
                <w:u w:val="none"/>
              </w:rPr>
            </w:pPr>
          </w:p>
        </w:tc>
        <w:tc>
          <w:tcPr>
            <w:tcW w:w="114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4F023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53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CD4F9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12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915292">
            <w:pPr>
              <w:jc w:val="right"/>
              <w:rPr>
                <w:rFonts w:hint="default" w:ascii="Times New Roman" w:hAnsi="Times New Roman" w:eastAsia="宋体" w:cs="Times New Roman"/>
                <w:i w:val="0"/>
                <w:iCs w:val="0"/>
                <w:color w:val="000000"/>
                <w:sz w:val="20"/>
                <w:szCs w:val="20"/>
                <w:highlight w:val="none"/>
                <w:u w:val="none"/>
              </w:rPr>
            </w:pPr>
          </w:p>
        </w:tc>
      </w:tr>
      <w:tr w14:paraId="6484DD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atLeast"/>
        </w:trPr>
        <w:tc>
          <w:tcPr>
            <w:tcW w:w="123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57A3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3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CF801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5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023047">
            <w:pPr>
              <w:jc w:val="right"/>
              <w:rPr>
                <w:rFonts w:hint="default" w:ascii="Times New Roman" w:hAnsi="Times New Roman" w:eastAsia="宋体" w:cs="Times New Roman"/>
                <w:i w:val="0"/>
                <w:iCs w:val="0"/>
                <w:color w:val="000000"/>
                <w:sz w:val="20"/>
                <w:szCs w:val="20"/>
                <w:highlight w:val="none"/>
                <w:u w:val="none"/>
              </w:rPr>
            </w:pPr>
          </w:p>
        </w:tc>
        <w:tc>
          <w:tcPr>
            <w:tcW w:w="114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B62AB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53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E6CED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12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DED107">
            <w:pPr>
              <w:jc w:val="right"/>
              <w:rPr>
                <w:rFonts w:hint="default" w:ascii="Times New Roman" w:hAnsi="Times New Roman" w:eastAsia="宋体" w:cs="Times New Roman"/>
                <w:i w:val="0"/>
                <w:iCs w:val="0"/>
                <w:color w:val="000000"/>
                <w:sz w:val="20"/>
                <w:szCs w:val="20"/>
                <w:highlight w:val="none"/>
                <w:u w:val="none"/>
              </w:rPr>
            </w:pPr>
          </w:p>
        </w:tc>
      </w:tr>
      <w:tr w14:paraId="130B3C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atLeast"/>
        </w:trPr>
        <w:tc>
          <w:tcPr>
            <w:tcW w:w="123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47281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七、附属部门上缴收入</w:t>
            </w:r>
          </w:p>
        </w:tc>
        <w:tc>
          <w:tcPr>
            <w:tcW w:w="3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9C205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5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184C81">
            <w:pPr>
              <w:jc w:val="right"/>
              <w:rPr>
                <w:rFonts w:hint="default" w:ascii="Times New Roman" w:hAnsi="Times New Roman" w:eastAsia="宋体" w:cs="Times New Roman"/>
                <w:i w:val="0"/>
                <w:iCs w:val="0"/>
                <w:color w:val="000000"/>
                <w:sz w:val="20"/>
                <w:szCs w:val="20"/>
                <w:highlight w:val="none"/>
                <w:u w:val="none"/>
              </w:rPr>
            </w:pPr>
          </w:p>
        </w:tc>
        <w:tc>
          <w:tcPr>
            <w:tcW w:w="114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CBC54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53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A3F1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12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C42FCC">
            <w:pPr>
              <w:jc w:val="right"/>
              <w:rPr>
                <w:rFonts w:hint="default" w:ascii="Times New Roman" w:hAnsi="Times New Roman" w:eastAsia="宋体" w:cs="Times New Roman"/>
                <w:i w:val="0"/>
                <w:iCs w:val="0"/>
                <w:color w:val="000000"/>
                <w:sz w:val="20"/>
                <w:szCs w:val="20"/>
                <w:highlight w:val="none"/>
                <w:u w:val="none"/>
              </w:rPr>
            </w:pPr>
          </w:p>
        </w:tc>
      </w:tr>
      <w:tr w14:paraId="4284E1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atLeast"/>
        </w:trPr>
        <w:tc>
          <w:tcPr>
            <w:tcW w:w="123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00161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3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8155E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5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4961FF">
            <w:pPr>
              <w:jc w:val="right"/>
              <w:rPr>
                <w:rFonts w:hint="default" w:ascii="Times New Roman" w:hAnsi="Times New Roman" w:eastAsia="宋体" w:cs="Times New Roman"/>
                <w:i w:val="0"/>
                <w:iCs w:val="0"/>
                <w:color w:val="000000"/>
                <w:sz w:val="20"/>
                <w:szCs w:val="20"/>
                <w:highlight w:val="none"/>
                <w:u w:val="none"/>
              </w:rPr>
            </w:pPr>
          </w:p>
        </w:tc>
        <w:tc>
          <w:tcPr>
            <w:tcW w:w="114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FE0EB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53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3D7BD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12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A8311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2,719.34</w:t>
            </w:r>
          </w:p>
        </w:tc>
      </w:tr>
      <w:tr w14:paraId="47C75B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atLeast"/>
        </w:trPr>
        <w:tc>
          <w:tcPr>
            <w:tcW w:w="123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E89E79">
            <w:pPr>
              <w:jc w:val="left"/>
              <w:rPr>
                <w:rFonts w:hint="eastAsia" w:ascii="宋体" w:hAnsi="宋体" w:eastAsia="宋体" w:cs="宋体"/>
                <w:i w:val="0"/>
                <w:iCs w:val="0"/>
                <w:color w:val="000000"/>
                <w:sz w:val="20"/>
                <w:szCs w:val="20"/>
                <w:highlight w:val="none"/>
                <w:u w:val="none"/>
              </w:rPr>
            </w:pPr>
          </w:p>
        </w:tc>
        <w:tc>
          <w:tcPr>
            <w:tcW w:w="3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02836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5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7A1A21">
            <w:pPr>
              <w:jc w:val="right"/>
              <w:rPr>
                <w:rFonts w:hint="default" w:ascii="Times New Roman" w:hAnsi="Times New Roman" w:eastAsia="宋体" w:cs="Times New Roman"/>
                <w:i w:val="0"/>
                <w:iCs w:val="0"/>
                <w:color w:val="000000"/>
                <w:sz w:val="20"/>
                <w:szCs w:val="20"/>
                <w:highlight w:val="none"/>
                <w:u w:val="none"/>
              </w:rPr>
            </w:pPr>
          </w:p>
        </w:tc>
        <w:tc>
          <w:tcPr>
            <w:tcW w:w="114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EED62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53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775C0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12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80DE4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409.79</w:t>
            </w:r>
          </w:p>
        </w:tc>
      </w:tr>
      <w:tr w14:paraId="29F359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atLeast"/>
        </w:trPr>
        <w:tc>
          <w:tcPr>
            <w:tcW w:w="123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C511FC">
            <w:pPr>
              <w:jc w:val="left"/>
              <w:rPr>
                <w:rFonts w:hint="eastAsia" w:ascii="宋体" w:hAnsi="宋体" w:eastAsia="宋体" w:cs="宋体"/>
                <w:i w:val="0"/>
                <w:iCs w:val="0"/>
                <w:color w:val="000000"/>
                <w:sz w:val="20"/>
                <w:szCs w:val="20"/>
                <w:highlight w:val="none"/>
                <w:u w:val="none"/>
              </w:rPr>
            </w:pPr>
          </w:p>
        </w:tc>
        <w:tc>
          <w:tcPr>
            <w:tcW w:w="3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16828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5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8D69E1">
            <w:pPr>
              <w:jc w:val="right"/>
              <w:rPr>
                <w:rFonts w:hint="default" w:ascii="Times New Roman" w:hAnsi="Times New Roman" w:eastAsia="宋体" w:cs="Times New Roman"/>
                <w:i w:val="0"/>
                <w:iCs w:val="0"/>
                <w:color w:val="000000"/>
                <w:sz w:val="20"/>
                <w:szCs w:val="20"/>
                <w:highlight w:val="none"/>
                <w:u w:val="none"/>
              </w:rPr>
            </w:pPr>
          </w:p>
        </w:tc>
        <w:tc>
          <w:tcPr>
            <w:tcW w:w="114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54FA4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53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E14F7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12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DE59A7">
            <w:pPr>
              <w:jc w:val="right"/>
              <w:rPr>
                <w:rFonts w:hint="default" w:ascii="Times New Roman" w:hAnsi="Times New Roman" w:eastAsia="宋体" w:cs="Times New Roman"/>
                <w:i w:val="0"/>
                <w:iCs w:val="0"/>
                <w:color w:val="000000"/>
                <w:sz w:val="20"/>
                <w:szCs w:val="20"/>
                <w:highlight w:val="none"/>
                <w:u w:val="none"/>
              </w:rPr>
            </w:pPr>
          </w:p>
        </w:tc>
      </w:tr>
      <w:tr w14:paraId="5ADCCB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atLeast"/>
        </w:trPr>
        <w:tc>
          <w:tcPr>
            <w:tcW w:w="123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8A1590">
            <w:pPr>
              <w:jc w:val="left"/>
              <w:rPr>
                <w:rFonts w:hint="eastAsia" w:ascii="宋体" w:hAnsi="宋体" w:eastAsia="宋体" w:cs="宋体"/>
                <w:i w:val="0"/>
                <w:iCs w:val="0"/>
                <w:color w:val="000000"/>
                <w:sz w:val="20"/>
                <w:szCs w:val="20"/>
                <w:highlight w:val="none"/>
                <w:u w:val="none"/>
              </w:rPr>
            </w:pPr>
          </w:p>
        </w:tc>
        <w:tc>
          <w:tcPr>
            <w:tcW w:w="3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CCD0A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5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87E544">
            <w:pPr>
              <w:jc w:val="right"/>
              <w:rPr>
                <w:rFonts w:hint="default" w:ascii="Times New Roman" w:hAnsi="Times New Roman" w:eastAsia="宋体" w:cs="Times New Roman"/>
                <w:i w:val="0"/>
                <w:iCs w:val="0"/>
                <w:color w:val="000000"/>
                <w:sz w:val="20"/>
                <w:szCs w:val="20"/>
                <w:highlight w:val="none"/>
                <w:u w:val="none"/>
              </w:rPr>
            </w:pPr>
          </w:p>
        </w:tc>
        <w:tc>
          <w:tcPr>
            <w:tcW w:w="114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98FA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53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9DC4C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12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9118CA">
            <w:pPr>
              <w:jc w:val="right"/>
              <w:rPr>
                <w:rFonts w:hint="default" w:ascii="Times New Roman" w:hAnsi="Times New Roman" w:eastAsia="宋体" w:cs="Times New Roman"/>
                <w:i w:val="0"/>
                <w:iCs w:val="0"/>
                <w:color w:val="000000"/>
                <w:sz w:val="20"/>
                <w:szCs w:val="20"/>
                <w:highlight w:val="none"/>
                <w:u w:val="none"/>
              </w:rPr>
            </w:pPr>
          </w:p>
        </w:tc>
      </w:tr>
      <w:tr w14:paraId="0D1B04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76" w:hRule="atLeast"/>
        </w:trPr>
        <w:tc>
          <w:tcPr>
            <w:tcW w:w="123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BCFD48">
            <w:pPr>
              <w:jc w:val="left"/>
              <w:rPr>
                <w:rFonts w:hint="eastAsia" w:ascii="宋体" w:hAnsi="宋体" w:eastAsia="宋体" w:cs="宋体"/>
                <w:i w:val="0"/>
                <w:iCs w:val="0"/>
                <w:color w:val="000000"/>
                <w:sz w:val="20"/>
                <w:szCs w:val="20"/>
                <w:highlight w:val="none"/>
                <w:u w:val="none"/>
              </w:rPr>
            </w:pPr>
          </w:p>
        </w:tc>
        <w:tc>
          <w:tcPr>
            <w:tcW w:w="3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50671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5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457B76">
            <w:pPr>
              <w:jc w:val="right"/>
              <w:rPr>
                <w:rFonts w:hint="default" w:ascii="Times New Roman" w:hAnsi="Times New Roman" w:eastAsia="宋体" w:cs="Times New Roman"/>
                <w:i w:val="0"/>
                <w:iCs w:val="0"/>
                <w:color w:val="000000"/>
                <w:sz w:val="20"/>
                <w:szCs w:val="20"/>
                <w:highlight w:val="none"/>
                <w:u w:val="none"/>
              </w:rPr>
            </w:pPr>
          </w:p>
        </w:tc>
        <w:tc>
          <w:tcPr>
            <w:tcW w:w="114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D33EA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53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3419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12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48E401">
            <w:pPr>
              <w:jc w:val="right"/>
              <w:rPr>
                <w:rFonts w:hint="default" w:ascii="Times New Roman" w:hAnsi="Times New Roman" w:eastAsia="宋体" w:cs="Times New Roman"/>
                <w:i w:val="0"/>
                <w:iCs w:val="0"/>
                <w:color w:val="000000"/>
                <w:sz w:val="20"/>
                <w:szCs w:val="20"/>
                <w:highlight w:val="none"/>
                <w:u w:val="none"/>
              </w:rPr>
            </w:pPr>
          </w:p>
        </w:tc>
      </w:tr>
      <w:tr w14:paraId="5FC1D0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123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2B8C7D">
            <w:pPr>
              <w:jc w:val="left"/>
              <w:rPr>
                <w:rFonts w:hint="eastAsia" w:ascii="宋体" w:hAnsi="宋体" w:eastAsia="宋体" w:cs="宋体"/>
                <w:i w:val="0"/>
                <w:iCs w:val="0"/>
                <w:color w:val="000000"/>
                <w:sz w:val="20"/>
                <w:szCs w:val="20"/>
                <w:highlight w:val="none"/>
                <w:u w:val="none"/>
              </w:rPr>
            </w:pPr>
          </w:p>
        </w:tc>
        <w:tc>
          <w:tcPr>
            <w:tcW w:w="3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6EDB4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5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725393">
            <w:pPr>
              <w:jc w:val="right"/>
              <w:rPr>
                <w:rFonts w:hint="default" w:ascii="Times New Roman" w:hAnsi="Times New Roman" w:eastAsia="宋体" w:cs="Times New Roman"/>
                <w:i w:val="0"/>
                <w:iCs w:val="0"/>
                <w:color w:val="000000"/>
                <w:sz w:val="20"/>
                <w:szCs w:val="20"/>
                <w:highlight w:val="none"/>
                <w:u w:val="none"/>
              </w:rPr>
            </w:pPr>
          </w:p>
        </w:tc>
        <w:tc>
          <w:tcPr>
            <w:tcW w:w="114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60848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53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1822E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12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AE10D6">
            <w:pPr>
              <w:jc w:val="right"/>
              <w:rPr>
                <w:rFonts w:hint="default" w:ascii="Times New Roman" w:hAnsi="Times New Roman" w:eastAsia="宋体" w:cs="Times New Roman"/>
                <w:i w:val="0"/>
                <w:iCs w:val="0"/>
                <w:color w:val="000000"/>
                <w:sz w:val="20"/>
                <w:szCs w:val="20"/>
                <w:highlight w:val="none"/>
                <w:u w:val="none"/>
              </w:rPr>
            </w:pPr>
          </w:p>
        </w:tc>
      </w:tr>
      <w:tr w14:paraId="0C6D73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1" w:hRule="atLeast"/>
        </w:trPr>
        <w:tc>
          <w:tcPr>
            <w:tcW w:w="123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22641E">
            <w:pPr>
              <w:jc w:val="left"/>
              <w:rPr>
                <w:rFonts w:hint="eastAsia" w:ascii="宋体" w:hAnsi="宋体" w:eastAsia="宋体" w:cs="宋体"/>
                <w:i w:val="0"/>
                <w:iCs w:val="0"/>
                <w:color w:val="000000"/>
                <w:sz w:val="20"/>
                <w:szCs w:val="20"/>
                <w:highlight w:val="none"/>
                <w:u w:val="none"/>
              </w:rPr>
            </w:pPr>
          </w:p>
        </w:tc>
        <w:tc>
          <w:tcPr>
            <w:tcW w:w="3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709C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5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6935EA">
            <w:pPr>
              <w:jc w:val="right"/>
              <w:rPr>
                <w:rFonts w:hint="default" w:ascii="Times New Roman" w:hAnsi="Times New Roman" w:eastAsia="宋体" w:cs="Times New Roman"/>
                <w:i w:val="0"/>
                <w:iCs w:val="0"/>
                <w:color w:val="000000"/>
                <w:sz w:val="20"/>
                <w:szCs w:val="20"/>
                <w:highlight w:val="none"/>
                <w:u w:val="none"/>
              </w:rPr>
            </w:pPr>
          </w:p>
        </w:tc>
        <w:tc>
          <w:tcPr>
            <w:tcW w:w="114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CA17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53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D749E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12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A2ACCC">
            <w:pPr>
              <w:jc w:val="right"/>
              <w:rPr>
                <w:rFonts w:hint="default" w:ascii="Times New Roman" w:hAnsi="Times New Roman" w:eastAsia="宋体" w:cs="Times New Roman"/>
                <w:i w:val="0"/>
                <w:iCs w:val="0"/>
                <w:color w:val="000000"/>
                <w:sz w:val="20"/>
                <w:szCs w:val="20"/>
                <w:highlight w:val="none"/>
                <w:u w:val="none"/>
              </w:rPr>
            </w:pPr>
          </w:p>
        </w:tc>
      </w:tr>
      <w:tr w14:paraId="5182CA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123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1B8DEB">
            <w:pPr>
              <w:jc w:val="left"/>
              <w:rPr>
                <w:rFonts w:hint="eastAsia" w:ascii="宋体" w:hAnsi="宋体" w:eastAsia="宋体" w:cs="宋体"/>
                <w:i w:val="0"/>
                <w:iCs w:val="0"/>
                <w:color w:val="000000"/>
                <w:sz w:val="20"/>
                <w:szCs w:val="20"/>
                <w:highlight w:val="none"/>
                <w:u w:val="none"/>
              </w:rPr>
            </w:pPr>
          </w:p>
        </w:tc>
        <w:tc>
          <w:tcPr>
            <w:tcW w:w="3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4564E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5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E7C946">
            <w:pPr>
              <w:jc w:val="right"/>
              <w:rPr>
                <w:rFonts w:hint="default" w:ascii="Times New Roman" w:hAnsi="Times New Roman" w:eastAsia="宋体" w:cs="Times New Roman"/>
                <w:i w:val="0"/>
                <w:iCs w:val="0"/>
                <w:color w:val="000000"/>
                <w:sz w:val="20"/>
                <w:szCs w:val="20"/>
                <w:highlight w:val="none"/>
                <w:u w:val="none"/>
              </w:rPr>
            </w:pPr>
          </w:p>
        </w:tc>
        <w:tc>
          <w:tcPr>
            <w:tcW w:w="114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D5543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53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D0F8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12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68E7D9">
            <w:pPr>
              <w:jc w:val="right"/>
              <w:rPr>
                <w:rFonts w:hint="default" w:ascii="Times New Roman" w:hAnsi="Times New Roman" w:eastAsia="宋体" w:cs="Times New Roman"/>
                <w:i w:val="0"/>
                <w:iCs w:val="0"/>
                <w:color w:val="000000"/>
                <w:sz w:val="20"/>
                <w:szCs w:val="20"/>
                <w:highlight w:val="none"/>
                <w:u w:val="none"/>
              </w:rPr>
            </w:pPr>
          </w:p>
        </w:tc>
      </w:tr>
      <w:tr w14:paraId="5557EF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23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80C1A">
            <w:pPr>
              <w:jc w:val="left"/>
              <w:rPr>
                <w:rFonts w:hint="eastAsia" w:ascii="宋体" w:hAnsi="宋体" w:eastAsia="宋体" w:cs="宋体"/>
                <w:i w:val="0"/>
                <w:iCs w:val="0"/>
                <w:color w:val="000000"/>
                <w:sz w:val="20"/>
                <w:szCs w:val="20"/>
                <w:highlight w:val="none"/>
                <w:u w:val="none"/>
              </w:rPr>
            </w:pPr>
          </w:p>
        </w:tc>
        <w:tc>
          <w:tcPr>
            <w:tcW w:w="3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E8DD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5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E1AFD">
            <w:pPr>
              <w:jc w:val="right"/>
              <w:rPr>
                <w:rFonts w:hint="default" w:ascii="Times New Roman" w:hAnsi="Times New Roman" w:eastAsia="宋体" w:cs="Times New Roman"/>
                <w:i w:val="0"/>
                <w:iCs w:val="0"/>
                <w:color w:val="000000"/>
                <w:sz w:val="20"/>
                <w:szCs w:val="20"/>
                <w:highlight w:val="none"/>
                <w:u w:val="none"/>
              </w:rPr>
            </w:pPr>
          </w:p>
        </w:tc>
        <w:tc>
          <w:tcPr>
            <w:tcW w:w="114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A498E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53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77E30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12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C7BA95">
            <w:pPr>
              <w:jc w:val="right"/>
              <w:rPr>
                <w:rFonts w:hint="default" w:ascii="Times New Roman" w:hAnsi="Times New Roman" w:eastAsia="宋体" w:cs="Times New Roman"/>
                <w:i w:val="0"/>
                <w:iCs w:val="0"/>
                <w:color w:val="000000"/>
                <w:sz w:val="20"/>
                <w:szCs w:val="20"/>
                <w:highlight w:val="none"/>
                <w:u w:val="none"/>
              </w:rPr>
            </w:pPr>
          </w:p>
        </w:tc>
      </w:tr>
      <w:tr w14:paraId="4E5DF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atLeast"/>
        </w:trPr>
        <w:tc>
          <w:tcPr>
            <w:tcW w:w="123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A848ED">
            <w:pPr>
              <w:jc w:val="left"/>
              <w:rPr>
                <w:rFonts w:hint="eastAsia" w:ascii="宋体" w:hAnsi="宋体" w:eastAsia="宋体" w:cs="宋体"/>
                <w:i w:val="0"/>
                <w:iCs w:val="0"/>
                <w:color w:val="000000"/>
                <w:sz w:val="20"/>
                <w:szCs w:val="20"/>
                <w:highlight w:val="none"/>
                <w:u w:val="none"/>
              </w:rPr>
            </w:pPr>
          </w:p>
        </w:tc>
        <w:tc>
          <w:tcPr>
            <w:tcW w:w="3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60742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5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45EA53">
            <w:pPr>
              <w:jc w:val="right"/>
              <w:rPr>
                <w:rFonts w:hint="default" w:ascii="Times New Roman" w:hAnsi="Times New Roman" w:eastAsia="宋体" w:cs="Times New Roman"/>
                <w:i w:val="0"/>
                <w:iCs w:val="0"/>
                <w:color w:val="000000"/>
                <w:sz w:val="20"/>
                <w:szCs w:val="20"/>
                <w:highlight w:val="none"/>
                <w:u w:val="none"/>
              </w:rPr>
            </w:pPr>
          </w:p>
        </w:tc>
        <w:tc>
          <w:tcPr>
            <w:tcW w:w="114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CC54C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53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4FCE0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12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6B1A39">
            <w:pPr>
              <w:jc w:val="right"/>
              <w:rPr>
                <w:rFonts w:hint="default" w:ascii="Times New Roman" w:hAnsi="Times New Roman" w:eastAsia="宋体" w:cs="Times New Roman"/>
                <w:i w:val="0"/>
                <w:iCs w:val="0"/>
                <w:color w:val="000000"/>
                <w:sz w:val="20"/>
                <w:szCs w:val="20"/>
                <w:highlight w:val="none"/>
                <w:u w:val="none"/>
              </w:rPr>
            </w:pPr>
          </w:p>
        </w:tc>
      </w:tr>
      <w:tr w14:paraId="4EC323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123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00D453">
            <w:pPr>
              <w:jc w:val="left"/>
              <w:rPr>
                <w:rFonts w:hint="eastAsia" w:ascii="宋体" w:hAnsi="宋体" w:eastAsia="宋体" w:cs="宋体"/>
                <w:i w:val="0"/>
                <w:iCs w:val="0"/>
                <w:color w:val="000000"/>
                <w:sz w:val="20"/>
                <w:szCs w:val="20"/>
                <w:highlight w:val="none"/>
                <w:u w:val="none"/>
              </w:rPr>
            </w:pPr>
          </w:p>
        </w:tc>
        <w:tc>
          <w:tcPr>
            <w:tcW w:w="3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BA1CD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5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F6C986">
            <w:pPr>
              <w:jc w:val="right"/>
              <w:rPr>
                <w:rFonts w:hint="default" w:ascii="Times New Roman" w:hAnsi="Times New Roman" w:eastAsia="宋体" w:cs="Times New Roman"/>
                <w:i w:val="0"/>
                <w:iCs w:val="0"/>
                <w:color w:val="000000"/>
                <w:sz w:val="20"/>
                <w:szCs w:val="20"/>
                <w:highlight w:val="none"/>
                <w:u w:val="none"/>
              </w:rPr>
            </w:pPr>
          </w:p>
        </w:tc>
        <w:tc>
          <w:tcPr>
            <w:tcW w:w="114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6A35B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53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9359C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12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9201A3">
            <w:pPr>
              <w:jc w:val="right"/>
              <w:rPr>
                <w:rFonts w:hint="default" w:ascii="Times New Roman" w:hAnsi="Times New Roman" w:eastAsia="宋体" w:cs="Times New Roman"/>
                <w:i w:val="0"/>
                <w:iCs w:val="0"/>
                <w:color w:val="000000"/>
                <w:sz w:val="20"/>
                <w:szCs w:val="20"/>
                <w:highlight w:val="none"/>
                <w:u w:val="none"/>
              </w:rPr>
            </w:pPr>
          </w:p>
        </w:tc>
      </w:tr>
      <w:tr w14:paraId="02775E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atLeast"/>
        </w:trPr>
        <w:tc>
          <w:tcPr>
            <w:tcW w:w="123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0F6B12">
            <w:pPr>
              <w:jc w:val="left"/>
              <w:rPr>
                <w:rFonts w:hint="eastAsia" w:ascii="宋体" w:hAnsi="宋体" w:eastAsia="宋体" w:cs="宋体"/>
                <w:i w:val="0"/>
                <w:iCs w:val="0"/>
                <w:color w:val="000000"/>
                <w:sz w:val="20"/>
                <w:szCs w:val="20"/>
                <w:highlight w:val="none"/>
                <w:u w:val="none"/>
              </w:rPr>
            </w:pPr>
          </w:p>
        </w:tc>
        <w:tc>
          <w:tcPr>
            <w:tcW w:w="3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3DC8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5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5ED6BF">
            <w:pPr>
              <w:jc w:val="right"/>
              <w:rPr>
                <w:rFonts w:hint="default" w:ascii="Times New Roman" w:hAnsi="Times New Roman" w:eastAsia="宋体" w:cs="Times New Roman"/>
                <w:i w:val="0"/>
                <w:iCs w:val="0"/>
                <w:color w:val="000000"/>
                <w:sz w:val="20"/>
                <w:szCs w:val="20"/>
                <w:highlight w:val="none"/>
                <w:u w:val="none"/>
              </w:rPr>
            </w:pPr>
          </w:p>
        </w:tc>
        <w:tc>
          <w:tcPr>
            <w:tcW w:w="114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D7257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53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4B020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12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39E70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661.31</w:t>
            </w:r>
          </w:p>
        </w:tc>
      </w:tr>
      <w:tr w14:paraId="13AE77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atLeast"/>
        </w:trPr>
        <w:tc>
          <w:tcPr>
            <w:tcW w:w="123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C24606">
            <w:pPr>
              <w:jc w:val="left"/>
              <w:rPr>
                <w:rFonts w:hint="eastAsia" w:ascii="宋体" w:hAnsi="宋体" w:eastAsia="宋体" w:cs="宋体"/>
                <w:i w:val="0"/>
                <w:iCs w:val="0"/>
                <w:color w:val="000000"/>
                <w:sz w:val="20"/>
                <w:szCs w:val="20"/>
                <w:highlight w:val="none"/>
                <w:u w:val="none"/>
              </w:rPr>
            </w:pPr>
          </w:p>
        </w:tc>
        <w:tc>
          <w:tcPr>
            <w:tcW w:w="3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D3FF4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5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BFA2FE">
            <w:pPr>
              <w:jc w:val="right"/>
              <w:rPr>
                <w:rFonts w:hint="default" w:ascii="Times New Roman" w:hAnsi="Times New Roman" w:eastAsia="宋体" w:cs="Times New Roman"/>
                <w:i w:val="0"/>
                <w:iCs w:val="0"/>
                <w:color w:val="000000"/>
                <w:sz w:val="20"/>
                <w:szCs w:val="20"/>
                <w:highlight w:val="none"/>
                <w:u w:val="none"/>
              </w:rPr>
            </w:pPr>
          </w:p>
        </w:tc>
        <w:tc>
          <w:tcPr>
            <w:tcW w:w="114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C21DB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53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C01A1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12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1B71F5">
            <w:pPr>
              <w:jc w:val="right"/>
              <w:rPr>
                <w:rFonts w:hint="default" w:ascii="Times New Roman" w:hAnsi="Times New Roman" w:eastAsia="宋体" w:cs="Times New Roman"/>
                <w:i w:val="0"/>
                <w:iCs w:val="0"/>
                <w:color w:val="000000"/>
                <w:sz w:val="20"/>
                <w:szCs w:val="20"/>
                <w:highlight w:val="none"/>
                <w:u w:val="none"/>
              </w:rPr>
            </w:pPr>
          </w:p>
        </w:tc>
      </w:tr>
      <w:tr w14:paraId="1537D0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atLeast"/>
        </w:trPr>
        <w:tc>
          <w:tcPr>
            <w:tcW w:w="123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B5EBA7">
            <w:pPr>
              <w:jc w:val="left"/>
              <w:rPr>
                <w:rFonts w:hint="eastAsia" w:ascii="宋体" w:hAnsi="宋体" w:eastAsia="宋体" w:cs="宋体"/>
                <w:i w:val="0"/>
                <w:iCs w:val="0"/>
                <w:color w:val="000000"/>
                <w:sz w:val="20"/>
                <w:szCs w:val="20"/>
                <w:highlight w:val="none"/>
                <w:u w:val="none"/>
              </w:rPr>
            </w:pPr>
          </w:p>
        </w:tc>
        <w:tc>
          <w:tcPr>
            <w:tcW w:w="3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D2D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5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F82F1A">
            <w:pPr>
              <w:jc w:val="right"/>
              <w:rPr>
                <w:rFonts w:hint="default" w:ascii="Times New Roman" w:hAnsi="Times New Roman" w:eastAsia="宋体" w:cs="Times New Roman"/>
                <w:i w:val="0"/>
                <w:iCs w:val="0"/>
                <w:color w:val="000000"/>
                <w:sz w:val="20"/>
                <w:szCs w:val="20"/>
                <w:highlight w:val="none"/>
                <w:u w:val="none"/>
              </w:rPr>
            </w:pPr>
          </w:p>
        </w:tc>
        <w:tc>
          <w:tcPr>
            <w:tcW w:w="114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74E2E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53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C909A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12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FC9FF5">
            <w:pPr>
              <w:jc w:val="right"/>
              <w:rPr>
                <w:rFonts w:hint="default" w:ascii="Times New Roman" w:hAnsi="Times New Roman" w:eastAsia="宋体" w:cs="Times New Roman"/>
                <w:i w:val="0"/>
                <w:iCs w:val="0"/>
                <w:color w:val="000000"/>
                <w:sz w:val="20"/>
                <w:szCs w:val="20"/>
                <w:highlight w:val="none"/>
                <w:u w:val="none"/>
              </w:rPr>
            </w:pPr>
          </w:p>
        </w:tc>
      </w:tr>
      <w:tr w14:paraId="6D25FE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atLeast"/>
        </w:trPr>
        <w:tc>
          <w:tcPr>
            <w:tcW w:w="123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3D7BBF">
            <w:pPr>
              <w:jc w:val="left"/>
              <w:rPr>
                <w:rFonts w:hint="eastAsia" w:ascii="宋体" w:hAnsi="宋体" w:eastAsia="宋体" w:cs="宋体"/>
                <w:i w:val="0"/>
                <w:iCs w:val="0"/>
                <w:color w:val="000000"/>
                <w:sz w:val="20"/>
                <w:szCs w:val="20"/>
                <w:highlight w:val="none"/>
                <w:u w:val="none"/>
              </w:rPr>
            </w:pPr>
          </w:p>
        </w:tc>
        <w:tc>
          <w:tcPr>
            <w:tcW w:w="3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B39C2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5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8316F3">
            <w:pPr>
              <w:jc w:val="right"/>
              <w:rPr>
                <w:rFonts w:hint="default" w:ascii="Times New Roman" w:hAnsi="Times New Roman" w:eastAsia="宋体" w:cs="Times New Roman"/>
                <w:i w:val="0"/>
                <w:iCs w:val="0"/>
                <w:color w:val="000000"/>
                <w:sz w:val="20"/>
                <w:szCs w:val="20"/>
                <w:highlight w:val="none"/>
                <w:u w:val="none"/>
              </w:rPr>
            </w:pPr>
          </w:p>
        </w:tc>
        <w:tc>
          <w:tcPr>
            <w:tcW w:w="114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6C858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53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3DF9B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12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E959E5">
            <w:pPr>
              <w:jc w:val="right"/>
              <w:rPr>
                <w:rFonts w:hint="default" w:ascii="Times New Roman" w:hAnsi="Times New Roman" w:eastAsia="宋体" w:cs="Times New Roman"/>
                <w:i w:val="0"/>
                <w:iCs w:val="0"/>
                <w:color w:val="000000"/>
                <w:sz w:val="20"/>
                <w:szCs w:val="20"/>
                <w:highlight w:val="none"/>
                <w:u w:val="none"/>
              </w:rPr>
            </w:pPr>
          </w:p>
        </w:tc>
      </w:tr>
      <w:tr w14:paraId="2A94C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atLeast"/>
        </w:trPr>
        <w:tc>
          <w:tcPr>
            <w:tcW w:w="123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F89E1D">
            <w:pPr>
              <w:jc w:val="left"/>
              <w:rPr>
                <w:rFonts w:hint="eastAsia" w:ascii="宋体" w:hAnsi="宋体" w:eastAsia="宋体" w:cs="宋体"/>
                <w:i w:val="0"/>
                <w:iCs w:val="0"/>
                <w:color w:val="000000"/>
                <w:sz w:val="20"/>
                <w:szCs w:val="20"/>
                <w:highlight w:val="none"/>
                <w:u w:val="none"/>
              </w:rPr>
            </w:pPr>
          </w:p>
        </w:tc>
        <w:tc>
          <w:tcPr>
            <w:tcW w:w="3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A9316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5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A1954">
            <w:pPr>
              <w:jc w:val="right"/>
              <w:rPr>
                <w:rFonts w:hint="default" w:ascii="Times New Roman" w:hAnsi="Times New Roman" w:eastAsia="宋体" w:cs="Times New Roman"/>
                <w:i w:val="0"/>
                <w:iCs w:val="0"/>
                <w:color w:val="000000"/>
                <w:sz w:val="20"/>
                <w:szCs w:val="20"/>
                <w:highlight w:val="none"/>
                <w:u w:val="none"/>
              </w:rPr>
            </w:pPr>
          </w:p>
        </w:tc>
        <w:tc>
          <w:tcPr>
            <w:tcW w:w="114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7E55B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53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88F65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12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72D0F3">
            <w:pPr>
              <w:jc w:val="right"/>
              <w:rPr>
                <w:rFonts w:hint="default" w:ascii="Times New Roman" w:hAnsi="Times New Roman" w:eastAsia="宋体" w:cs="Times New Roman"/>
                <w:i w:val="0"/>
                <w:iCs w:val="0"/>
                <w:color w:val="000000"/>
                <w:sz w:val="20"/>
                <w:szCs w:val="20"/>
                <w:highlight w:val="none"/>
                <w:u w:val="none"/>
              </w:rPr>
            </w:pPr>
          </w:p>
        </w:tc>
      </w:tr>
      <w:tr w14:paraId="5C60D1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atLeast"/>
        </w:trPr>
        <w:tc>
          <w:tcPr>
            <w:tcW w:w="123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39429">
            <w:pPr>
              <w:jc w:val="left"/>
              <w:rPr>
                <w:rFonts w:hint="eastAsia" w:ascii="宋体" w:hAnsi="宋体" w:eastAsia="宋体" w:cs="宋体"/>
                <w:i w:val="0"/>
                <w:iCs w:val="0"/>
                <w:color w:val="000000"/>
                <w:sz w:val="20"/>
                <w:szCs w:val="20"/>
                <w:highlight w:val="none"/>
                <w:u w:val="none"/>
              </w:rPr>
            </w:pPr>
          </w:p>
        </w:tc>
        <w:tc>
          <w:tcPr>
            <w:tcW w:w="3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32AFF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5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A62C3C">
            <w:pPr>
              <w:jc w:val="right"/>
              <w:rPr>
                <w:rFonts w:hint="default" w:ascii="Times New Roman" w:hAnsi="Times New Roman" w:eastAsia="宋体" w:cs="Times New Roman"/>
                <w:i w:val="0"/>
                <w:iCs w:val="0"/>
                <w:color w:val="000000"/>
                <w:sz w:val="20"/>
                <w:szCs w:val="20"/>
                <w:highlight w:val="none"/>
                <w:u w:val="none"/>
              </w:rPr>
            </w:pPr>
          </w:p>
        </w:tc>
        <w:tc>
          <w:tcPr>
            <w:tcW w:w="114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5E1DB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53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4CE90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12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398CAF">
            <w:pPr>
              <w:jc w:val="right"/>
              <w:rPr>
                <w:rFonts w:hint="default" w:ascii="Times New Roman" w:hAnsi="Times New Roman" w:eastAsia="宋体" w:cs="Times New Roman"/>
                <w:i w:val="0"/>
                <w:iCs w:val="0"/>
                <w:color w:val="000000"/>
                <w:sz w:val="20"/>
                <w:szCs w:val="20"/>
                <w:highlight w:val="none"/>
                <w:u w:val="none"/>
              </w:rPr>
            </w:pPr>
          </w:p>
        </w:tc>
      </w:tr>
      <w:tr w14:paraId="2EB94B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atLeast"/>
        </w:trPr>
        <w:tc>
          <w:tcPr>
            <w:tcW w:w="123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0F8089">
            <w:pPr>
              <w:jc w:val="left"/>
              <w:rPr>
                <w:rFonts w:hint="eastAsia" w:ascii="宋体" w:hAnsi="宋体" w:eastAsia="宋体" w:cs="宋体"/>
                <w:i w:val="0"/>
                <w:iCs w:val="0"/>
                <w:color w:val="000000"/>
                <w:sz w:val="20"/>
                <w:szCs w:val="20"/>
                <w:highlight w:val="none"/>
                <w:u w:val="none"/>
              </w:rPr>
            </w:pPr>
          </w:p>
        </w:tc>
        <w:tc>
          <w:tcPr>
            <w:tcW w:w="3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670D4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5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8B0A23">
            <w:pPr>
              <w:jc w:val="right"/>
              <w:rPr>
                <w:rFonts w:hint="default" w:ascii="Times New Roman" w:hAnsi="Times New Roman" w:eastAsia="宋体" w:cs="Times New Roman"/>
                <w:i w:val="0"/>
                <w:iCs w:val="0"/>
                <w:color w:val="000000"/>
                <w:sz w:val="20"/>
                <w:szCs w:val="20"/>
                <w:highlight w:val="none"/>
                <w:u w:val="none"/>
              </w:rPr>
            </w:pPr>
          </w:p>
        </w:tc>
        <w:tc>
          <w:tcPr>
            <w:tcW w:w="114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7AE37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53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1F1A8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12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982CAC">
            <w:pPr>
              <w:jc w:val="right"/>
              <w:rPr>
                <w:rFonts w:hint="default" w:ascii="Times New Roman" w:hAnsi="Times New Roman" w:eastAsia="宋体" w:cs="Times New Roman"/>
                <w:i w:val="0"/>
                <w:iCs w:val="0"/>
                <w:color w:val="000000"/>
                <w:sz w:val="20"/>
                <w:szCs w:val="20"/>
                <w:highlight w:val="none"/>
                <w:u w:val="none"/>
              </w:rPr>
            </w:pPr>
          </w:p>
        </w:tc>
      </w:tr>
      <w:tr w14:paraId="03F173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atLeast"/>
        </w:trPr>
        <w:tc>
          <w:tcPr>
            <w:tcW w:w="123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098667">
            <w:pPr>
              <w:jc w:val="left"/>
              <w:rPr>
                <w:rFonts w:hint="eastAsia" w:ascii="宋体" w:hAnsi="宋体" w:eastAsia="宋体" w:cs="宋体"/>
                <w:i w:val="0"/>
                <w:iCs w:val="0"/>
                <w:color w:val="000000"/>
                <w:sz w:val="20"/>
                <w:szCs w:val="20"/>
                <w:highlight w:val="none"/>
                <w:u w:val="none"/>
              </w:rPr>
            </w:pPr>
          </w:p>
        </w:tc>
        <w:tc>
          <w:tcPr>
            <w:tcW w:w="3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3821E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5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42C97A">
            <w:pPr>
              <w:jc w:val="right"/>
              <w:rPr>
                <w:rFonts w:hint="default" w:ascii="Times New Roman" w:hAnsi="Times New Roman" w:eastAsia="宋体" w:cs="Times New Roman"/>
                <w:i w:val="0"/>
                <w:iCs w:val="0"/>
                <w:color w:val="000000"/>
                <w:sz w:val="20"/>
                <w:szCs w:val="20"/>
                <w:highlight w:val="none"/>
                <w:u w:val="none"/>
              </w:rPr>
            </w:pPr>
          </w:p>
        </w:tc>
        <w:tc>
          <w:tcPr>
            <w:tcW w:w="114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9E553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53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D3769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12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E49C44">
            <w:pPr>
              <w:jc w:val="right"/>
              <w:rPr>
                <w:rFonts w:hint="default" w:ascii="Times New Roman" w:hAnsi="Times New Roman" w:eastAsia="宋体" w:cs="Times New Roman"/>
                <w:i w:val="0"/>
                <w:iCs w:val="0"/>
                <w:color w:val="000000"/>
                <w:sz w:val="20"/>
                <w:szCs w:val="20"/>
                <w:highlight w:val="none"/>
                <w:u w:val="none"/>
              </w:rPr>
            </w:pPr>
          </w:p>
        </w:tc>
      </w:tr>
      <w:tr w14:paraId="6C85AF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atLeast"/>
        </w:trPr>
        <w:tc>
          <w:tcPr>
            <w:tcW w:w="123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1C1AE2">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3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58ADB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5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709DF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17,113.69</w:t>
            </w:r>
          </w:p>
        </w:tc>
        <w:tc>
          <w:tcPr>
            <w:tcW w:w="114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BB4F41">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53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49B62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12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A120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17,113.69</w:t>
            </w:r>
          </w:p>
        </w:tc>
      </w:tr>
      <w:tr w14:paraId="4F3421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atLeast"/>
        </w:trPr>
        <w:tc>
          <w:tcPr>
            <w:tcW w:w="123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90B2F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3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785DE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5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1C286B">
            <w:pPr>
              <w:jc w:val="right"/>
              <w:rPr>
                <w:rFonts w:hint="default" w:ascii="Times New Roman" w:hAnsi="Times New Roman" w:eastAsia="宋体" w:cs="Times New Roman"/>
                <w:i w:val="0"/>
                <w:iCs w:val="0"/>
                <w:color w:val="000000"/>
                <w:sz w:val="20"/>
                <w:szCs w:val="20"/>
                <w:highlight w:val="none"/>
                <w:u w:val="none"/>
              </w:rPr>
            </w:pPr>
          </w:p>
        </w:tc>
        <w:tc>
          <w:tcPr>
            <w:tcW w:w="114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E2B8C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53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0472E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12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E3EBD1">
            <w:pPr>
              <w:jc w:val="right"/>
              <w:rPr>
                <w:rFonts w:hint="default" w:ascii="Times New Roman" w:hAnsi="Times New Roman" w:eastAsia="宋体" w:cs="Times New Roman"/>
                <w:i w:val="0"/>
                <w:iCs w:val="0"/>
                <w:color w:val="000000"/>
                <w:sz w:val="20"/>
                <w:szCs w:val="20"/>
                <w:highlight w:val="none"/>
                <w:u w:val="none"/>
              </w:rPr>
            </w:pPr>
          </w:p>
        </w:tc>
      </w:tr>
      <w:tr w14:paraId="004591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76" w:hRule="atLeast"/>
        </w:trPr>
        <w:tc>
          <w:tcPr>
            <w:tcW w:w="123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6FB50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3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BE481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5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9DD2EE">
            <w:pPr>
              <w:jc w:val="right"/>
              <w:rPr>
                <w:rFonts w:hint="default" w:ascii="Times New Roman" w:hAnsi="Times New Roman" w:eastAsia="宋体" w:cs="Times New Roman"/>
                <w:i w:val="0"/>
                <w:iCs w:val="0"/>
                <w:color w:val="000000"/>
                <w:sz w:val="20"/>
                <w:szCs w:val="20"/>
                <w:highlight w:val="none"/>
                <w:u w:val="none"/>
              </w:rPr>
            </w:pPr>
          </w:p>
        </w:tc>
        <w:tc>
          <w:tcPr>
            <w:tcW w:w="114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6EF5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53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35891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12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FA30E1">
            <w:pPr>
              <w:jc w:val="right"/>
              <w:rPr>
                <w:rFonts w:hint="default" w:ascii="Times New Roman" w:hAnsi="Times New Roman" w:eastAsia="宋体" w:cs="Times New Roman"/>
                <w:i w:val="0"/>
                <w:iCs w:val="0"/>
                <w:color w:val="000000"/>
                <w:sz w:val="20"/>
                <w:szCs w:val="20"/>
                <w:highlight w:val="none"/>
                <w:u w:val="none"/>
              </w:rPr>
            </w:pPr>
          </w:p>
        </w:tc>
      </w:tr>
      <w:tr w14:paraId="682FEC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atLeast"/>
        </w:trPr>
        <w:tc>
          <w:tcPr>
            <w:tcW w:w="123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41C42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3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9DF61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5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5F4100">
            <w:pPr>
              <w:jc w:val="right"/>
              <w:rPr>
                <w:rFonts w:hint="default" w:ascii="Times New Roman" w:hAnsi="Times New Roman" w:eastAsia="宋体" w:cs="Times New Roman"/>
                <w:i w:val="0"/>
                <w:iCs w:val="0"/>
                <w:color w:val="000000"/>
                <w:sz w:val="20"/>
                <w:szCs w:val="20"/>
                <w:highlight w:val="none"/>
                <w:u w:val="none"/>
              </w:rPr>
            </w:pPr>
          </w:p>
        </w:tc>
        <w:tc>
          <w:tcPr>
            <w:tcW w:w="114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33D6F8">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53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3D3CF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12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671C9">
            <w:pPr>
              <w:jc w:val="right"/>
              <w:rPr>
                <w:rFonts w:hint="default" w:ascii="Times New Roman" w:hAnsi="Times New Roman" w:eastAsia="宋体" w:cs="Times New Roman"/>
                <w:i w:val="0"/>
                <w:iCs w:val="0"/>
                <w:color w:val="000000"/>
                <w:sz w:val="20"/>
                <w:szCs w:val="20"/>
                <w:highlight w:val="none"/>
                <w:u w:val="none"/>
              </w:rPr>
            </w:pPr>
          </w:p>
        </w:tc>
      </w:tr>
      <w:tr w14:paraId="74B55C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23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710BA9">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3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EDD8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5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FE563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17,113.69</w:t>
            </w:r>
          </w:p>
        </w:tc>
        <w:tc>
          <w:tcPr>
            <w:tcW w:w="114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524C7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53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9D2E9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12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B8FCF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17,113.69</w:t>
            </w:r>
          </w:p>
        </w:tc>
      </w:tr>
      <w:tr w14:paraId="1E315A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7"/>
            <w:tcBorders>
              <w:top w:val="nil"/>
              <w:left w:val="nil"/>
              <w:bottom w:val="nil"/>
              <w:right w:val="nil"/>
            </w:tcBorders>
            <w:noWrap/>
            <w:vAlign w:val="center"/>
          </w:tcPr>
          <w:p w14:paraId="4BB18D5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14:paraId="6F9FF9C3">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14:paraId="78035C53">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DDAF0D2">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14:paraId="4DB9DC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14:paraId="55330973">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14:paraId="549B28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31131EC5">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4BFCFE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14:paraId="76AB36CB">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部门（部门）：河北省石家庄市中级人民法院                                                                                                      </w:t>
            </w:r>
          </w:p>
        </w:tc>
        <w:tc>
          <w:tcPr>
            <w:tcW w:w="3405" w:type="dxa"/>
            <w:gridSpan w:val="4"/>
            <w:tcBorders>
              <w:top w:val="nil"/>
              <w:left w:val="nil"/>
              <w:bottom w:val="single" w:color="000000" w:themeColor="text1" w:sz="8" w:space="0"/>
              <w:right w:val="nil"/>
            </w:tcBorders>
            <w:noWrap/>
            <w:vAlign w:val="bottom"/>
          </w:tcPr>
          <w:p w14:paraId="3A1B875A">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14:paraId="419D9F0E">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金额部门：万元</w:t>
            </w:r>
          </w:p>
        </w:tc>
      </w:tr>
      <w:tr w14:paraId="6DD98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67AB4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F03666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6DFF0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75B856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76C0A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BB5728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23834D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附属部门上缴收入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CECD08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14:paraId="716010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CC84E8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26C6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1621E2D">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1A75225">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B893701">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3380E0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7338C76">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2859060">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9B28F3E">
            <w:pPr>
              <w:jc w:val="center"/>
              <w:rPr>
                <w:rFonts w:hint="eastAsia" w:ascii="宋体" w:hAnsi="宋体" w:eastAsia="宋体" w:cs="宋体"/>
                <w:i w:val="0"/>
                <w:iCs w:val="0"/>
                <w:color w:val="000000"/>
                <w:sz w:val="20"/>
                <w:szCs w:val="20"/>
                <w:highlight w:val="none"/>
                <w:u w:val="none"/>
              </w:rPr>
            </w:pPr>
          </w:p>
        </w:tc>
      </w:tr>
      <w:tr w14:paraId="2C4BC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A55641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8AC42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9153D26">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D80DA51">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12F6B42">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A325AC">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61BD7A1">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B84ED2">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5DD8C88">
            <w:pPr>
              <w:jc w:val="center"/>
              <w:rPr>
                <w:rFonts w:hint="eastAsia" w:ascii="宋体" w:hAnsi="宋体" w:eastAsia="宋体" w:cs="宋体"/>
                <w:i w:val="0"/>
                <w:iCs w:val="0"/>
                <w:color w:val="000000"/>
                <w:sz w:val="20"/>
                <w:szCs w:val="20"/>
                <w:highlight w:val="none"/>
                <w:u w:val="none"/>
              </w:rPr>
            </w:pPr>
          </w:p>
        </w:tc>
      </w:tr>
      <w:tr w14:paraId="7EAD80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867022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0E57C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59620D1">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61D7CB9">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841D80">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449F202">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6198E20">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1088771">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4ED2EA1">
            <w:pPr>
              <w:jc w:val="center"/>
              <w:rPr>
                <w:rFonts w:hint="eastAsia" w:ascii="宋体" w:hAnsi="宋体" w:eastAsia="宋体" w:cs="宋体"/>
                <w:i w:val="0"/>
                <w:iCs w:val="0"/>
                <w:color w:val="000000"/>
                <w:sz w:val="20"/>
                <w:szCs w:val="20"/>
                <w:highlight w:val="none"/>
                <w:u w:val="none"/>
              </w:rPr>
            </w:pPr>
          </w:p>
        </w:tc>
      </w:tr>
      <w:tr w14:paraId="76FB7B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040F9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05C1C0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D73D2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E82F5E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7627A6">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B07A4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5B95C3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BBF6F6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14:paraId="29ADD1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6CB13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FF0D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17,113.69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3C8FE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17,113.69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89A3EA">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A9300B">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8F4B26">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2B11B3">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487B45">
            <w:pPr>
              <w:jc w:val="right"/>
              <w:rPr>
                <w:rFonts w:hint="default" w:ascii="Times New Roman" w:hAnsi="Times New Roman" w:eastAsia="宋体" w:cs="Times New Roman"/>
                <w:i w:val="0"/>
                <w:iCs w:val="0"/>
                <w:color w:val="000000"/>
                <w:sz w:val="20"/>
                <w:szCs w:val="20"/>
                <w:highlight w:val="none"/>
                <w:u w:val="none"/>
              </w:rPr>
            </w:pPr>
          </w:p>
        </w:tc>
      </w:tr>
      <w:tr w14:paraId="328E97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3590D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6DE74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一般公共服务支出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841B8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812.27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2224C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812.27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A06B9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BED18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4F7CC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F7C0A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E15C4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1B0BE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7D39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20140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8A58F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信访事务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9891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A94F2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023E4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9E064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F6E63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6A1B1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D40EC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30512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9D37A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2014004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E026B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信访业务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F9960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12589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E029D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959C2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8B11E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5B7A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50633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7DD51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D2A1A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CCE9A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其他一般公共服务支出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DC39C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762.27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D8B3B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762.27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B8591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515E9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4DE3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7D2B0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0AEC4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76B2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6D14E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2019901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C7C6E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国家赔偿费用支出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E50DE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762.27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023D6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762.27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012CF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1A4AD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23EF0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6446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0083D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10AEE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52FF2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E6DB3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公共安全支出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FBEC4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12,510.98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C9502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12,510.98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F7E4E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7EBC7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E5806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A3C5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1AC64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0C08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D1CB4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20402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EC445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公安</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05A0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260.86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6C44F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260.86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644A9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9700D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595F1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98E57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E369B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FD12A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3DBD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2040201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3A903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4CE95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260.86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7EDFC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260.86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7C85E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52C23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857E8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57229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21FB1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E029C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75679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20405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B55A2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法院</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93F11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12,180.12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E3CBB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12,180.12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F2DE0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7EAD4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7D474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3F2F1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F9F1B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B805B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BC06D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2040501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622BB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B4F03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7,238.31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C1E43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7,238.31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59E27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D880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D6458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C2979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EDDDB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D41B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B0DD9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2040502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D9BE9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121D5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4,785.37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348DE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4,785.37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3FD0E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747F1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C2447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90645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8594E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1990E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9F45C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2040504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65B59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案件审判</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2C442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18.10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A12ED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18.10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3DB1F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E560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9F4FB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E909C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B6D48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925BB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E9CDC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2040599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DCFEB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其他法院支出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6BB89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138.34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02A02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138.34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DE16A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20018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0763C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AC1E2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4358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3B94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28399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20499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F9D28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其他公共安全支出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521C7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B77F1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F8954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FE877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194B2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CBB6A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25D21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EA04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85ADA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2049902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147D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国家司法救助支出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7A361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B3FB5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FD18C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067B6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AF468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DD678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D4F54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FD43D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F1DC6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59370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DA9B1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2,719.34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3392D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2,719.34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8C6B5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29CDC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E0F6C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0E22D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3C4BE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E274A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68C7B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D4D6E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行政事业部门养老支出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75B0F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2,712.43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ADCBB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2,712.43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2F0E2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C1EC2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56FBA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20A6F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9814C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36CF6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D25C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2EC07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行政部门离退休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1EEEC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1,689.97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264D1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1,689.97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C29E5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1E2FF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F366B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DB91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E40A5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582E7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24A50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93AB1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机关事业部门基本养老保险缴费支出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6101A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653.00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E4038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653.00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B7B48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60283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21655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7294E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ADC6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C4D3B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B4722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F2E48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机关事业部门职业年金缴费支出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416B8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369.46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BB20F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369.46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81A21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B7BFB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83F10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73A26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51992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DD8C6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8F5DB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88985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5E67A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6.91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ECCEA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6.91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5436E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C28C2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EEAEC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CA3C4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528E3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740A2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A0395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2089999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461C0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6F459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6.91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F35A0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6.91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74B31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9B22C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0A210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662F0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0B032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81F9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3B66F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F02A3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DFF0D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409.79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9310A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409.79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C693C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16A0B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1E0BF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FBA75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247DC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6E0F2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09773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5CDAE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行政事业部门医疗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AA797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409.79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2857B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409.79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F6161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2C17E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54DF7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18E20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881A4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AE1DA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49C76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D9459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行政部门医疗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6BD46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247.79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EA056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247.79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232BD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7BEC8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A537E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BAE12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5308C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53E62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21C31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28522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公务员医疗补助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B291B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162.00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40310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162.00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65822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17D51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02685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C9319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4EC6D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1F5B7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34C1B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C7475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B41E1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661.31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AFFF1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661.31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E1929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9F918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7BA7A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9ADD8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6BAD2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32B2C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06D2B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B012D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403D2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661.31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6ECCF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661.31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1292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AA7BE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81B32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54B5B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DA3C2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5BE1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9723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2F799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0F5F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661.31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88B96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661.31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440D1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AB573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EEBD5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11906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354F6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90AB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14:paraId="388955D0">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14:paraId="28C3DB4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BE0AF4B">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87"/>
        <w:gridCol w:w="1354"/>
        <w:gridCol w:w="1287"/>
        <w:gridCol w:w="144"/>
        <w:gridCol w:w="1142"/>
        <w:gridCol w:w="1284"/>
        <w:gridCol w:w="568"/>
        <w:gridCol w:w="718"/>
        <w:gridCol w:w="1284"/>
        <w:gridCol w:w="1696"/>
      </w:tblGrid>
      <w:tr w14:paraId="0DFE62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14:paraId="0B351B78">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14:paraId="35DF2B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14:paraId="25FB3E57">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4A027C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14:paraId="3F37907F">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部门（部门）：河北省石家庄市中级人民法院</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000000" w:themeColor="text1" w:sz="8" w:space="0"/>
              <w:right w:val="nil"/>
            </w:tcBorders>
            <w:noWrap/>
            <w:vAlign w:val="bottom"/>
          </w:tcPr>
          <w:p w14:paraId="514A68D8">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000000" w:themeColor="text1" w:sz="8" w:space="0"/>
              <w:right w:val="nil"/>
            </w:tcBorders>
            <w:noWrap/>
            <w:vAlign w:val="bottom"/>
          </w:tcPr>
          <w:p w14:paraId="751F116A">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金额部门：万元</w:t>
            </w:r>
          </w:p>
        </w:tc>
      </w:tr>
      <w:tr w14:paraId="297CB0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F7F39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4F8188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18265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41DCF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E27E32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A8E90D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495268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对附属部门补助支出</w:t>
            </w:r>
          </w:p>
        </w:tc>
      </w:tr>
      <w:tr w14:paraId="6B30CA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F54B7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5E56B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5607CAD">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438577">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6C77B7">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D4392A9">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5BC4FED">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832ED6">
            <w:pPr>
              <w:jc w:val="center"/>
              <w:rPr>
                <w:rFonts w:hint="eastAsia" w:ascii="宋体" w:hAnsi="宋体" w:eastAsia="宋体" w:cs="宋体"/>
                <w:i w:val="0"/>
                <w:iCs w:val="0"/>
                <w:color w:val="000000"/>
                <w:sz w:val="20"/>
                <w:szCs w:val="20"/>
                <w:highlight w:val="none"/>
                <w:u w:val="none"/>
              </w:rPr>
            </w:pPr>
          </w:p>
        </w:tc>
      </w:tr>
      <w:tr w14:paraId="568F62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6B8388">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F89AC7">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B6B1B53">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12B88F0">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293D3B">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255F59">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BCE03DB">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E4FC6F">
            <w:pPr>
              <w:jc w:val="center"/>
              <w:rPr>
                <w:rFonts w:hint="eastAsia" w:ascii="宋体" w:hAnsi="宋体" w:eastAsia="宋体" w:cs="宋体"/>
                <w:i w:val="0"/>
                <w:iCs w:val="0"/>
                <w:color w:val="000000"/>
                <w:sz w:val="20"/>
                <w:szCs w:val="20"/>
                <w:highlight w:val="none"/>
                <w:u w:val="none"/>
              </w:rPr>
            </w:pPr>
          </w:p>
        </w:tc>
      </w:tr>
      <w:tr w14:paraId="27607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CBD9524">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0EFAB0">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A26711">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E4C53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12D1EF">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15202BC">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057AFC">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6F49E5">
            <w:pPr>
              <w:jc w:val="center"/>
              <w:rPr>
                <w:rFonts w:hint="eastAsia" w:ascii="宋体" w:hAnsi="宋体" w:eastAsia="宋体" w:cs="宋体"/>
                <w:i w:val="0"/>
                <w:iCs w:val="0"/>
                <w:color w:val="000000"/>
                <w:sz w:val="20"/>
                <w:szCs w:val="20"/>
                <w:highlight w:val="none"/>
                <w:u w:val="none"/>
              </w:rPr>
            </w:pPr>
          </w:p>
        </w:tc>
      </w:tr>
      <w:tr w14:paraId="0AD3DE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5F74F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D01290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6FA31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9A5F4A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962146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BCF2F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DDD9A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14:paraId="4E2B55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08B5D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42DF7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17,113.69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79E4C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11,047.05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9838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6,066.64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D0A50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E9F81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5FE108">
            <w:pPr>
              <w:jc w:val="right"/>
              <w:rPr>
                <w:rFonts w:hint="default" w:ascii="Times New Roman" w:hAnsi="Times New Roman" w:eastAsia="宋体" w:cs="Times New Roman"/>
                <w:i w:val="0"/>
                <w:iCs w:val="0"/>
                <w:color w:val="000000"/>
                <w:sz w:val="20"/>
                <w:szCs w:val="20"/>
                <w:highlight w:val="none"/>
                <w:u w:val="none"/>
              </w:rPr>
            </w:pPr>
          </w:p>
        </w:tc>
      </w:tr>
      <w:tr w14:paraId="374F5F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D8E75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AD58A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35933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812.27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6BD52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2D2B6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812.27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7E80D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FF9F5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5D31BA">
            <w:pPr>
              <w:jc w:val="right"/>
              <w:rPr>
                <w:rFonts w:hint="default" w:ascii="Times New Roman" w:hAnsi="Times New Roman" w:eastAsia="宋体" w:cs="Times New Roman"/>
                <w:i w:val="0"/>
                <w:iCs w:val="0"/>
                <w:color w:val="000000"/>
                <w:sz w:val="20"/>
                <w:szCs w:val="20"/>
                <w:highlight w:val="none"/>
                <w:u w:val="none"/>
              </w:rPr>
            </w:pPr>
          </w:p>
        </w:tc>
      </w:tr>
      <w:tr w14:paraId="1B0754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882E2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20140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CBDE7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信访事务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10FB0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867F4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2BBA9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8109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5111B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FDB6E3">
            <w:pPr>
              <w:jc w:val="right"/>
              <w:rPr>
                <w:rFonts w:hint="default" w:ascii="Times New Roman" w:hAnsi="Times New Roman" w:eastAsia="宋体" w:cs="Times New Roman"/>
                <w:i w:val="0"/>
                <w:iCs w:val="0"/>
                <w:color w:val="000000"/>
                <w:sz w:val="20"/>
                <w:szCs w:val="20"/>
                <w:highlight w:val="none"/>
                <w:u w:val="none"/>
              </w:rPr>
            </w:pPr>
          </w:p>
        </w:tc>
      </w:tr>
      <w:tr w14:paraId="516088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33D0D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2014004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5B7F4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信访业务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77702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7A6F9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13366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04578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750C0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F7365">
            <w:pPr>
              <w:jc w:val="right"/>
              <w:rPr>
                <w:rFonts w:hint="default" w:ascii="Times New Roman" w:hAnsi="Times New Roman" w:eastAsia="宋体" w:cs="Times New Roman"/>
                <w:i w:val="0"/>
                <w:iCs w:val="0"/>
                <w:color w:val="000000"/>
                <w:sz w:val="20"/>
                <w:szCs w:val="20"/>
                <w:highlight w:val="none"/>
                <w:u w:val="none"/>
              </w:rPr>
            </w:pPr>
          </w:p>
        </w:tc>
      </w:tr>
      <w:tr w14:paraId="5B4B9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F03FA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F845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其他一般公共服务支出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C0B22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762.27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E4FC1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36522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762.27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E2864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E070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5C484B">
            <w:pPr>
              <w:jc w:val="right"/>
              <w:rPr>
                <w:rFonts w:hint="default" w:ascii="Times New Roman" w:hAnsi="Times New Roman" w:eastAsia="宋体" w:cs="Times New Roman"/>
                <w:i w:val="0"/>
                <w:iCs w:val="0"/>
                <w:color w:val="000000"/>
                <w:sz w:val="20"/>
                <w:szCs w:val="20"/>
                <w:highlight w:val="none"/>
                <w:u w:val="none"/>
              </w:rPr>
            </w:pPr>
          </w:p>
        </w:tc>
      </w:tr>
      <w:tr w14:paraId="65959A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7041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2019901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D1180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国家赔偿费用支出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375D1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762.27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E63FC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2D5F5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762.27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D892E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4E4FF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E0C5B8">
            <w:pPr>
              <w:jc w:val="right"/>
              <w:rPr>
                <w:rFonts w:hint="default" w:ascii="Times New Roman" w:hAnsi="Times New Roman" w:eastAsia="宋体" w:cs="Times New Roman"/>
                <w:i w:val="0"/>
                <w:iCs w:val="0"/>
                <w:color w:val="000000"/>
                <w:sz w:val="20"/>
                <w:szCs w:val="20"/>
                <w:highlight w:val="none"/>
                <w:u w:val="none"/>
              </w:rPr>
            </w:pPr>
          </w:p>
        </w:tc>
      </w:tr>
      <w:tr w14:paraId="67C2B3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C9D7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67763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公共安全支出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3C0DF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12,510.98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407BE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7,256.62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788F0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5,254.37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29E8E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3B858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F8049C">
            <w:pPr>
              <w:jc w:val="right"/>
              <w:rPr>
                <w:rFonts w:hint="default" w:ascii="Times New Roman" w:hAnsi="Times New Roman" w:eastAsia="宋体" w:cs="Times New Roman"/>
                <w:i w:val="0"/>
                <w:iCs w:val="0"/>
                <w:color w:val="000000"/>
                <w:sz w:val="20"/>
                <w:szCs w:val="20"/>
                <w:highlight w:val="none"/>
                <w:u w:val="none"/>
              </w:rPr>
            </w:pPr>
          </w:p>
        </w:tc>
      </w:tr>
      <w:tr w14:paraId="59AB37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4203B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90E1F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公安</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F203B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260.86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F47EA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260.86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79A3C1">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51D13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3CF80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EAF0CC">
            <w:pPr>
              <w:jc w:val="right"/>
              <w:rPr>
                <w:rFonts w:hint="default" w:ascii="Times New Roman" w:hAnsi="Times New Roman" w:eastAsia="宋体" w:cs="Times New Roman"/>
                <w:i w:val="0"/>
                <w:iCs w:val="0"/>
                <w:color w:val="000000"/>
                <w:sz w:val="20"/>
                <w:szCs w:val="20"/>
                <w:highlight w:val="none"/>
                <w:u w:val="none"/>
              </w:rPr>
            </w:pPr>
          </w:p>
        </w:tc>
      </w:tr>
      <w:tr w14:paraId="3B383E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D7086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3293E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61AF2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260.86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B878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260.86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23E98F">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47C3C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5650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E20103">
            <w:pPr>
              <w:jc w:val="right"/>
              <w:rPr>
                <w:rFonts w:hint="default" w:ascii="Times New Roman" w:hAnsi="Times New Roman" w:eastAsia="宋体" w:cs="Times New Roman"/>
                <w:i w:val="0"/>
                <w:iCs w:val="0"/>
                <w:color w:val="000000"/>
                <w:sz w:val="20"/>
                <w:szCs w:val="20"/>
                <w:highlight w:val="none"/>
                <w:u w:val="none"/>
              </w:rPr>
            </w:pPr>
          </w:p>
        </w:tc>
      </w:tr>
      <w:tr w14:paraId="15CE9E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B8A70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C01E2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法院</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81ECA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12,180.12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ECF6F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6,995.76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6C72A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5,184.37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E3B4C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C1B47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0CC64B">
            <w:pPr>
              <w:jc w:val="right"/>
              <w:rPr>
                <w:rFonts w:hint="default" w:ascii="Times New Roman" w:hAnsi="Times New Roman" w:eastAsia="宋体" w:cs="Times New Roman"/>
                <w:i w:val="0"/>
                <w:iCs w:val="0"/>
                <w:color w:val="000000"/>
                <w:sz w:val="20"/>
                <w:szCs w:val="20"/>
                <w:highlight w:val="none"/>
                <w:u w:val="none"/>
              </w:rPr>
            </w:pPr>
          </w:p>
        </w:tc>
      </w:tr>
      <w:tr w14:paraId="609417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54914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2040501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A0A95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3B303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7,238.31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F355F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6,995.76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383DA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242.55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48113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7D70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6690C1">
            <w:pPr>
              <w:jc w:val="right"/>
              <w:rPr>
                <w:rFonts w:hint="default" w:ascii="Times New Roman" w:hAnsi="Times New Roman" w:eastAsia="宋体" w:cs="Times New Roman"/>
                <w:i w:val="0"/>
                <w:iCs w:val="0"/>
                <w:color w:val="000000"/>
                <w:sz w:val="20"/>
                <w:szCs w:val="20"/>
                <w:highlight w:val="none"/>
                <w:u w:val="none"/>
              </w:rPr>
            </w:pPr>
          </w:p>
        </w:tc>
      </w:tr>
      <w:tr w14:paraId="691008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B342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2040502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A0616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2B2A4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4,785.37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12196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147FB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4,785.37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BEA41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00B9C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600293">
            <w:pPr>
              <w:jc w:val="right"/>
              <w:rPr>
                <w:rFonts w:hint="default" w:ascii="Times New Roman" w:hAnsi="Times New Roman" w:eastAsia="宋体" w:cs="Times New Roman"/>
                <w:i w:val="0"/>
                <w:iCs w:val="0"/>
                <w:color w:val="000000"/>
                <w:sz w:val="20"/>
                <w:szCs w:val="20"/>
                <w:highlight w:val="none"/>
                <w:u w:val="none"/>
              </w:rPr>
            </w:pPr>
          </w:p>
        </w:tc>
      </w:tr>
      <w:tr w14:paraId="4DFF25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22536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2040504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38B19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案件审判</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F51ED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18.10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C0A69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C36B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18.10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2AE4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0F229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4CF72C">
            <w:pPr>
              <w:jc w:val="right"/>
              <w:rPr>
                <w:rFonts w:hint="default" w:ascii="Times New Roman" w:hAnsi="Times New Roman" w:eastAsia="宋体" w:cs="Times New Roman"/>
                <w:i w:val="0"/>
                <w:iCs w:val="0"/>
                <w:color w:val="000000"/>
                <w:sz w:val="20"/>
                <w:szCs w:val="20"/>
                <w:highlight w:val="none"/>
                <w:u w:val="none"/>
              </w:rPr>
            </w:pPr>
          </w:p>
        </w:tc>
      </w:tr>
      <w:tr w14:paraId="142314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8A73E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2040599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D5F84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其他法院支出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C20DD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138.34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769D9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DA23B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138.34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CEFB3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E21AF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A60B82">
            <w:pPr>
              <w:jc w:val="right"/>
              <w:rPr>
                <w:rFonts w:hint="default" w:ascii="Times New Roman" w:hAnsi="Times New Roman" w:eastAsia="宋体" w:cs="Times New Roman"/>
                <w:i w:val="0"/>
                <w:iCs w:val="0"/>
                <w:color w:val="000000"/>
                <w:sz w:val="20"/>
                <w:szCs w:val="20"/>
                <w:highlight w:val="none"/>
                <w:u w:val="none"/>
              </w:rPr>
            </w:pPr>
          </w:p>
        </w:tc>
      </w:tr>
      <w:tr w14:paraId="75BAA7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CB2F2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22C5A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其他公共安全支出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A7CBB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40D9E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38A9D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BD389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744EE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8B12C">
            <w:pPr>
              <w:jc w:val="right"/>
              <w:rPr>
                <w:rFonts w:hint="default" w:ascii="Times New Roman" w:hAnsi="Times New Roman" w:eastAsia="宋体" w:cs="Times New Roman"/>
                <w:i w:val="0"/>
                <w:iCs w:val="0"/>
                <w:color w:val="000000"/>
                <w:sz w:val="20"/>
                <w:szCs w:val="20"/>
                <w:highlight w:val="none"/>
                <w:u w:val="none"/>
              </w:rPr>
            </w:pPr>
          </w:p>
        </w:tc>
      </w:tr>
      <w:tr w14:paraId="005E4E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FF2C0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2049902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85FDB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国家司法救助支出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9EFFB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FA773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56A76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B4E74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0C95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0706EE">
            <w:pPr>
              <w:jc w:val="right"/>
              <w:rPr>
                <w:rFonts w:hint="default" w:ascii="Times New Roman" w:hAnsi="Times New Roman" w:eastAsia="宋体" w:cs="Times New Roman"/>
                <w:i w:val="0"/>
                <w:iCs w:val="0"/>
                <w:color w:val="000000"/>
                <w:sz w:val="20"/>
                <w:szCs w:val="20"/>
                <w:highlight w:val="none"/>
                <w:u w:val="none"/>
              </w:rPr>
            </w:pPr>
          </w:p>
        </w:tc>
      </w:tr>
      <w:tr w14:paraId="14417F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D83C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59D48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1BAF9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2,719.34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9D8D4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2,719.34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5C15CA">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243FC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55233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2D41EF">
            <w:pPr>
              <w:jc w:val="right"/>
              <w:rPr>
                <w:rFonts w:hint="default" w:ascii="Times New Roman" w:hAnsi="Times New Roman" w:eastAsia="宋体" w:cs="Times New Roman"/>
                <w:i w:val="0"/>
                <w:iCs w:val="0"/>
                <w:color w:val="000000"/>
                <w:sz w:val="20"/>
                <w:szCs w:val="20"/>
                <w:highlight w:val="none"/>
                <w:u w:val="none"/>
              </w:rPr>
            </w:pPr>
          </w:p>
        </w:tc>
      </w:tr>
      <w:tr w14:paraId="590533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0D7FC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B2D72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行政事业部门养老支出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959AC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2,712.43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441B9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2,712.43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DCA841">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88D06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1252D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D37555">
            <w:pPr>
              <w:jc w:val="right"/>
              <w:rPr>
                <w:rFonts w:hint="default" w:ascii="Times New Roman" w:hAnsi="Times New Roman" w:eastAsia="宋体" w:cs="Times New Roman"/>
                <w:i w:val="0"/>
                <w:iCs w:val="0"/>
                <w:color w:val="000000"/>
                <w:sz w:val="20"/>
                <w:szCs w:val="20"/>
                <w:highlight w:val="none"/>
                <w:u w:val="none"/>
              </w:rPr>
            </w:pPr>
          </w:p>
        </w:tc>
      </w:tr>
      <w:tr w14:paraId="33AA5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EF252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930FB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行政部门离退休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0C35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1,689.97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7C99A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1,689.97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D0D434">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627B2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F33B8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14B95A">
            <w:pPr>
              <w:jc w:val="right"/>
              <w:rPr>
                <w:rFonts w:hint="default" w:ascii="Times New Roman" w:hAnsi="Times New Roman" w:eastAsia="宋体" w:cs="Times New Roman"/>
                <w:i w:val="0"/>
                <w:iCs w:val="0"/>
                <w:color w:val="000000"/>
                <w:sz w:val="20"/>
                <w:szCs w:val="20"/>
                <w:highlight w:val="none"/>
                <w:u w:val="none"/>
              </w:rPr>
            </w:pPr>
          </w:p>
        </w:tc>
      </w:tr>
      <w:tr w14:paraId="79A1F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EBE18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9B29E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机关事业部门基本养老保险缴费支出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C3283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653.00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800AB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653.00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35957B">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32D9A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3CAFC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4DCF46">
            <w:pPr>
              <w:jc w:val="right"/>
              <w:rPr>
                <w:rFonts w:hint="default" w:ascii="Times New Roman" w:hAnsi="Times New Roman" w:eastAsia="宋体" w:cs="Times New Roman"/>
                <w:i w:val="0"/>
                <w:iCs w:val="0"/>
                <w:color w:val="000000"/>
                <w:sz w:val="20"/>
                <w:szCs w:val="20"/>
                <w:highlight w:val="none"/>
                <w:u w:val="none"/>
              </w:rPr>
            </w:pPr>
          </w:p>
        </w:tc>
      </w:tr>
      <w:tr w14:paraId="5E6231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89DB1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2080506</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CB1FF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机关事业部门职业年金缴费支出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BD882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369.46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6A809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369.46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A20A4D">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016D8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2C43EC">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DDBD8F">
            <w:pPr>
              <w:jc w:val="right"/>
              <w:rPr>
                <w:rFonts w:hint="default" w:ascii="Times New Roman" w:hAnsi="Times New Roman" w:eastAsia="宋体" w:cs="Times New Roman"/>
                <w:i w:val="0"/>
                <w:iCs w:val="0"/>
                <w:color w:val="000000"/>
                <w:sz w:val="20"/>
                <w:szCs w:val="20"/>
                <w:highlight w:val="none"/>
                <w:u w:val="none"/>
              </w:rPr>
            </w:pPr>
          </w:p>
        </w:tc>
      </w:tr>
      <w:tr w14:paraId="37D1F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3CD16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3FFC7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4E79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6.91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C7DBF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6.91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EE273">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1C215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25124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A8BD78">
            <w:pPr>
              <w:jc w:val="right"/>
              <w:rPr>
                <w:rFonts w:hint="default" w:ascii="Times New Roman" w:hAnsi="Times New Roman" w:eastAsia="宋体" w:cs="Times New Roman"/>
                <w:i w:val="0"/>
                <w:iCs w:val="0"/>
                <w:color w:val="000000"/>
                <w:sz w:val="20"/>
                <w:szCs w:val="20"/>
                <w:highlight w:val="none"/>
                <w:u w:val="none"/>
              </w:rPr>
            </w:pPr>
          </w:p>
        </w:tc>
      </w:tr>
      <w:tr w14:paraId="395AA0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F1D1E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2089999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68CA9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2A7EA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6.91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3DAED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6.91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35DAC9">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49BFF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51571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7FD356">
            <w:pPr>
              <w:jc w:val="right"/>
              <w:rPr>
                <w:rFonts w:hint="default" w:ascii="Times New Roman" w:hAnsi="Times New Roman" w:eastAsia="宋体" w:cs="Times New Roman"/>
                <w:i w:val="0"/>
                <w:iCs w:val="0"/>
                <w:color w:val="000000"/>
                <w:sz w:val="20"/>
                <w:szCs w:val="20"/>
                <w:highlight w:val="none"/>
                <w:u w:val="none"/>
              </w:rPr>
            </w:pPr>
          </w:p>
        </w:tc>
      </w:tr>
      <w:tr w14:paraId="2B1A9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092B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44671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91943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409.79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2BE63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409.79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9807E9">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F79C0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A3F3B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F6BF10">
            <w:pPr>
              <w:jc w:val="right"/>
              <w:rPr>
                <w:rFonts w:hint="default" w:ascii="Times New Roman" w:hAnsi="Times New Roman" w:eastAsia="宋体" w:cs="Times New Roman"/>
                <w:i w:val="0"/>
                <w:iCs w:val="0"/>
                <w:color w:val="000000"/>
                <w:sz w:val="20"/>
                <w:szCs w:val="20"/>
                <w:highlight w:val="none"/>
                <w:u w:val="none"/>
              </w:rPr>
            </w:pPr>
          </w:p>
        </w:tc>
      </w:tr>
      <w:tr w14:paraId="15C4C7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C4072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0F97C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行政事业部门医疗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FDFD5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409.79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9EDE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409.79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12CC75">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03F79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D7F0A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A991B1">
            <w:pPr>
              <w:jc w:val="right"/>
              <w:rPr>
                <w:rFonts w:hint="default" w:ascii="Times New Roman" w:hAnsi="Times New Roman" w:eastAsia="宋体" w:cs="Times New Roman"/>
                <w:i w:val="0"/>
                <w:iCs w:val="0"/>
                <w:color w:val="000000"/>
                <w:sz w:val="20"/>
                <w:szCs w:val="20"/>
                <w:highlight w:val="none"/>
                <w:u w:val="none"/>
              </w:rPr>
            </w:pPr>
          </w:p>
        </w:tc>
      </w:tr>
      <w:tr w14:paraId="5A7EEE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611CD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2BB07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行政部门医疗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67E37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247.79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204AB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247.79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2FB8D6">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791D7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EA2DB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145470">
            <w:pPr>
              <w:jc w:val="right"/>
              <w:rPr>
                <w:rFonts w:hint="default" w:ascii="Times New Roman" w:hAnsi="Times New Roman" w:eastAsia="宋体" w:cs="Times New Roman"/>
                <w:i w:val="0"/>
                <w:iCs w:val="0"/>
                <w:color w:val="000000"/>
                <w:sz w:val="20"/>
                <w:szCs w:val="20"/>
                <w:highlight w:val="none"/>
                <w:u w:val="none"/>
              </w:rPr>
            </w:pPr>
          </w:p>
        </w:tc>
      </w:tr>
      <w:tr w14:paraId="05F4CC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2FB4D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99257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公务员医疗补助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D11A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162.00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2F910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162.00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4B8DC2">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0361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78E84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C3299C">
            <w:pPr>
              <w:jc w:val="right"/>
              <w:rPr>
                <w:rFonts w:hint="default" w:ascii="Times New Roman" w:hAnsi="Times New Roman" w:eastAsia="宋体" w:cs="Times New Roman"/>
                <w:i w:val="0"/>
                <w:iCs w:val="0"/>
                <w:color w:val="000000"/>
                <w:sz w:val="20"/>
                <w:szCs w:val="20"/>
                <w:highlight w:val="none"/>
                <w:u w:val="none"/>
              </w:rPr>
            </w:pPr>
          </w:p>
        </w:tc>
      </w:tr>
      <w:tr w14:paraId="3F53AC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03776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D8CA8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BC747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661.31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7E71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661.31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C3ED35">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D51AC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76E12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687B93">
            <w:pPr>
              <w:jc w:val="right"/>
              <w:rPr>
                <w:rFonts w:hint="default" w:ascii="Times New Roman" w:hAnsi="Times New Roman" w:eastAsia="宋体" w:cs="Times New Roman"/>
                <w:i w:val="0"/>
                <w:iCs w:val="0"/>
                <w:color w:val="000000"/>
                <w:sz w:val="20"/>
                <w:szCs w:val="20"/>
                <w:highlight w:val="none"/>
                <w:u w:val="none"/>
              </w:rPr>
            </w:pPr>
          </w:p>
        </w:tc>
      </w:tr>
      <w:tr w14:paraId="452895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EBA4D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F01CB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9BE33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661.31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3BBBA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661.31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7AE9FF">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276DB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82D2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68638A">
            <w:pPr>
              <w:jc w:val="right"/>
              <w:rPr>
                <w:rFonts w:hint="default" w:ascii="Times New Roman" w:hAnsi="Times New Roman" w:eastAsia="宋体" w:cs="Times New Roman"/>
                <w:i w:val="0"/>
                <w:iCs w:val="0"/>
                <w:color w:val="000000"/>
                <w:sz w:val="20"/>
                <w:szCs w:val="20"/>
                <w:highlight w:val="none"/>
                <w:u w:val="none"/>
              </w:rPr>
            </w:pPr>
          </w:p>
        </w:tc>
      </w:tr>
      <w:tr w14:paraId="3DB467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F304C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18CA6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F1EF8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661.31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4C1AC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661.31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7574B6">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78ECF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7A0F8C">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A00B9D">
            <w:pPr>
              <w:jc w:val="right"/>
              <w:rPr>
                <w:rFonts w:hint="default" w:ascii="Times New Roman" w:hAnsi="Times New Roman" w:eastAsia="宋体" w:cs="Times New Roman"/>
                <w:i w:val="0"/>
                <w:iCs w:val="0"/>
                <w:color w:val="000000"/>
                <w:sz w:val="20"/>
                <w:szCs w:val="20"/>
                <w:highlight w:val="none"/>
                <w:u w:val="none"/>
              </w:rPr>
            </w:pPr>
          </w:p>
        </w:tc>
      </w:tr>
      <w:tr w14:paraId="6F217D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14:paraId="32774D16">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14:paraId="412CCE4D">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AF0A1ED">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614"/>
        <w:gridCol w:w="547"/>
        <w:gridCol w:w="893"/>
        <w:gridCol w:w="848"/>
        <w:gridCol w:w="485"/>
        <w:gridCol w:w="534"/>
        <w:gridCol w:w="866"/>
        <w:gridCol w:w="1094"/>
        <w:gridCol w:w="1213"/>
        <w:gridCol w:w="1079"/>
      </w:tblGrid>
      <w:tr w14:paraId="1B9425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0"/>
            <w:tcBorders>
              <w:top w:val="nil"/>
              <w:left w:val="nil"/>
              <w:bottom w:val="nil"/>
              <w:right w:val="nil"/>
            </w:tcBorders>
            <w:noWrap/>
            <w:vAlign w:val="bottom"/>
          </w:tcPr>
          <w:p w14:paraId="1DB8B3FE">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14:paraId="410623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0"/>
            <w:tcBorders>
              <w:top w:val="nil"/>
              <w:left w:val="nil"/>
              <w:bottom w:val="nil"/>
              <w:right w:val="nil"/>
            </w:tcBorders>
            <w:noWrap/>
            <w:vAlign w:val="bottom"/>
          </w:tcPr>
          <w:p w14:paraId="0353AA78">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7C822E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126" w:type="pct"/>
            <w:gridSpan w:val="4"/>
            <w:tcBorders>
              <w:top w:val="nil"/>
              <w:left w:val="nil"/>
              <w:bottom w:val="single" w:color="000000" w:themeColor="text1" w:sz="8" w:space="0"/>
              <w:right w:val="nil"/>
            </w:tcBorders>
            <w:noWrap/>
            <w:vAlign w:val="bottom"/>
          </w:tcPr>
          <w:p w14:paraId="0A2B7473">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部门（部门）：河北省石家庄市中级人民法院</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555" w:type="pct"/>
            <w:gridSpan w:val="2"/>
            <w:tcBorders>
              <w:top w:val="nil"/>
              <w:left w:val="nil"/>
              <w:bottom w:val="single" w:color="000000" w:themeColor="text1" w:sz="8" w:space="0"/>
              <w:right w:val="nil"/>
            </w:tcBorders>
            <w:noWrap/>
            <w:vAlign w:val="bottom"/>
          </w:tcPr>
          <w:p w14:paraId="526132B7">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317" w:type="pct"/>
            <w:gridSpan w:val="4"/>
            <w:tcBorders>
              <w:top w:val="nil"/>
              <w:left w:val="nil"/>
              <w:bottom w:val="single" w:color="000000" w:themeColor="text1" w:sz="8" w:space="0"/>
              <w:right w:val="nil"/>
            </w:tcBorders>
            <w:noWrap/>
            <w:vAlign w:val="bottom"/>
          </w:tcPr>
          <w:p w14:paraId="6DA48E08">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金额部门：万元</w:t>
            </w:r>
          </w:p>
        </w:tc>
      </w:tr>
      <w:tr w14:paraId="7AC637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64"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6F2C3D">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335"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59143">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14:paraId="34A3A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7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88011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9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983D92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48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075023">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72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B9AE30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9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1A1C83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47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A9CE4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9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9A37E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66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D8C40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F0FFC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14:paraId="34CA7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7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9089B2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9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0CE1D0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294384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2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28BC8E">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9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26F86A4">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7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E4D33E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9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76BF6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66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EE7FA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5967E6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63744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2FBB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3F281">
            <w:pPr>
              <w:jc w:val="center"/>
              <w:rPr>
                <w:rFonts w:hint="eastAsia" w:ascii="宋体" w:hAnsi="宋体" w:eastAsia="宋体" w:cs="宋体"/>
                <w:i w:val="0"/>
                <w:iCs w:val="0"/>
                <w:color w:val="000000"/>
                <w:sz w:val="20"/>
                <w:szCs w:val="20"/>
                <w:highlight w:val="none"/>
                <w:u w:val="none"/>
              </w:rPr>
            </w:pPr>
          </w:p>
        </w:tc>
        <w:tc>
          <w:tcPr>
            <w:tcW w:w="4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F658C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7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0EB42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FAFF06">
            <w:pPr>
              <w:jc w:val="center"/>
              <w:rPr>
                <w:rFonts w:hint="eastAsia" w:ascii="宋体" w:hAnsi="宋体" w:eastAsia="宋体" w:cs="宋体"/>
                <w:i w:val="0"/>
                <w:iCs w:val="0"/>
                <w:color w:val="000000"/>
                <w:sz w:val="20"/>
                <w:szCs w:val="20"/>
                <w:highlight w:val="none"/>
                <w:u w:val="none"/>
              </w:rPr>
            </w:pPr>
          </w:p>
        </w:tc>
        <w:tc>
          <w:tcPr>
            <w:tcW w:w="4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5F416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D18A1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46617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E158C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14:paraId="3D18C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F6B05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03B67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4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0E0D4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17,113.69</w:t>
            </w:r>
          </w:p>
        </w:tc>
        <w:tc>
          <w:tcPr>
            <w:tcW w:w="7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3428E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A823F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4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668D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812.27</w:t>
            </w:r>
          </w:p>
        </w:tc>
        <w:tc>
          <w:tcPr>
            <w:tcW w:w="5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79F8C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812.27</w:t>
            </w:r>
          </w:p>
        </w:tc>
        <w:tc>
          <w:tcPr>
            <w:tcW w:w="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7B3961">
            <w:pPr>
              <w:jc w:val="right"/>
              <w:rPr>
                <w:rFonts w:hint="default" w:ascii="Times New Roman" w:hAnsi="Times New Roman" w:eastAsia="宋体" w:cs="Times New Roman"/>
                <w:i w:val="0"/>
                <w:iCs w:val="0"/>
                <w:color w:val="000000"/>
                <w:sz w:val="20"/>
                <w:szCs w:val="20"/>
                <w:highlight w:val="none"/>
                <w:u w:val="none"/>
              </w:rPr>
            </w:pPr>
          </w:p>
        </w:tc>
        <w:tc>
          <w:tcPr>
            <w:tcW w:w="5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5FFA86">
            <w:pPr>
              <w:jc w:val="right"/>
              <w:rPr>
                <w:rFonts w:hint="default" w:ascii="Times New Roman" w:hAnsi="Times New Roman" w:eastAsia="宋体" w:cs="Times New Roman"/>
                <w:i w:val="0"/>
                <w:iCs w:val="0"/>
                <w:color w:val="000000"/>
                <w:sz w:val="20"/>
                <w:szCs w:val="20"/>
                <w:highlight w:val="none"/>
                <w:u w:val="none"/>
              </w:rPr>
            </w:pPr>
          </w:p>
        </w:tc>
      </w:tr>
      <w:tr w14:paraId="0EB9C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90BFB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2486C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4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9238F8">
            <w:pPr>
              <w:jc w:val="right"/>
              <w:rPr>
                <w:rFonts w:hint="default" w:ascii="Times New Roman" w:hAnsi="Times New Roman" w:eastAsia="宋体" w:cs="Times New Roman"/>
                <w:i w:val="0"/>
                <w:iCs w:val="0"/>
                <w:color w:val="000000"/>
                <w:sz w:val="20"/>
                <w:szCs w:val="20"/>
                <w:highlight w:val="none"/>
                <w:u w:val="none"/>
              </w:rPr>
            </w:pPr>
          </w:p>
        </w:tc>
        <w:tc>
          <w:tcPr>
            <w:tcW w:w="7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F7DB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3B813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4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5B7DA4">
            <w:pPr>
              <w:jc w:val="right"/>
              <w:rPr>
                <w:rFonts w:hint="default" w:ascii="Times New Roman" w:hAnsi="Times New Roman" w:eastAsia="宋体" w:cs="Times New Roman"/>
                <w:i w:val="0"/>
                <w:iCs w:val="0"/>
                <w:color w:val="000000"/>
                <w:sz w:val="20"/>
                <w:szCs w:val="20"/>
                <w:highlight w:val="none"/>
                <w:u w:val="none"/>
              </w:rPr>
            </w:pPr>
          </w:p>
        </w:tc>
        <w:tc>
          <w:tcPr>
            <w:tcW w:w="5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42D598">
            <w:pPr>
              <w:jc w:val="right"/>
              <w:rPr>
                <w:rFonts w:hint="default" w:ascii="Times New Roman" w:hAnsi="Times New Roman" w:eastAsia="宋体" w:cs="Times New Roman"/>
                <w:i w:val="0"/>
                <w:iCs w:val="0"/>
                <w:color w:val="000000"/>
                <w:sz w:val="20"/>
                <w:szCs w:val="20"/>
                <w:highlight w:val="none"/>
                <w:u w:val="none"/>
              </w:rPr>
            </w:pPr>
          </w:p>
        </w:tc>
        <w:tc>
          <w:tcPr>
            <w:tcW w:w="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C09850">
            <w:pPr>
              <w:jc w:val="right"/>
              <w:rPr>
                <w:rFonts w:hint="default" w:ascii="Times New Roman" w:hAnsi="Times New Roman" w:eastAsia="宋体" w:cs="Times New Roman"/>
                <w:i w:val="0"/>
                <w:iCs w:val="0"/>
                <w:color w:val="000000"/>
                <w:sz w:val="20"/>
                <w:szCs w:val="20"/>
                <w:highlight w:val="none"/>
                <w:u w:val="none"/>
              </w:rPr>
            </w:pPr>
          </w:p>
        </w:tc>
        <w:tc>
          <w:tcPr>
            <w:tcW w:w="5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680462">
            <w:pPr>
              <w:jc w:val="right"/>
              <w:rPr>
                <w:rFonts w:hint="default" w:ascii="Times New Roman" w:hAnsi="Times New Roman" w:eastAsia="宋体" w:cs="Times New Roman"/>
                <w:i w:val="0"/>
                <w:iCs w:val="0"/>
                <w:color w:val="000000"/>
                <w:sz w:val="20"/>
                <w:szCs w:val="20"/>
                <w:highlight w:val="none"/>
                <w:u w:val="none"/>
              </w:rPr>
            </w:pPr>
          </w:p>
        </w:tc>
      </w:tr>
      <w:tr w14:paraId="36116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1037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C92C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4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A90EA4">
            <w:pPr>
              <w:jc w:val="right"/>
              <w:rPr>
                <w:rFonts w:hint="default" w:ascii="Times New Roman" w:hAnsi="Times New Roman" w:eastAsia="宋体" w:cs="Times New Roman"/>
                <w:i w:val="0"/>
                <w:iCs w:val="0"/>
                <w:color w:val="000000"/>
                <w:sz w:val="20"/>
                <w:szCs w:val="20"/>
                <w:highlight w:val="none"/>
                <w:u w:val="none"/>
              </w:rPr>
            </w:pPr>
          </w:p>
        </w:tc>
        <w:tc>
          <w:tcPr>
            <w:tcW w:w="7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4E997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649CB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4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1AD1E6">
            <w:pPr>
              <w:jc w:val="right"/>
              <w:rPr>
                <w:rFonts w:hint="default" w:ascii="Times New Roman" w:hAnsi="Times New Roman" w:eastAsia="宋体" w:cs="Times New Roman"/>
                <w:i w:val="0"/>
                <w:iCs w:val="0"/>
                <w:color w:val="000000"/>
                <w:sz w:val="20"/>
                <w:szCs w:val="20"/>
                <w:highlight w:val="none"/>
                <w:u w:val="none"/>
              </w:rPr>
            </w:pPr>
          </w:p>
        </w:tc>
        <w:tc>
          <w:tcPr>
            <w:tcW w:w="5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E37C5B">
            <w:pPr>
              <w:jc w:val="right"/>
              <w:rPr>
                <w:rFonts w:hint="default" w:ascii="Times New Roman" w:hAnsi="Times New Roman" w:eastAsia="宋体" w:cs="Times New Roman"/>
                <w:i w:val="0"/>
                <w:iCs w:val="0"/>
                <w:color w:val="000000"/>
                <w:sz w:val="20"/>
                <w:szCs w:val="20"/>
                <w:highlight w:val="none"/>
                <w:u w:val="none"/>
              </w:rPr>
            </w:pPr>
          </w:p>
        </w:tc>
        <w:tc>
          <w:tcPr>
            <w:tcW w:w="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492418">
            <w:pPr>
              <w:jc w:val="right"/>
              <w:rPr>
                <w:rFonts w:hint="default" w:ascii="Times New Roman" w:hAnsi="Times New Roman" w:eastAsia="宋体" w:cs="Times New Roman"/>
                <w:i w:val="0"/>
                <w:iCs w:val="0"/>
                <w:color w:val="000000"/>
                <w:sz w:val="20"/>
                <w:szCs w:val="20"/>
                <w:highlight w:val="none"/>
                <w:u w:val="none"/>
              </w:rPr>
            </w:pPr>
          </w:p>
        </w:tc>
        <w:tc>
          <w:tcPr>
            <w:tcW w:w="5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B1DBE2">
            <w:pPr>
              <w:jc w:val="right"/>
              <w:rPr>
                <w:rFonts w:hint="default" w:ascii="Times New Roman" w:hAnsi="Times New Roman" w:eastAsia="宋体" w:cs="Times New Roman"/>
                <w:i w:val="0"/>
                <w:iCs w:val="0"/>
                <w:color w:val="000000"/>
                <w:sz w:val="20"/>
                <w:szCs w:val="20"/>
                <w:highlight w:val="none"/>
                <w:u w:val="none"/>
              </w:rPr>
            </w:pPr>
          </w:p>
        </w:tc>
      </w:tr>
      <w:tr w14:paraId="32E9B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5E2B38">
            <w:pPr>
              <w:jc w:val="left"/>
              <w:rPr>
                <w:rFonts w:hint="eastAsia" w:ascii="宋体" w:hAnsi="宋体" w:eastAsia="宋体" w:cs="宋体"/>
                <w:i w:val="0"/>
                <w:iCs w:val="0"/>
                <w:color w:val="000000"/>
                <w:sz w:val="20"/>
                <w:szCs w:val="20"/>
                <w:highlight w:val="none"/>
                <w:u w:val="none"/>
              </w:rPr>
            </w:pP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E25A7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4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269CC1">
            <w:pPr>
              <w:jc w:val="right"/>
              <w:rPr>
                <w:rFonts w:hint="default" w:ascii="Times New Roman" w:hAnsi="Times New Roman" w:eastAsia="宋体" w:cs="Times New Roman"/>
                <w:i w:val="0"/>
                <w:iCs w:val="0"/>
                <w:color w:val="000000"/>
                <w:sz w:val="20"/>
                <w:szCs w:val="20"/>
                <w:highlight w:val="none"/>
                <w:u w:val="none"/>
              </w:rPr>
            </w:pPr>
          </w:p>
        </w:tc>
        <w:tc>
          <w:tcPr>
            <w:tcW w:w="7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59272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95E96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4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CD5A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12,510.98</w:t>
            </w:r>
          </w:p>
        </w:tc>
        <w:tc>
          <w:tcPr>
            <w:tcW w:w="5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7E5CE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12,510.98</w:t>
            </w:r>
          </w:p>
        </w:tc>
        <w:tc>
          <w:tcPr>
            <w:tcW w:w="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DB7DD6">
            <w:pPr>
              <w:jc w:val="right"/>
              <w:rPr>
                <w:rFonts w:hint="default" w:ascii="Times New Roman" w:hAnsi="Times New Roman" w:eastAsia="宋体" w:cs="Times New Roman"/>
                <w:i w:val="0"/>
                <w:iCs w:val="0"/>
                <w:color w:val="000000"/>
                <w:sz w:val="20"/>
                <w:szCs w:val="20"/>
                <w:highlight w:val="none"/>
                <w:u w:val="none"/>
              </w:rPr>
            </w:pPr>
          </w:p>
        </w:tc>
        <w:tc>
          <w:tcPr>
            <w:tcW w:w="5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0F9F64">
            <w:pPr>
              <w:jc w:val="right"/>
              <w:rPr>
                <w:rFonts w:hint="default" w:ascii="Times New Roman" w:hAnsi="Times New Roman" w:eastAsia="宋体" w:cs="Times New Roman"/>
                <w:i w:val="0"/>
                <w:iCs w:val="0"/>
                <w:color w:val="000000"/>
                <w:sz w:val="20"/>
                <w:szCs w:val="20"/>
                <w:highlight w:val="none"/>
                <w:u w:val="none"/>
              </w:rPr>
            </w:pPr>
          </w:p>
        </w:tc>
      </w:tr>
      <w:tr w14:paraId="0F19AF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7A77F0">
            <w:pPr>
              <w:jc w:val="left"/>
              <w:rPr>
                <w:rFonts w:hint="eastAsia" w:ascii="宋体" w:hAnsi="宋体" w:eastAsia="宋体" w:cs="宋体"/>
                <w:i w:val="0"/>
                <w:iCs w:val="0"/>
                <w:color w:val="000000"/>
                <w:sz w:val="20"/>
                <w:szCs w:val="20"/>
                <w:highlight w:val="none"/>
                <w:u w:val="none"/>
              </w:rPr>
            </w:pP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F3311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4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FC6FD5">
            <w:pPr>
              <w:jc w:val="right"/>
              <w:rPr>
                <w:rFonts w:hint="default" w:ascii="Times New Roman" w:hAnsi="Times New Roman" w:eastAsia="宋体" w:cs="Times New Roman"/>
                <w:i w:val="0"/>
                <w:iCs w:val="0"/>
                <w:color w:val="000000"/>
                <w:sz w:val="20"/>
                <w:szCs w:val="20"/>
                <w:highlight w:val="none"/>
                <w:u w:val="none"/>
              </w:rPr>
            </w:pPr>
          </w:p>
        </w:tc>
        <w:tc>
          <w:tcPr>
            <w:tcW w:w="7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22EB9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5417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4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990505">
            <w:pPr>
              <w:jc w:val="right"/>
              <w:rPr>
                <w:rFonts w:hint="default" w:ascii="Times New Roman" w:hAnsi="Times New Roman" w:eastAsia="宋体" w:cs="Times New Roman"/>
                <w:i w:val="0"/>
                <w:iCs w:val="0"/>
                <w:color w:val="000000"/>
                <w:sz w:val="20"/>
                <w:szCs w:val="20"/>
                <w:highlight w:val="none"/>
                <w:u w:val="none"/>
              </w:rPr>
            </w:pPr>
          </w:p>
        </w:tc>
        <w:tc>
          <w:tcPr>
            <w:tcW w:w="5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A777D4">
            <w:pPr>
              <w:jc w:val="right"/>
              <w:rPr>
                <w:rFonts w:hint="default" w:ascii="Times New Roman" w:hAnsi="Times New Roman" w:eastAsia="宋体" w:cs="Times New Roman"/>
                <w:i w:val="0"/>
                <w:iCs w:val="0"/>
                <w:color w:val="000000"/>
                <w:sz w:val="20"/>
                <w:szCs w:val="20"/>
                <w:highlight w:val="none"/>
                <w:u w:val="none"/>
              </w:rPr>
            </w:pPr>
          </w:p>
        </w:tc>
        <w:tc>
          <w:tcPr>
            <w:tcW w:w="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44B63">
            <w:pPr>
              <w:jc w:val="right"/>
              <w:rPr>
                <w:rFonts w:hint="default" w:ascii="Times New Roman" w:hAnsi="Times New Roman" w:eastAsia="宋体" w:cs="Times New Roman"/>
                <w:i w:val="0"/>
                <w:iCs w:val="0"/>
                <w:color w:val="000000"/>
                <w:sz w:val="20"/>
                <w:szCs w:val="20"/>
                <w:highlight w:val="none"/>
                <w:u w:val="none"/>
              </w:rPr>
            </w:pPr>
          </w:p>
        </w:tc>
        <w:tc>
          <w:tcPr>
            <w:tcW w:w="5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834C37">
            <w:pPr>
              <w:jc w:val="right"/>
              <w:rPr>
                <w:rFonts w:hint="default" w:ascii="Times New Roman" w:hAnsi="Times New Roman" w:eastAsia="宋体" w:cs="Times New Roman"/>
                <w:i w:val="0"/>
                <w:iCs w:val="0"/>
                <w:color w:val="000000"/>
                <w:sz w:val="20"/>
                <w:szCs w:val="20"/>
                <w:highlight w:val="none"/>
                <w:u w:val="none"/>
              </w:rPr>
            </w:pPr>
          </w:p>
        </w:tc>
      </w:tr>
      <w:tr w14:paraId="6CC7EB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8C0D2E">
            <w:pPr>
              <w:jc w:val="left"/>
              <w:rPr>
                <w:rFonts w:hint="eastAsia" w:ascii="宋体" w:hAnsi="宋体" w:eastAsia="宋体" w:cs="宋体"/>
                <w:i w:val="0"/>
                <w:iCs w:val="0"/>
                <w:color w:val="000000"/>
                <w:sz w:val="20"/>
                <w:szCs w:val="20"/>
                <w:highlight w:val="none"/>
                <w:u w:val="none"/>
              </w:rPr>
            </w:pP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B44A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4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0B5ACC">
            <w:pPr>
              <w:jc w:val="right"/>
              <w:rPr>
                <w:rFonts w:hint="default" w:ascii="Times New Roman" w:hAnsi="Times New Roman" w:eastAsia="宋体" w:cs="Times New Roman"/>
                <w:i w:val="0"/>
                <w:iCs w:val="0"/>
                <w:color w:val="000000"/>
                <w:sz w:val="20"/>
                <w:szCs w:val="20"/>
                <w:highlight w:val="none"/>
                <w:u w:val="none"/>
              </w:rPr>
            </w:pPr>
          </w:p>
        </w:tc>
        <w:tc>
          <w:tcPr>
            <w:tcW w:w="7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9CE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FE661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4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9C2761">
            <w:pPr>
              <w:jc w:val="right"/>
              <w:rPr>
                <w:rFonts w:hint="default" w:ascii="Times New Roman" w:hAnsi="Times New Roman" w:eastAsia="宋体" w:cs="Times New Roman"/>
                <w:i w:val="0"/>
                <w:iCs w:val="0"/>
                <w:color w:val="000000"/>
                <w:sz w:val="20"/>
                <w:szCs w:val="20"/>
                <w:highlight w:val="none"/>
                <w:u w:val="none"/>
              </w:rPr>
            </w:pPr>
          </w:p>
        </w:tc>
        <w:tc>
          <w:tcPr>
            <w:tcW w:w="5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22054E">
            <w:pPr>
              <w:jc w:val="right"/>
              <w:rPr>
                <w:rFonts w:hint="default" w:ascii="Times New Roman" w:hAnsi="Times New Roman" w:eastAsia="宋体" w:cs="Times New Roman"/>
                <w:i w:val="0"/>
                <w:iCs w:val="0"/>
                <w:color w:val="000000"/>
                <w:sz w:val="20"/>
                <w:szCs w:val="20"/>
                <w:highlight w:val="none"/>
                <w:u w:val="none"/>
              </w:rPr>
            </w:pPr>
          </w:p>
        </w:tc>
        <w:tc>
          <w:tcPr>
            <w:tcW w:w="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411F9B">
            <w:pPr>
              <w:jc w:val="right"/>
              <w:rPr>
                <w:rFonts w:hint="default" w:ascii="Times New Roman" w:hAnsi="Times New Roman" w:eastAsia="宋体" w:cs="Times New Roman"/>
                <w:i w:val="0"/>
                <w:iCs w:val="0"/>
                <w:color w:val="000000"/>
                <w:sz w:val="20"/>
                <w:szCs w:val="20"/>
                <w:highlight w:val="none"/>
                <w:u w:val="none"/>
              </w:rPr>
            </w:pPr>
          </w:p>
        </w:tc>
        <w:tc>
          <w:tcPr>
            <w:tcW w:w="5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B68605">
            <w:pPr>
              <w:jc w:val="right"/>
              <w:rPr>
                <w:rFonts w:hint="default" w:ascii="Times New Roman" w:hAnsi="Times New Roman" w:eastAsia="宋体" w:cs="Times New Roman"/>
                <w:i w:val="0"/>
                <w:iCs w:val="0"/>
                <w:color w:val="000000"/>
                <w:sz w:val="20"/>
                <w:szCs w:val="20"/>
                <w:highlight w:val="none"/>
                <w:u w:val="none"/>
              </w:rPr>
            </w:pPr>
          </w:p>
        </w:tc>
      </w:tr>
      <w:tr w14:paraId="25E94E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97ABE4">
            <w:pPr>
              <w:jc w:val="left"/>
              <w:rPr>
                <w:rFonts w:hint="eastAsia" w:ascii="宋体" w:hAnsi="宋体" w:eastAsia="宋体" w:cs="宋体"/>
                <w:i w:val="0"/>
                <w:iCs w:val="0"/>
                <w:color w:val="000000"/>
                <w:sz w:val="20"/>
                <w:szCs w:val="20"/>
                <w:highlight w:val="none"/>
                <w:u w:val="none"/>
              </w:rPr>
            </w:pP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0C1A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4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E366BA">
            <w:pPr>
              <w:jc w:val="right"/>
              <w:rPr>
                <w:rFonts w:hint="default" w:ascii="Times New Roman" w:hAnsi="Times New Roman" w:eastAsia="宋体" w:cs="Times New Roman"/>
                <w:i w:val="0"/>
                <w:iCs w:val="0"/>
                <w:color w:val="000000"/>
                <w:sz w:val="20"/>
                <w:szCs w:val="20"/>
                <w:highlight w:val="none"/>
                <w:u w:val="none"/>
              </w:rPr>
            </w:pPr>
          </w:p>
        </w:tc>
        <w:tc>
          <w:tcPr>
            <w:tcW w:w="7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0429E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DCDE3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4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5836A3">
            <w:pPr>
              <w:jc w:val="right"/>
              <w:rPr>
                <w:rFonts w:hint="default" w:ascii="Times New Roman" w:hAnsi="Times New Roman" w:eastAsia="宋体" w:cs="Times New Roman"/>
                <w:i w:val="0"/>
                <w:iCs w:val="0"/>
                <w:color w:val="000000"/>
                <w:sz w:val="20"/>
                <w:szCs w:val="20"/>
                <w:highlight w:val="none"/>
                <w:u w:val="none"/>
              </w:rPr>
            </w:pPr>
          </w:p>
        </w:tc>
        <w:tc>
          <w:tcPr>
            <w:tcW w:w="5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9D9783">
            <w:pPr>
              <w:jc w:val="right"/>
              <w:rPr>
                <w:rFonts w:hint="default" w:ascii="Times New Roman" w:hAnsi="Times New Roman" w:eastAsia="宋体" w:cs="Times New Roman"/>
                <w:i w:val="0"/>
                <w:iCs w:val="0"/>
                <w:color w:val="000000"/>
                <w:sz w:val="20"/>
                <w:szCs w:val="20"/>
                <w:highlight w:val="none"/>
                <w:u w:val="none"/>
              </w:rPr>
            </w:pPr>
          </w:p>
        </w:tc>
        <w:tc>
          <w:tcPr>
            <w:tcW w:w="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1B0BDB">
            <w:pPr>
              <w:jc w:val="right"/>
              <w:rPr>
                <w:rFonts w:hint="default" w:ascii="Times New Roman" w:hAnsi="Times New Roman" w:eastAsia="宋体" w:cs="Times New Roman"/>
                <w:i w:val="0"/>
                <w:iCs w:val="0"/>
                <w:color w:val="000000"/>
                <w:sz w:val="20"/>
                <w:szCs w:val="20"/>
                <w:highlight w:val="none"/>
                <w:u w:val="none"/>
              </w:rPr>
            </w:pPr>
          </w:p>
        </w:tc>
        <w:tc>
          <w:tcPr>
            <w:tcW w:w="5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1F0E41">
            <w:pPr>
              <w:jc w:val="right"/>
              <w:rPr>
                <w:rFonts w:hint="default" w:ascii="Times New Roman" w:hAnsi="Times New Roman" w:eastAsia="宋体" w:cs="Times New Roman"/>
                <w:i w:val="0"/>
                <w:iCs w:val="0"/>
                <w:color w:val="000000"/>
                <w:sz w:val="20"/>
                <w:szCs w:val="20"/>
                <w:highlight w:val="none"/>
                <w:u w:val="none"/>
              </w:rPr>
            </w:pPr>
          </w:p>
        </w:tc>
      </w:tr>
      <w:tr w14:paraId="71FBF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C3FBDC">
            <w:pPr>
              <w:jc w:val="left"/>
              <w:rPr>
                <w:rFonts w:hint="eastAsia" w:ascii="宋体" w:hAnsi="宋体" w:eastAsia="宋体" w:cs="宋体"/>
                <w:i w:val="0"/>
                <w:iCs w:val="0"/>
                <w:color w:val="000000"/>
                <w:sz w:val="20"/>
                <w:szCs w:val="20"/>
                <w:highlight w:val="none"/>
                <w:u w:val="none"/>
              </w:rPr>
            </w:pP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5B933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4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436A2B">
            <w:pPr>
              <w:jc w:val="right"/>
              <w:rPr>
                <w:rFonts w:hint="default" w:ascii="Times New Roman" w:hAnsi="Times New Roman" w:eastAsia="宋体" w:cs="Times New Roman"/>
                <w:i w:val="0"/>
                <w:iCs w:val="0"/>
                <w:color w:val="000000"/>
                <w:sz w:val="20"/>
                <w:szCs w:val="20"/>
                <w:highlight w:val="none"/>
                <w:u w:val="none"/>
              </w:rPr>
            </w:pPr>
          </w:p>
        </w:tc>
        <w:tc>
          <w:tcPr>
            <w:tcW w:w="7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93746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3A032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4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11FC1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2,719.34</w:t>
            </w:r>
          </w:p>
        </w:tc>
        <w:tc>
          <w:tcPr>
            <w:tcW w:w="5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96049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2,719.34</w:t>
            </w:r>
          </w:p>
        </w:tc>
        <w:tc>
          <w:tcPr>
            <w:tcW w:w="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F4051C">
            <w:pPr>
              <w:jc w:val="right"/>
              <w:rPr>
                <w:rFonts w:hint="default" w:ascii="Times New Roman" w:hAnsi="Times New Roman" w:eastAsia="宋体" w:cs="Times New Roman"/>
                <w:i w:val="0"/>
                <w:iCs w:val="0"/>
                <w:color w:val="000000"/>
                <w:sz w:val="20"/>
                <w:szCs w:val="20"/>
                <w:highlight w:val="none"/>
                <w:u w:val="none"/>
              </w:rPr>
            </w:pPr>
          </w:p>
        </w:tc>
        <w:tc>
          <w:tcPr>
            <w:tcW w:w="5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8BD351">
            <w:pPr>
              <w:jc w:val="right"/>
              <w:rPr>
                <w:rFonts w:hint="default" w:ascii="Times New Roman" w:hAnsi="Times New Roman" w:eastAsia="宋体" w:cs="Times New Roman"/>
                <w:i w:val="0"/>
                <w:iCs w:val="0"/>
                <w:color w:val="000000"/>
                <w:sz w:val="20"/>
                <w:szCs w:val="20"/>
                <w:highlight w:val="none"/>
                <w:u w:val="none"/>
              </w:rPr>
            </w:pPr>
          </w:p>
        </w:tc>
      </w:tr>
      <w:tr w14:paraId="76A2F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E9C2A6">
            <w:pPr>
              <w:jc w:val="left"/>
              <w:rPr>
                <w:rFonts w:hint="eastAsia" w:ascii="宋体" w:hAnsi="宋体" w:eastAsia="宋体" w:cs="宋体"/>
                <w:i w:val="0"/>
                <w:iCs w:val="0"/>
                <w:color w:val="000000"/>
                <w:sz w:val="20"/>
                <w:szCs w:val="20"/>
                <w:highlight w:val="none"/>
                <w:u w:val="none"/>
              </w:rPr>
            </w:pP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B308A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4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C6856D">
            <w:pPr>
              <w:jc w:val="right"/>
              <w:rPr>
                <w:rFonts w:hint="default" w:ascii="Times New Roman" w:hAnsi="Times New Roman" w:eastAsia="宋体" w:cs="Times New Roman"/>
                <w:i w:val="0"/>
                <w:iCs w:val="0"/>
                <w:color w:val="000000"/>
                <w:sz w:val="20"/>
                <w:szCs w:val="20"/>
                <w:highlight w:val="none"/>
                <w:u w:val="none"/>
              </w:rPr>
            </w:pPr>
          </w:p>
        </w:tc>
        <w:tc>
          <w:tcPr>
            <w:tcW w:w="7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A5A57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BB570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4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99D44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409.79</w:t>
            </w:r>
          </w:p>
        </w:tc>
        <w:tc>
          <w:tcPr>
            <w:tcW w:w="5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6E19F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409.79</w:t>
            </w:r>
          </w:p>
        </w:tc>
        <w:tc>
          <w:tcPr>
            <w:tcW w:w="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DDBF96">
            <w:pPr>
              <w:jc w:val="right"/>
              <w:rPr>
                <w:rFonts w:hint="default" w:ascii="Times New Roman" w:hAnsi="Times New Roman" w:eastAsia="宋体" w:cs="Times New Roman"/>
                <w:i w:val="0"/>
                <w:iCs w:val="0"/>
                <w:color w:val="000000"/>
                <w:sz w:val="20"/>
                <w:szCs w:val="20"/>
                <w:highlight w:val="none"/>
                <w:u w:val="none"/>
              </w:rPr>
            </w:pPr>
          </w:p>
        </w:tc>
        <w:tc>
          <w:tcPr>
            <w:tcW w:w="5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9500EC">
            <w:pPr>
              <w:jc w:val="right"/>
              <w:rPr>
                <w:rFonts w:hint="default" w:ascii="Times New Roman" w:hAnsi="Times New Roman" w:eastAsia="宋体" w:cs="Times New Roman"/>
                <w:i w:val="0"/>
                <w:iCs w:val="0"/>
                <w:color w:val="000000"/>
                <w:sz w:val="20"/>
                <w:szCs w:val="20"/>
                <w:highlight w:val="none"/>
                <w:u w:val="none"/>
              </w:rPr>
            </w:pPr>
          </w:p>
        </w:tc>
      </w:tr>
      <w:tr w14:paraId="6728AB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7981ED">
            <w:pPr>
              <w:jc w:val="left"/>
              <w:rPr>
                <w:rFonts w:hint="eastAsia" w:ascii="宋体" w:hAnsi="宋体" w:eastAsia="宋体" w:cs="宋体"/>
                <w:i w:val="0"/>
                <w:iCs w:val="0"/>
                <w:color w:val="000000"/>
                <w:sz w:val="20"/>
                <w:szCs w:val="20"/>
                <w:highlight w:val="none"/>
                <w:u w:val="none"/>
              </w:rPr>
            </w:pP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930C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4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DAA1EC">
            <w:pPr>
              <w:jc w:val="right"/>
              <w:rPr>
                <w:rFonts w:hint="default" w:ascii="Times New Roman" w:hAnsi="Times New Roman" w:eastAsia="宋体" w:cs="Times New Roman"/>
                <w:i w:val="0"/>
                <w:iCs w:val="0"/>
                <w:color w:val="000000"/>
                <w:sz w:val="20"/>
                <w:szCs w:val="20"/>
                <w:highlight w:val="none"/>
                <w:u w:val="none"/>
              </w:rPr>
            </w:pPr>
          </w:p>
        </w:tc>
        <w:tc>
          <w:tcPr>
            <w:tcW w:w="7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FE699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DED2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4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C4CC57">
            <w:pPr>
              <w:jc w:val="right"/>
              <w:rPr>
                <w:rFonts w:hint="default" w:ascii="Times New Roman" w:hAnsi="Times New Roman" w:eastAsia="宋体" w:cs="Times New Roman"/>
                <w:i w:val="0"/>
                <w:iCs w:val="0"/>
                <w:color w:val="000000"/>
                <w:sz w:val="20"/>
                <w:szCs w:val="20"/>
                <w:highlight w:val="none"/>
                <w:u w:val="none"/>
              </w:rPr>
            </w:pPr>
          </w:p>
        </w:tc>
        <w:tc>
          <w:tcPr>
            <w:tcW w:w="5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1D8928">
            <w:pPr>
              <w:jc w:val="right"/>
              <w:rPr>
                <w:rFonts w:hint="default" w:ascii="Times New Roman" w:hAnsi="Times New Roman" w:eastAsia="宋体" w:cs="Times New Roman"/>
                <w:i w:val="0"/>
                <w:iCs w:val="0"/>
                <w:color w:val="000000"/>
                <w:sz w:val="20"/>
                <w:szCs w:val="20"/>
                <w:highlight w:val="none"/>
                <w:u w:val="none"/>
              </w:rPr>
            </w:pPr>
          </w:p>
        </w:tc>
        <w:tc>
          <w:tcPr>
            <w:tcW w:w="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6BE039">
            <w:pPr>
              <w:jc w:val="right"/>
              <w:rPr>
                <w:rFonts w:hint="default" w:ascii="Times New Roman" w:hAnsi="Times New Roman" w:eastAsia="宋体" w:cs="Times New Roman"/>
                <w:i w:val="0"/>
                <w:iCs w:val="0"/>
                <w:color w:val="000000"/>
                <w:sz w:val="20"/>
                <w:szCs w:val="20"/>
                <w:highlight w:val="none"/>
                <w:u w:val="none"/>
              </w:rPr>
            </w:pPr>
          </w:p>
        </w:tc>
        <w:tc>
          <w:tcPr>
            <w:tcW w:w="5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8F7816">
            <w:pPr>
              <w:jc w:val="right"/>
              <w:rPr>
                <w:rFonts w:hint="default" w:ascii="Times New Roman" w:hAnsi="Times New Roman" w:eastAsia="宋体" w:cs="Times New Roman"/>
                <w:i w:val="0"/>
                <w:iCs w:val="0"/>
                <w:color w:val="000000"/>
                <w:sz w:val="20"/>
                <w:szCs w:val="20"/>
                <w:highlight w:val="none"/>
                <w:u w:val="none"/>
              </w:rPr>
            </w:pPr>
          </w:p>
        </w:tc>
      </w:tr>
      <w:tr w14:paraId="03C28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48772">
            <w:pPr>
              <w:jc w:val="left"/>
              <w:rPr>
                <w:rFonts w:hint="eastAsia" w:ascii="宋体" w:hAnsi="宋体" w:eastAsia="宋体" w:cs="宋体"/>
                <w:i w:val="0"/>
                <w:iCs w:val="0"/>
                <w:color w:val="000000"/>
                <w:sz w:val="20"/>
                <w:szCs w:val="20"/>
                <w:highlight w:val="none"/>
                <w:u w:val="none"/>
              </w:rPr>
            </w:pP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5C0AA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4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489EC7">
            <w:pPr>
              <w:jc w:val="right"/>
              <w:rPr>
                <w:rFonts w:hint="default" w:ascii="Times New Roman" w:hAnsi="Times New Roman" w:eastAsia="宋体" w:cs="Times New Roman"/>
                <w:i w:val="0"/>
                <w:iCs w:val="0"/>
                <w:color w:val="000000"/>
                <w:sz w:val="20"/>
                <w:szCs w:val="20"/>
                <w:highlight w:val="none"/>
                <w:u w:val="none"/>
              </w:rPr>
            </w:pPr>
          </w:p>
        </w:tc>
        <w:tc>
          <w:tcPr>
            <w:tcW w:w="7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E873C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00C28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4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E501BE">
            <w:pPr>
              <w:jc w:val="right"/>
              <w:rPr>
                <w:rFonts w:hint="default" w:ascii="Times New Roman" w:hAnsi="Times New Roman" w:eastAsia="宋体" w:cs="Times New Roman"/>
                <w:i w:val="0"/>
                <w:iCs w:val="0"/>
                <w:color w:val="000000"/>
                <w:sz w:val="20"/>
                <w:szCs w:val="20"/>
                <w:highlight w:val="none"/>
                <w:u w:val="none"/>
              </w:rPr>
            </w:pPr>
          </w:p>
        </w:tc>
        <w:tc>
          <w:tcPr>
            <w:tcW w:w="5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3570DA">
            <w:pPr>
              <w:jc w:val="right"/>
              <w:rPr>
                <w:rFonts w:hint="default" w:ascii="Times New Roman" w:hAnsi="Times New Roman" w:eastAsia="宋体" w:cs="Times New Roman"/>
                <w:i w:val="0"/>
                <w:iCs w:val="0"/>
                <w:color w:val="000000"/>
                <w:sz w:val="20"/>
                <w:szCs w:val="20"/>
                <w:highlight w:val="none"/>
                <w:u w:val="none"/>
              </w:rPr>
            </w:pPr>
          </w:p>
        </w:tc>
        <w:tc>
          <w:tcPr>
            <w:tcW w:w="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11F722">
            <w:pPr>
              <w:jc w:val="right"/>
              <w:rPr>
                <w:rFonts w:hint="default" w:ascii="Times New Roman" w:hAnsi="Times New Roman" w:eastAsia="宋体" w:cs="Times New Roman"/>
                <w:i w:val="0"/>
                <w:iCs w:val="0"/>
                <w:color w:val="000000"/>
                <w:sz w:val="20"/>
                <w:szCs w:val="20"/>
                <w:highlight w:val="none"/>
                <w:u w:val="none"/>
              </w:rPr>
            </w:pPr>
          </w:p>
        </w:tc>
        <w:tc>
          <w:tcPr>
            <w:tcW w:w="5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EAD27A">
            <w:pPr>
              <w:jc w:val="right"/>
              <w:rPr>
                <w:rFonts w:hint="default" w:ascii="Times New Roman" w:hAnsi="Times New Roman" w:eastAsia="宋体" w:cs="Times New Roman"/>
                <w:i w:val="0"/>
                <w:iCs w:val="0"/>
                <w:color w:val="000000"/>
                <w:sz w:val="20"/>
                <w:szCs w:val="20"/>
                <w:highlight w:val="none"/>
                <w:u w:val="none"/>
              </w:rPr>
            </w:pPr>
          </w:p>
        </w:tc>
      </w:tr>
      <w:tr w14:paraId="5C222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9911B2">
            <w:pPr>
              <w:jc w:val="left"/>
              <w:rPr>
                <w:rFonts w:hint="eastAsia" w:ascii="宋体" w:hAnsi="宋体" w:eastAsia="宋体" w:cs="宋体"/>
                <w:i w:val="0"/>
                <w:iCs w:val="0"/>
                <w:color w:val="000000"/>
                <w:sz w:val="20"/>
                <w:szCs w:val="20"/>
                <w:highlight w:val="none"/>
                <w:u w:val="none"/>
              </w:rPr>
            </w:pP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7A047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4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CE593C">
            <w:pPr>
              <w:jc w:val="right"/>
              <w:rPr>
                <w:rFonts w:hint="default" w:ascii="Times New Roman" w:hAnsi="Times New Roman" w:eastAsia="宋体" w:cs="Times New Roman"/>
                <w:i w:val="0"/>
                <w:iCs w:val="0"/>
                <w:color w:val="000000"/>
                <w:sz w:val="20"/>
                <w:szCs w:val="20"/>
                <w:highlight w:val="none"/>
                <w:u w:val="none"/>
              </w:rPr>
            </w:pPr>
          </w:p>
        </w:tc>
        <w:tc>
          <w:tcPr>
            <w:tcW w:w="7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48172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18B1C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4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CF8F3B">
            <w:pPr>
              <w:jc w:val="right"/>
              <w:rPr>
                <w:rFonts w:hint="default" w:ascii="Times New Roman" w:hAnsi="Times New Roman" w:eastAsia="宋体" w:cs="Times New Roman"/>
                <w:i w:val="0"/>
                <w:iCs w:val="0"/>
                <w:color w:val="000000"/>
                <w:sz w:val="20"/>
                <w:szCs w:val="20"/>
                <w:highlight w:val="none"/>
                <w:u w:val="none"/>
              </w:rPr>
            </w:pPr>
          </w:p>
        </w:tc>
        <w:tc>
          <w:tcPr>
            <w:tcW w:w="5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5CA6A9">
            <w:pPr>
              <w:jc w:val="right"/>
              <w:rPr>
                <w:rFonts w:hint="default" w:ascii="Times New Roman" w:hAnsi="Times New Roman" w:eastAsia="宋体" w:cs="Times New Roman"/>
                <w:i w:val="0"/>
                <w:iCs w:val="0"/>
                <w:color w:val="000000"/>
                <w:sz w:val="20"/>
                <w:szCs w:val="20"/>
                <w:highlight w:val="none"/>
                <w:u w:val="none"/>
              </w:rPr>
            </w:pPr>
          </w:p>
        </w:tc>
        <w:tc>
          <w:tcPr>
            <w:tcW w:w="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E2B098">
            <w:pPr>
              <w:jc w:val="right"/>
              <w:rPr>
                <w:rFonts w:hint="default" w:ascii="Times New Roman" w:hAnsi="Times New Roman" w:eastAsia="宋体" w:cs="Times New Roman"/>
                <w:i w:val="0"/>
                <w:iCs w:val="0"/>
                <w:color w:val="000000"/>
                <w:sz w:val="20"/>
                <w:szCs w:val="20"/>
                <w:highlight w:val="none"/>
                <w:u w:val="none"/>
              </w:rPr>
            </w:pPr>
          </w:p>
        </w:tc>
        <w:tc>
          <w:tcPr>
            <w:tcW w:w="5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4E2FB4">
            <w:pPr>
              <w:jc w:val="right"/>
              <w:rPr>
                <w:rFonts w:hint="default" w:ascii="Times New Roman" w:hAnsi="Times New Roman" w:eastAsia="宋体" w:cs="Times New Roman"/>
                <w:i w:val="0"/>
                <w:iCs w:val="0"/>
                <w:color w:val="000000"/>
                <w:sz w:val="20"/>
                <w:szCs w:val="20"/>
                <w:highlight w:val="none"/>
                <w:u w:val="none"/>
              </w:rPr>
            </w:pPr>
          </w:p>
        </w:tc>
      </w:tr>
      <w:tr w14:paraId="5538BA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1239F6">
            <w:pPr>
              <w:jc w:val="left"/>
              <w:rPr>
                <w:rFonts w:hint="eastAsia" w:ascii="宋体" w:hAnsi="宋体" w:eastAsia="宋体" w:cs="宋体"/>
                <w:i w:val="0"/>
                <w:iCs w:val="0"/>
                <w:color w:val="000000"/>
                <w:sz w:val="20"/>
                <w:szCs w:val="20"/>
                <w:highlight w:val="none"/>
                <w:u w:val="none"/>
              </w:rPr>
            </w:pP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2DA8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4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5E2032">
            <w:pPr>
              <w:jc w:val="right"/>
              <w:rPr>
                <w:rFonts w:hint="default" w:ascii="Times New Roman" w:hAnsi="Times New Roman" w:eastAsia="宋体" w:cs="Times New Roman"/>
                <w:i w:val="0"/>
                <w:iCs w:val="0"/>
                <w:color w:val="000000"/>
                <w:sz w:val="20"/>
                <w:szCs w:val="20"/>
                <w:highlight w:val="none"/>
                <w:u w:val="none"/>
              </w:rPr>
            </w:pPr>
          </w:p>
        </w:tc>
        <w:tc>
          <w:tcPr>
            <w:tcW w:w="7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7E0AC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D6390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4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EC786B">
            <w:pPr>
              <w:jc w:val="right"/>
              <w:rPr>
                <w:rFonts w:hint="default" w:ascii="Times New Roman" w:hAnsi="Times New Roman" w:eastAsia="宋体" w:cs="Times New Roman"/>
                <w:i w:val="0"/>
                <w:iCs w:val="0"/>
                <w:color w:val="000000"/>
                <w:sz w:val="20"/>
                <w:szCs w:val="20"/>
                <w:highlight w:val="none"/>
                <w:u w:val="none"/>
              </w:rPr>
            </w:pPr>
          </w:p>
        </w:tc>
        <w:tc>
          <w:tcPr>
            <w:tcW w:w="5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8E77C6">
            <w:pPr>
              <w:jc w:val="right"/>
              <w:rPr>
                <w:rFonts w:hint="default" w:ascii="Times New Roman" w:hAnsi="Times New Roman" w:eastAsia="宋体" w:cs="Times New Roman"/>
                <w:i w:val="0"/>
                <w:iCs w:val="0"/>
                <w:color w:val="000000"/>
                <w:sz w:val="20"/>
                <w:szCs w:val="20"/>
                <w:highlight w:val="none"/>
                <w:u w:val="none"/>
              </w:rPr>
            </w:pPr>
          </w:p>
        </w:tc>
        <w:tc>
          <w:tcPr>
            <w:tcW w:w="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C230BC">
            <w:pPr>
              <w:jc w:val="right"/>
              <w:rPr>
                <w:rFonts w:hint="default" w:ascii="Times New Roman" w:hAnsi="Times New Roman" w:eastAsia="宋体" w:cs="Times New Roman"/>
                <w:i w:val="0"/>
                <w:iCs w:val="0"/>
                <w:color w:val="000000"/>
                <w:sz w:val="20"/>
                <w:szCs w:val="20"/>
                <w:highlight w:val="none"/>
                <w:u w:val="none"/>
              </w:rPr>
            </w:pPr>
          </w:p>
        </w:tc>
        <w:tc>
          <w:tcPr>
            <w:tcW w:w="5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CC5B76">
            <w:pPr>
              <w:jc w:val="right"/>
              <w:rPr>
                <w:rFonts w:hint="default" w:ascii="Times New Roman" w:hAnsi="Times New Roman" w:eastAsia="宋体" w:cs="Times New Roman"/>
                <w:i w:val="0"/>
                <w:iCs w:val="0"/>
                <w:color w:val="000000"/>
                <w:sz w:val="20"/>
                <w:szCs w:val="20"/>
                <w:highlight w:val="none"/>
                <w:u w:val="none"/>
              </w:rPr>
            </w:pPr>
          </w:p>
        </w:tc>
      </w:tr>
      <w:tr w14:paraId="76A5F3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FB1187">
            <w:pPr>
              <w:jc w:val="left"/>
              <w:rPr>
                <w:rFonts w:hint="eastAsia" w:ascii="宋体" w:hAnsi="宋体" w:eastAsia="宋体" w:cs="宋体"/>
                <w:i w:val="0"/>
                <w:iCs w:val="0"/>
                <w:color w:val="000000"/>
                <w:sz w:val="20"/>
                <w:szCs w:val="20"/>
                <w:highlight w:val="none"/>
                <w:u w:val="none"/>
              </w:rPr>
            </w:pP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97DC2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4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87DF58">
            <w:pPr>
              <w:jc w:val="right"/>
              <w:rPr>
                <w:rFonts w:hint="default" w:ascii="Times New Roman" w:hAnsi="Times New Roman" w:eastAsia="宋体" w:cs="Times New Roman"/>
                <w:i w:val="0"/>
                <w:iCs w:val="0"/>
                <w:color w:val="000000"/>
                <w:sz w:val="20"/>
                <w:szCs w:val="20"/>
                <w:highlight w:val="none"/>
                <w:u w:val="none"/>
              </w:rPr>
            </w:pPr>
          </w:p>
        </w:tc>
        <w:tc>
          <w:tcPr>
            <w:tcW w:w="7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9EC1F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07D84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4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894DC5">
            <w:pPr>
              <w:jc w:val="right"/>
              <w:rPr>
                <w:rFonts w:hint="default" w:ascii="Times New Roman" w:hAnsi="Times New Roman" w:eastAsia="宋体" w:cs="Times New Roman"/>
                <w:i w:val="0"/>
                <w:iCs w:val="0"/>
                <w:color w:val="000000"/>
                <w:sz w:val="20"/>
                <w:szCs w:val="20"/>
                <w:highlight w:val="none"/>
                <w:u w:val="none"/>
              </w:rPr>
            </w:pPr>
          </w:p>
        </w:tc>
        <w:tc>
          <w:tcPr>
            <w:tcW w:w="5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E1E90D">
            <w:pPr>
              <w:jc w:val="right"/>
              <w:rPr>
                <w:rFonts w:hint="default" w:ascii="Times New Roman" w:hAnsi="Times New Roman" w:eastAsia="宋体" w:cs="Times New Roman"/>
                <w:i w:val="0"/>
                <w:iCs w:val="0"/>
                <w:color w:val="000000"/>
                <w:sz w:val="20"/>
                <w:szCs w:val="20"/>
                <w:highlight w:val="none"/>
                <w:u w:val="none"/>
              </w:rPr>
            </w:pPr>
          </w:p>
        </w:tc>
        <w:tc>
          <w:tcPr>
            <w:tcW w:w="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F794FA">
            <w:pPr>
              <w:jc w:val="right"/>
              <w:rPr>
                <w:rFonts w:hint="default" w:ascii="Times New Roman" w:hAnsi="Times New Roman" w:eastAsia="宋体" w:cs="Times New Roman"/>
                <w:i w:val="0"/>
                <w:iCs w:val="0"/>
                <w:color w:val="000000"/>
                <w:sz w:val="20"/>
                <w:szCs w:val="20"/>
                <w:highlight w:val="none"/>
                <w:u w:val="none"/>
              </w:rPr>
            </w:pPr>
          </w:p>
        </w:tc>
        <w:tc>
          <w:tcPr>
            <w:tcW w:w="5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3690DB">
            <w:pPr>
              <w:jc w:val="right"/>
              <w:rPr>
                <w:rFonts w:hint="default" w:ascii="Times New Roman" w:hAnsi="Times New Roman" w:eastAsia="宋体" w:cs="Times New Roman"/>
                <w:i w:val="0"/>
                <w:iCs w:val="0"/>
                <w:color w:val="000000"/>
                <w:sz w:val="20"/>
                <w:szCs w:val="20"/>
                <w:highlight w:val="none"/>
                <w:u w:val="none"/>
              </w:rPr>
            </w:pPr>
          </w:p>
        </w:tc>
      </w:tr>
      <w:tr w14:paraId="5D65F4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DF1B9A">
            <w:pPr>
              <w:jc w:val="left"/>
              <w:rPr>
                <w:rFonts w:hint="eastAsia" w:ascii="宋体" w:hAnsi="宋体" w:eastAsia="宋体" w:cs="宋体"/>
                <w:i w:val="0"/>
                <w:iCs w:val="0"/>
                <w:color w:val="000000"/>
                <w:sz w:val="20"/>
                <w:szCs w:val="20"/>
                <w:highlight w:val="none"/>
                <w:u w:val="none"/>
              </w:rPr>
            </w:pP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26B6A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4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9B3DFE">
            <w:pPr>
              <w:jc w:val="right"/>
              <w:rPr>
                <w:rFonts w:hint="default" w:ascii="Times New Roman" w:hAnsi="Times New Roman" w:eastAsia="宋体" w:cs="Times New Roman"/>
                <w:i w:val="0"/>
                <w:iCs w:val="0"/>
                <w:color w:val="000000"/>
                <w:sz w:val="20"/>
                <w:szCs w:val="20"/>
                <w:highlight w:val="none"/>
                <w:u w:val="none"/>
              </w:rPr>
            </w:pPr>
          </w:p>
        </w:tc>
        <w:tc>
          <w:tcPr>
            <w:tcW w:w="7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35B02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098E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4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C925F8">
            <w:pPr>
              <w:jc w:val="right"/>
              <w:rPr>
                <w:rFonts w:hint="default" w:ascii="Times New Roman" w:hAnsi="Times New Roman" w:eastAsia="宋体" w:cs="Times New Roman"/>
                <w:i w:val="0"/>
                <w:iCs w:val="0"/>
                <w:color w:val="000000"/>
                <w:sz w:val="20"/>
                <w:szCs w:val="20"/>
                <w:highlight w:val="none"/>
                <w:u w:val="none"/>
              </w:rPr>
            </w:pPr>
          </w:p>
        </w:tc>
        <w:tc>
          <w:tcPr>
            <w:tcW w:w="5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310F6D">
            <w:pPr>
              <w:jc w:val="right"/>
              <w:rPr>
                <w:rFonts w:hint="default" w:ascii="Times New Roman" w:hAnsi="Times New Roman" w:eastAsia="宋体" w:cs="Times New Roman"/>
                <w:i w:val="0"/>
                <w:iCs w:val="0"/>
                <w:color w:val="000000"/>
                <w:sz w:val="20"/>
                <w:szCs w:val="20"/>
                <w:highlight w:val="none"/>
                <w:u w:val="none"/>
              </w:rPr>
            </w:pPr>
          </w:p>
        </w:tc>
        <w:tc>
          <w:tcPr>
            <w:tcW w:w="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87B797">
            <w:pPr>
              <w:jc w:val="right"/>
              <w:rPr>
                <w:rFonts w:hint="default" w:ascii="Times New Roman" w:hAnsi="Times New Roman" w:eastAsia="宋体" w:cs="Times New Roman"/>
                <w:i w:val="0"/>
                <w:iCs w:val="0"/>
                <w:color w:val="000000"/>
                <w:sz w:val="20"/>
                <w:szCs w:val="20"/>
                <w:highlight w:val="none"/>
                <w:u w:val="none"/>
              </w:rPr>
            </w:pPr>
          </w:p>
        </w:tc>
        <w:tc>
          <w:tcPr>
            <w:tcW w:w="5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15B56F">
            <w:pPr>
              <w:jc w:val="right"/>
              <w:rPr>
                <w:rFonts w:hint="default" w:ascii="Times New Roman" w:hAnsi="Times New Roman" w:eastAsia="宋体" w:cs="Times New Roman"/>
                <w:i w:val="0"/>
                <w:iCs w:val="0"/>
                <w:color w:val="000000"/>
                <w:sz w:val="20"/>
                <w:szCs w:val="20"/>
                <w:highlight w:val="none"/>
                <w:u w:val="none"/>
              </w:rPr>
            </w:pPr>
          </w:p>
        </w:tc>
      </w:tr>
      <w:tr w14:paraId="0D974C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8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257CBB">
            <w:pPr>
              <w:jc w:val="left"/>
              <w:rPr>
                <w:rFonts w:hint="eastAsia" w:ascii="宋体" w:hAnsi="宋体" w:eastAsia="宋体" w:cs="宋体"/>
                <w:i w:val="0"/>
                <w:iCs w:val="0"/>
                <w:color w:val="000000"/>
                <w:sz w:val="20"/>
                <w:szCs w:val="20"/>
                <w:highlight w:val="none"/>
                <w:u w:val="none"/>
              </w:rPr>
            </w:pP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91A10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4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A43686">
            <w:pPr>
              <w:jc w:val="right"/>
              <w:rPr>
                <w:rFonts w:hint="default" w:ascii="Times New Roman" w:hAnsi="Times New Roman" w:eastAsia="宋体" w:cs="Times New Roman"/>
                <w:i w:val="0"/>
                <w:iCs w:val="0"/>
                <w:color w:val="000000"/>
                <w:sz w:val="20"/>
                <w:szCs w:val="20"/>
                <w:highlight w:val="none"/>
                <w:u w:val="none"/>
              </w:rPr>
            </w:pPr>
          </w:p>
        </w:tc>
        <w:tc>
          <w:tcPr>
            <w:tcW w:w="7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D25F4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B8AE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4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DE25A3">
            <w:pPr>
              <w:jc w:val="right"/>
              <w:rPr>
                <w:rFonts w:hint="default" w:ascii="Times New Roman" w:hAnsi="Times New Roman" w:eastAsia="宋体" w:cs="Times New Roman"/>
                <w:i w:val="0"/>
                <w:iCs w:val="0"/>
                <w:color w:val="000000"/>
                <w:sz w:val="20"/>
                <w:szCs w:val="20"/>
                <w:highlight w:val="none"/>
                <w:u w:val="none"/>
              </w:rPr>
            </w:pPr>
          </w:p>
        </w:tc>
        <w:tc>
          <w:tcPr>
            <w:tcW w:w="5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9992BC">
            <w:pPr>
              <w:jc w:val="right"/>
              <w:rPr>
                <w:rFonts w:hint="default" w:ascii="Times New Roman" w:hAnsi="Times New Roman" w:eastAsia="宋体" w:cs="Times New Roman"/>
                <w:i w:val="0"/>
                <w:iCs w:val="0"/>
                <w:color w:val="000000"/>
                <w:sz w:val="20"/>
                <w:szCs w:val="20"/>
                <w:highlight w:val="none"/>
                <w:u w:val="none"/>
              </w:rPr>
            </w:pPr>
          </w:p>
        </w:tc>
        <w:tc>
          <w:tcPr>
            <w:tcW w:w="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73CA6D">
            <w:pPr>
              <w:jc w:val="right"/>
              <w:rPr>
                <w:rFonts w:hint="default" w:ascii="Times New Roman" w:hAnsi="Times New Roman" w:eastAsia="宋体" w:cs="Times New Roman"/>
                <w:i w:val="0"/>
                <w:iCs w:val="0"/>
                <w:color w:val="000000"/>
                <w:sz w:val="20"/>
                <w:szCs w:val="20"/>
                <w:highlight w:val="none"/>
                <w:u w:val="none"/>
              </w:rPr>
            </w:pPr>
          </w:p>
        </w:tc>
        <w:tc>
          <w:tcPr>
            <w:tcW w:w="5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A76BDC">
            <w:pPr>
              <w:jc w:val="right"/>
              <w:rPr>
                <w:rFonts w:hint="default" w:ascii="Times New Roman" w:hAnsi="Times New Roman" w:eastAsia="宋体" w:cs="Times New Roman"/>
                <w:i w:val="0"/>
                <w:iCs w:val="0"/>
                <w:color w:val="000000"/>
                <w:sz w:val="20"/>
                <w:szCs w:val="20"/>
                <w:highlight w:val="none"/>
                <w:u w:val="none"/>
              </w:rPr>
            </w:pPr>
          </w:p>
        </w:tc>
      </w:tr>
      <w:tr w14:paraId="252D8A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64DDCE">
            <w:pPr>
              <w:jc w:val="left"/>
              <w:rPr>
                <w:rFonts w:hint="eastAsia" w:ascii="宋体" w:hAnsi="宋体" w:eastAsia="宋体" w:cs="宋体"/>
                <w:i w:val="0"/>
                <w:iCs w:val="0"/>
                <w:color w:val="000000"/>
                <w:sz w:val="20"/>
                <w:szCs w:val="20"/>
                <w:highlight w:val="none"/>
                <w:u w:val="none"/>
              </w:rPr>
            </w:pP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C81EF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4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85C81F">
            <w:pPr>
              <w:jc w:val="right"/>
              <w:rPr>
                <w:rFonts w:hint="default" w:ascii="Times New Roman" w:hAnsi="Times New Roman" w:eastAsia="宋体" w:cs="Times New Roman"/>
                <w:i w:val="0"/>
                <w:iCs w:val="0"/>
                <w:color w:val="000000"/>
                <w:sz w:val="20"/>
                <w:szCs w:val="20"/>
                <w:highlight w:val="none"/>
                <w:u w:val="none"/>
              </w:rPr>
            </w:pPr>
          </w:p>
        </w:tc>
        <w:tc>
          <w:tcPr>
            <w:tcW w:w="7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A8597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30EF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4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538C34">
            <w:pPr>
              <w:jc w:val="right"/>
              <w:rPr>
                <w:rFonts w:hint="default" w:ascii="Times New Roman" w:hAnsi="Times New Roman" w:eastAsia="宋体" w:cs="Times New Roman"/>
                <w:i w:val="0"/>
                <w:iCs w:val="0"/>
                <w:color w:val="000000"/>
                <w:sz w:val="20"/>
                <w:szCs w:val="20"/>
                <w:highlight w:val="none"/>
                <w:u w:val="none"/>
              </w:rPr>
            </w:pPr>
          </w:p>
        </w:tc>
        <w:tc>
          <w:tcPr>
            <w:tcW w:w="5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656762">
            <w:pPr>
              <w:jc w:val="right"/>
              <w:rPr>
                <w:rFonts w:hint="default" w:ascii="Times New Roman" w:hAnsi="Times New Roman" w:eastAsia="宋体" w:cs="Times New Roman"/>
                <w:i w:val="0"/>
                <w:iCs w:val="0"/>
                <w:color w:val="000000"/>
                <w:sz w:val="20"/>
                <w:szCs w:val="20"/>
                <w:highlight w:val="none"/>
                <w:u w:val="none"/>
              </w:rPr>
            </w:pPr>
          </w:p>
        </w:tc>
        <w:tc>
          <w:tcPr>
            <w:tcW w:w="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54F3B4">
            <w:pPr>
              <w:jc w:val="right"/>
              <w:rPr>
                <w:rFonts w:hint="default" w:ascii="Times New Roman" w:hAnsi="Times New Roman" w:eastAsia="宋体" w:cs="Times New Roman"/>
                <w:i w:val="0"/>
                <w:iCs w:val="0"/>
                <w:color w:val="000000"/>
                <w:sz w:val="20"/>
                <w:szCs w:val="20"/>
                <w:highlight w:val="none"/>
                <w:u w:val="none"/>
              </w:rPr>
            </w:pPr>
          </w:p>
        </w:tc>
        <w:tc>
          <w:tcPr>
            <w:tcW w:w="5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DA9254">
            <w:pPr>
              <w:jc w:val="right"/>
              <w:rPr>
                <w:rFonts w:hint="default" w:ascii="Times New Roman" w:hAnsi="Times New Roman" w:eastAsia="宋体" w:cs="Times New Roman"/>
                <w:i w:val="0"/>
                <w:iCs w:val="0"/>
                <w:color w:val="000000"/>
                <w:sz w:val="20"/>
                <w:szCs w:val="20"/>
                <w:highlight w:val="none"/>
                <w:u w:val="none"/>
              </w:rPr>
            </w:pPr>
          </w:p>
        </w:tc>
      </w:tr>
      <w:tr w14:paraId="3C0F13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801599">
            <w:pPr>
              <w:jc w:val="left"/>
              <w:rPr>
                <w:rFonts w:hint="eastAsia" w:ascii="宋体" w:hAnsi="宋体" w:eastAsia="宋体" w:cs="宋体"/>
                <w:i w:val="0"/>
                <w:iCs w:val="0"/>
                <w:color w:val="000000"/>
                <w:sz w:val="20"/>
                <w:szCs w:val="20"/>
                <w:highlight w:val="none"/>
                <w:u w:val="none"/>
              </w:rPr>
            </w:pP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F7792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4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FD0071">
            <w:pPr>
              <w:jc w:val="right"/>
              <w:rPr>
                <w:rFonts w:hint="default" w:ascii="Times New Roman" w:hAnsi="Times New Roman" w:eastAsia="宋体" w:cs="Times New Roman"/>
                <w:i w:val="0"/>
                <w:iCs w:val="0"/>
                <w:color w:val="000000"/>
                <w:sz w:val="20"/>
                <w:szCs w:val="20"/>
                <w:highlight w:val="none"/>
                <w:u w:val="none"/>
              </w:rPr>
            </w:pPr>
          </w:p>
        </w:tc>
        <w:tc>
          <w:tcPr>
            <w:tcW w:w="7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32387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5BE04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4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A169B2">
            <w:pPr>
              <w:jc w:val="right"/>
              <w:rPr>
                <w:rFonts w:hint="default" w:ascii="Times New Roman" w:hAnsi="Times New Roman" w:eastAsia="宋体" w:cs="Times New Roman"/>
                <w:i w:val="0"/>
                <w:iCs w:val="0"/>
                <w:color w:val="000000"/>
                <w:sz w:val="20"/>
                <w:szCs w:val="20"/>
                <w:highlight w:val="none"/>
                <w:u w:val="none"/>
              </w:rPr>
            </w:pPr>
          </w:p>
        </w:tc>
        <w:tc>
          <w:tcPr>
            <w:tcW w:w="5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1BF253">
            <w:pPr>
              <w:jc w:val="right"/>
              <w:rPr>
                <w:rFonts w:hint="default" w:ascii="Times New Roman" w:hAnsi="Times New Roman" w:eastAsia="宋体" w:cs="Times New Roman"/>
                <w:i w:val="0"/>
                <w:iCs w:val="0"/>
                <w:color w:val="000000"/>
                <w:sz w:val="20"/>
                <w:szCs w:val="20"/>
                <w:highlight w:val="none"/>
                <w:u w:val="none"/>
              </w:rPr>
            </w:pPr>
          </w:p>
        </w:tc>
        <w:tc>
          <w:tcPr>
            <w:tcW w:w="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5263EF">
            <w:pPr>
              <w:jc w:val="right"/>
              <w:rPr>
                <w:rFonts w:hint="default" w:ascii="Times New Roman" w:hAnsi="Times New Roman" w:eastAsia="宋体" w:cs="Times New Roman"/>
                <w:i w:val="0"/>
                <w:iCs w:val="0"/>
                <w:color w:val="000000"/>
                <w:sz w:val="20"/>
                <w:szCs w:val="20"/>
                <w:highlight w:val="none"/>
                <w:u w:val="none"/>
              </w:rPr>
            </w:pPr>
          </w:p>
        </w:tc>
        <w:tc>
          <w:tcPr>
            <w:tcW w:w="5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6F0555">
            <w:pPr>
              <w:jc w:val="right"/>
              <w:rPr>
                <w:rFonts w:hint="default" w:ascii="Times New Roman" w:hAnsi="Times New Roman" w:eastAsia="宋体" w:cs="Times New Roman"/>
                <w:i w:val="0"/>
                <w:iCs w:val="0"/>
                <w:color w:val="000000"/>
                <w:sz w:val="20"/>
                <w:szCs w:val="20"/>
                <w:highlight w:val="none"/>
                <w:u w:val="none"/>
              </w:rPr>
            </w:pPr>
          </w:p>
        </w:tc>
      </w:tr>
      <w:tr w14:paraId="28A5CC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19CCBC">
            <w:pPr>
              <w:jc w:val="left"/>
              <w:rPr>
                <w:rFonts w:hint="eastAsia" w:ascii="宋体" w:hAnsi="宋体" w:eastAsia="宋体" w:cs="宋体"/>
                <w:i w:val="0"/>
                <w:iCs w:val="0"/>
                <w:color w:val="000000"/>
                <w:sz w:val="20"/>
                <w:szCs w:val="20"/>
                <w:highlight w:val="none"/>
                <w:u w:val="none"/>
              </w:rPr>
            </w:pP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B2B51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4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8F5FC6">
            <w:pPr>
              <w:jc w:val="right"/>
              <w:rPr>
                <w:rFonts w:hint="default" w:ascii="Times New Roman" w:hAnsi="Times New Roman" w:eastAsia="宋体" w:cs="Times New Roman"/>
                <w:i w:val="0"/>
                <w:iCs w:val="0"/>
                <w:color w:val="000000"/>
                <w:sz w:val="20"/>
                <w:szCs w:val="20"/>
                <w:highlight w:val="none"/>
                <w:u w:val="none"/>
              </w:rPr>
            </w:pPr>
          </w:p>
        </w:tc>
        <w:tc>
          <w:tcPr>
            <w:tcW w:w="7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36E40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9B2AD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4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F17C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661.31</w:t>
            </w:r>
          </w:p>
        </w:tc>
        <w:tc>
          <w:tcPr>
            <w:tcW w:w="5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B40F8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661.31</w:t>
            </w:r>
          </w:p>
        </w:tc>
        <w:tc>
          <w:tcPr>
            <w:tcW w:w="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A9C1F0">
            <w:pPr>
              <w:jc w:val="right"/>
              <w:rPr>
                <w:rFonts w:hint="default" w:ascii="Times New Roman" w:hAnsi="Times New Roman" w:eastAsia="宋体" w:cs="Times New Roman"/>
                <w:i w:val="0"/>
                <w:iCs w:val="0"/>
                <w:color w:val="000000"/>
                <w:sz w:val="20"/>
                <w:szCs w:val="20"/>
                <w:highlight w:val="none"/>
                <w:u w:val="none"/>
              </w:rPr>
            </w:pPr>
          </w:p>
        </w:tc>
        <w:tc>
          <w:tcPr>
            <w:tcW w:w="5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73D87C">
            <w:pPr>
              <w:jc w:val="right"/>
              <w:rPr>
                <w:rFonts w:hint="default" w:ascii="Times New Roman" w:hAnsi="Times New Roman" w:eastAsia="宋体" w:cs="Times New Roman"/>
                <w:i w:val="0"/>
                <w:iCs w:val="0"/>
                <w:color w:val="000000"/>
                <w:sz w:val="20"/>
                <w:szCs w:val="20"/>
                <w:highlight w:val="none"/>
                <w:u w:val="none"/>
              </w:rPr>
            </w:pPr>
          </w:p>
        </w:tc>
      </w:tr>
      <w:tr w14:paraId="78A74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3066C">
            <w:pPr>
              <w:jc w:val="left"/>
              <w:rPr>
                <w:rFonts w:hint="eastAsia" w:ascii="宋体" w:hAnsi="宋体" w:eastAsia="宋体" w:cs="宋体"/>
                <w:i w:val="0"/>
                <w:iCs w:val="0"/>
                <w:color w:val="000000"/>
                <w:sz w:val="20"/>
                <w:szCs w:val="20"/>
                <w:highlight w:val="none"/>
                <w:u w:val="none"/>
              </w:rPr>
            </w:pP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5753A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4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E06D07">
            <w:pPr>
              <w:jc w:val="right"/>
              <w:rPr>
                <w:rFonts w:hint="default" w:ascii="Times New Roman" w:hAnsi="Times New Roman" w:eastAsia="宋体" w:cs="Times New Roman"/>
                <w:i w:val="0"/>
                <w:iCs w:val="0"/>
                <w:color w:val="000000"/>
                <w:sz w:val="20"/>
                <w:szCs w:val="20"/>
                <w:highlight w:val="none"/>
                <w:u w:val="none"/>
              </w:rPr>
            </w:pPr>
          </w:p>
        </w:tc>
        <w:tc>
          <w:tcPr>
            <w:tcW w:w="7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1F173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8D67F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4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337EED">
            <w:pPr>
              <w:jc w:val="right"/>
              <w:rPr>
                <w:rFonts w:hint="default" w:ascii="Times New Roman" w:hAnsi="Times New Roman" w:eastAsia="宋体" w:cs="Times New Roman"/>
                <w:i w:val="0"/>
                <w:iCs w:val="0"/>
                <w:color w:val="000000"/>
                <w:sz w:val="20"/>
                <w:szCs w:val="20"/>
                <w:highlight w:val="none"/>
                <w:u w:val="none"/>
              </w:rPr>
            </w:pPr>
          </w:p>
        </w:tc>
        <w:tc>
          <w:tcPr>
            <w:tcW w:w="5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91F007">
            <w:pPr>
              <w:jc w:val="right"/>
              <w:rPr>
                <w:rFonts w:hint="default" w:ascii="Times New Roman" w:hAnsi="Times New Roman" w:eastAsia="宋体" w:cs="Times New Roman"/>
                <w:i w:val="0"/>
                <w:iCs w:val="0"/>
                <w:color w:val="000000"/>
                <w:sz w:val="20"/>
                <w:szCs w:val="20"/>
                <w:highlight w:val="none"/>
                <w:u w:val="none"/>
              </w:rPr>
            </w:pPr>
          </w:p>
        </w:tc>
        <w:tc>
          <w:tcPr>
            <w:tcW w:w="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61B591">
            <w:pPr>
              <w:jc w:val="right"/>
              <w:rPr>
                <w:rFonts w:hint="default" w:ascii="Times New Roman" w:hAnsi="Times New Roman" w:eastAsia="宋体" w:cs="Times New Roman"/>
                <w:i w:val="0"/>
                <w:iCs w:val="0"/>
                <w:color w:val="000000"/>
                <w:sz w:val="20"/>
                <w:szCs w:val="20"/>
                <w:highlight w:val="none"/>
                <w:u w:val="none"/>
              </w:rPr>
            </w:pPr>
          </w:p>
        </w:tc>
        <w:tc>
          <w:tcPr>
            <w:tcW w:w="5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998854">
            <w:pPr>
              <w:jc w:val="right"/>
              <w:rPr>
                <w:rFonts w:hint="default" w:ascii="Times New Roman" w:hAnsi="Times New Roman" w:eastAsia="宋体" w:cs="Times New Roman"/>
                <w:i w:val="0"/>
                <w:iCs w:val="0"/>
                <w:color w:val="000000"/>
                <w:sz w:val="20"/>
                <w:szCs w:val="20"/>
                <w:highlight w:val="none"/>
                <w:u w:val="none"/>
              </w:rPr>
            </w:pPr>
          </w:p>
        </w:tc>
      </w:tr>
      <w:tr w14:paraId="33910C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EEEED9">
            <w:pPr>
              <w:jc w:val="left"/>
              <w:rPr>
                <w:rFonts w:hint="eastAsia" w:ascii="宋体" w:hAnsi="宋体" w:eastAsia="宋体" w:cs="宋体"/>
                <w:i w:val="0"/>
                <w:iCs w:val="0"/>
                <w:color w:val="000000"/>
                <w:sz w:val="20"/>
                <w:szCs w:val="20"/>
                <w:highlight w:val="none"/>
                <w:u w:val="none"/>
              </w:rPr>
            </w:pP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465BD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4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99A3E7">
            <w:pPr>
              <w:jc w:val="right"/>
              <w:rPr>
                <w:rFonts w:hint="default" w:ascii="Times New Roman" w:hAnsi="Times New Roman" w:eastAsia="宋体" w:cs="Times New Roman"/>
                <w:i w:val="0"/>
                <w:iCs w:val="0"/>
                <w:color w:val="000000"/>
                <w:sz w:val="20"/>
                <w:szCs w:val="20"/>
                <w:highlight w:val="none"/>
                <w:u w:val="none"/>
              </w:rPr>
            </w:pPr>
          </w:p>
        </w:tc>
        <w:tc>
          <w:tcPr>
            <w:tcW w:w="7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EEEDA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8EE63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4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7F5B8B">
            <w:pPr>
              <w:jc w:val="right"/>
              <w:rPr>
                <w:rFonts w:hint="default" w:ascii="Times New Roman" w:hAnsi="Times New Roman" w:eastAsia="宋体" w:cs="Times New Roman"/>
                <w:i w:val="0"/>
                <w:iCs w:val="0"/>
                <w:color w:val="000000"/>
                <w:sz w:val="20"/>
                <w:szCs w:val="20"/>
                <w:highlight w:val="none"/>
                <w:u w:val="none"/>
              </w:rPr>
            </w:pPr>
          </w:p>
        </w:tc>
        <w:tc>
          <w:tcPr>
            <w:tcW w:w="5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010ACB">
            <w:pPr>
              <w:jc w:val="right"/>
              <w:rPr>
                <w:rFonts w:hint="default" w:ascii="Times New Roman" w:hAnsi="Times New Roman" w:eastAsia="宋体" w:cs="Times New Roman"/>
                <w:i w:val="0"/>
                <w:iCs w:val="0"/>
                <w:color w:val="000000"/>
                <w:sz w:val="20"/>
                <w:szCs w:val="20"/>
                <w:highlight w:val="none"/>
                <w:u w:val="none"/>
              </w:rPr>
            </w:pPr>
          </w:p>
        </w:tc>
        <w:tc>
          <w:tcPr>
            <w:tcW w:w="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F4F7B7">
            <w:pPr>
              <w:jc w:val="right"/>
              <w:rPr>
                <w:rFonts w:hint="default" w:ascii="Times New Roman" w:hAnsi="Times New Roman" w:eastAsia="宋体" w:cs="Times New Roman"/>
                <w:i w:val="0"/>
                <w:iCs w:val="0"/>
                <w:color w:val="000000"/>
                <w:sz w:val="20"/>
                <w:szCs w:val="20"/>
                <w:highlight w:val="none"/>
                <w:u w:val="none"/>
              </w:rPr>
            </w:pPr>
          </w:p>
        </w:tc>
        <w:tc>
          <w:tcPr>
            <w:tcW w:w="5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3A7C04">
            <w:pPr>
              <w:jc w:val="right"/>
              <w:rPr>
                <w:rFonts w:hint="default" w:ascii="Times New Roman" w:hAnsi="Times New Roman" w:eastAsia="宋体" w:cs="Times New Roman"/>
                <w:i w:val="0"/>
                <w:iCs w:val="0"/>
                <w:color w:val="000000"/>
                <w:sz w:val="20"/>
                <w:szCs w:val="20"/>
                <w:highlight w:val="none"/>
                <w:u w:val="none"/>
              </w:rPr>
            </w:pPr>
          </w:p>
        </w:tc>
      </w:tr>
      <w:tr w14:paraId="733BF9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C26D24">
            <w:pPr>
              <w:jc w:val="left"/>
              <w:rPr>
                <w:rFonts w:hint="eastAsia" w:ascii="宋体" w:hAnsi="宋体" w:eastAsia="宋体" w:cs="宋体"/>
                <w:i w:val="0"/>
                <w:iCs w:val="0"/>
                <w:color w:val="000000"/>
                <w:sz w:val="20"/>
                <w:szCs w:val="20"/>
                <w:highlight w:val="none"/>
                <w:u w:val="none"/>
              </w:rPr>
            </w:pP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2B795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4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EEF33B">
            <w:pPr>
              <w:jc w:val="right"/>
              <w:rPr>
                <w:rFonts w:hint="default" w:ascii="Times New Roman" w:hAnsi="Times New Roman" w:eastAsia="宋体" w:cs="Times New Roman"/>
                <w:i w:val="0"/>
                <w:iCs w:val="0"/>
                <w:color w:val="000000"/>
                <w:sz w:val="20"/>
                <w:szCs w:val="20"/>
                <w:highlight w:val="none"/>
                <w:u w:val="none"/>
              </w:rPr>
            </w:pPr>
          </w:p>
        </w:tc>
        <w:tc>
          <w:tcPr>
            <w:tcW w:w="7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8C370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C59B8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4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4F98E5">
            <w:pPr>
              <w:jc w:val="right"/>
              <w:rPr>
                <w:rFonts w:hint="default" w:ascii="Times New Roman" w:hAnsi="Times New Roman" w:eastAsia="宋体" w:cs="Times New Roman"/>
                <w:i w:val="0"/>
                <w:iCs w:val="0"/>
                <w:color w:val="000000"/>
                <w:sz w:val="20"/>
                <w:szCs w:val="20"/>
                <w:highlight w:val="none"/>
                <w:u w:val="none"/>
              </w:rPr>
            </w:pPr>
          </w:p>
        </w:tc>
        <w:tc>
          <w:tcPr>
            <w:tcW w:w="5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59EB5E">
            <w:pPr>
              <w:jc w:val="right"/>
              <w:rPr>
                <w:rFonts w:hint="default" w:ascii="Times New Roman" w:hAnsi="Times New Roman" w:eastAsia="宋体" w:cs="Times New Roman"/>
                <w:i w:val="0"/>
                <w:iCs w:val="0"/>
                <w:color w:val="000000"/>
                <w:sz w:val="20"/>
                <w:szCs w:val="20"/>
                <w:highlight w:val="none"/>
                <w:u w:val="none"/>
              </w:rPr>
            </w:pPr>
          </w:p>
        </w:tc>
        <w:tc>
          <w:tcPr>
            <w:tcW w:w="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83B933">
            <w:pPr>
              <w:jc w:val="right"/>
              <w:rPr>
                <w:rFonts w:hint="default" w:ascii="Times New Roman" w:hAnsi="Times New Roman" w:eastAsia="宋体" w:cs="Times New Roman"/>
                <w:i w:val="0"/>
                <w:iCs w:val="0"/>
                <w:color w:val="000000"/>
                <w:sz w:val="20"/>
                <w:szCs w:val="20"/>
                <w:highlight w:val="none"/>
                <w:u w:val="none"/>
              </w:rPr>
            </w:pPr>
          </w:p>
        </w:tc>
        <w:tc>
          <w:tcPr>
            <w:tcW w:w="5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885988">
            <w:pPr>
              <w:jc w:val="right"/>
              <w:rPr>
                <w:rFonts w:hint="default" w:ascii="Times New Roman" w:hAnsi="Times New Roman" w:eastAsia="宋体" w:cs="Times New Roman"/>
                <w:i w:val="0"/>
                <w:iCs w:val="0"/>
                <w:color w:val="000000"/>
                <w:sz w:val="20"/>
                <w:szCs w:val="20"/>
                <w:highlight w:val="none"/>
                <w:u w:val="none"/>
              </w:rPr>
            </w:pPr>
          </w:p>
        </w:tc>
      </w:tr>
      <w:tr w14:paraId="4E166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7556D2">
            <w:pPr>
              <w:jc w:val="left"/>
              <w:rPr>
                <w:rFonts w:hint="eastAsia" w:ascii="宋体" w:hAnsi="宋体" w:eastAsia="宋体" w:cs="宋体"/>
                <w:i w:val="0"/>
                <w:iCs w:val="0"/>
                <w:color w:val="000000"/>
                <w:sz w:val="20"/>
                <w:szCs w:val="20"/>
                <w:highlight w:val="none"/>
                <w:u w:val="none"/>
              </w:rPr>
            </w:pP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A605D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4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57D875">
            <w:pPr>
              <w:jc w:val="right"/>
              <w:rPr>
                <w:rFonts w:hint="default" w:ascii="Times New Roman" w:hAnsi="Times New Roman" w:eastAsia="宋体" w:cs="Times New Roman"/>
                <w:i w:val="0"/>
                <w:iCs w:val="0"/>
                <w:color w:val="000000"/>
                <w:sz w:val="20"/>
                <w:szCs w:val="20"/>
                <w:highlight w:val="none"/>
                <w:u w:val="none"/>
              </w:rPr>
            </w:pPr>
          </w:p>
        </w:tc>
        <w:tc>
          <w:tcPr>
            <w:tcW w:w="7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5450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D5638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4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E51199">
            <w:pPr>
              <w:jc w:val="right"/>
              <w:rPr>
                <w:rFonts w:hint="default" w:ascii="Times New Roman" w:hAnsi="Times New Roman" w:eastAsia="宋体" w:cs="Times New Roman"/>
                <w:i w:val="0"/>
                <w:iCs w:val="0"/>
                <w:color w:val="000000"/>
                <w:sz w:val="20"/>
                <w:szCs w:val="20"/>
                <w:highlight w:val="none"/>
                <w:u w:val="none"/>
              </w:rPr>
            </w:pPr>
          </w:p>
        </w:tc>
        <w:tc>
          <w:tcPr>
            <w:tcW w:w="5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8A8B8B">
            <w:pPr>
              <w:jc w:val="right"/>
              <w:rPr>
                <w:rFonts w:hint="default" w:ascii="Times New Roman" w:hAnsi="Times New Roman" w:eastAsia="宋体" w:cs="Times New Roman"/>
                <w:i w:val="0"/>
                <w:iCs w:val="0"/>
                <w:color w:val="000000"/>
                <w:sz w:val="20"/>
                <w:szCs w:val="20"/>
                <w:highlight w:val="none"/>
                <w:u w:val="none"/>
              </w:rPr>
            </w:pPr>
          </w:p>
        </w:tc>
        <w:tc>
          <w:tcPr>
            <w:tcW w:w="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1A7ABE">
            <w:pPr>
              <w:jc w:val="right"/>
              <w:rPr>
                <w:rFonts w:hint="default" w:ascii="Times New Roman" w:hAnsi="Times New Roman" w:eastAsia="宋体" w:cs="Times New Roman"/>
                <w:i w:val="0"/>
                <w:iCs w:val="0"/>
                <w:color w:val="000000"/>
                <w:sz w:val="20"/>
                <w:szCs w:val="20"/>
                <w:highlight w:val="none"/>
                <w:u w:val="none"/>
              </w:rPr>
            </w:pPr>
          </w:p>
        </w:tc>
        <w:tc>
          <w:tcPr>
            <w:tcW w:w="5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82AAA6">
            <w:pPr>
              <w:jc w:val="right"/>
              <w:rPr>
                <w:rFonts w:hint="default" w:ascii="Times New Roman" w:hAnsi="Times New Roman" w:eastAsia="宋体" w:cs="Times New Roman"/>
                <w:i w:val="0"/>
                <w:iCs w:val="0"/>
                <w:color w:val="000000"/>
                <w:sz w:val="20"/>
                <w:szCs w:val="20"/>
                <w:highlight w:val="none"/>
                <w:u w:val="none"/>
              </w:rPr>
            </w:pPr>
          </w:p>
        </w:tc>
      </w:tr>
      <w:tr w14:paraId="0C9BB8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DDD49E">
            <w:pPr>
              <w:jc w:val="left"/>
              <w:rPr>
                <w:rFonts w:hint="eastAsia" w:ascii="宋体" w:hAnsi="宋体" w:eastAsia="宋体" w:cs="宋体"/>
                <w:i w:val="0"/>
                <w:iCs w:val="0"/>
                <w:color w:val="000000"/>
                <w:sz w:val="20"/>
                <w:szCs w:val="20"/>
                <w:highlight w:val="none"/>
                <w:u w:val="none"/>
              </w:rPr>
            </w:pP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1D1C2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4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500D73">
            <w:pPr>
              <w:jc w:val="right"/>
              <w:rPr>
                <w:rFonts w:hint="default" w:ascii="Times New Roman" w:hAnsi="Times New Roman" w:eastAsia="宋体" w:cs="Times New Roman"/>
                <w:i w:val="0"/>
                <w:iCs w:val="0"/>
                <w:color w:val="000000"/>
                <w:sz w:val="20"/>
                <w:szCs w:val="20"/>
                <w:highlight w:val="none"/>
                <w:u w:val="none"/>
              </w:rPr>
            </w:pPr>
          </w:p>
        </w:tc>
        <w:tc>
          <w:tcPr>
            <w:tcW w:w="7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0FA8E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569F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4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867AF8">
            <w:pPr>
              <w:jc w:val="right"/>
              <w:rPr>
                <w:rFonts w:hint="default" w:ascii="Times New Roman" w:hAnsi="Times New Roman" w:eastAsia="宋体" w:cs="Times New Roman"/>
                <w:i w:val="0"/>
                <w:iCs w:val="0"/>
                <w:color w:val="000000"/>
                <w:sz w:val="20"/>
                <w:szCs w:val="20"/>
                <w:highlight w:val="none"/>
                <w:u w:val="none"/>
              </w:rPr>
            </w:pPr>
          </w:p>
        </w:tc>
        <w:tc>
          <w:tcPr>
            <w:tcW w:w="5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C3797F">
            <w:pPr>
              <w:jc w:val="right"/>
              <w:rPr>
                <w:rFonts w:hint="default" w:ascii="Times New Roman" w:hAnsi="Times New Roman" w:eastAsia="宋体" w:cs="Times New Roman"/>
                <w:i w:val="0"/>
                <w:iCs w:val="0"/>
                <w:color w:val="000000"/>
                <w:sz w:val="20"/>
                <w:szCs w:val="20"/>
                <w:highlight w:val="none"/>
                <w:u w:val="none"/>
              </w:rPr>
            </w:pPr>
          </w:p>
        </w:tc>
        <w:tc>
          <w:tcPr>
            <w:tcW w:w="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0B17B">
            <w:pPr>
              <w:jc w:val="right"/>
              <w:rPr>
                <w:rFonts w:hint="default" w:ascii="Times New Roman" w:hAnsi="Times New Roman" w:eastAsia="宋体" w:cs="Times New Roman"/>
                <w:i w:val="0"/>
                <w:iCs w:val="0"/>
                <w:color w:val="000000"/>
                <w:sz w:val="20"/>
                <w:szCs w:val="20"/>
                <w:highlight w:val="none"/>
                <w:u w:val="none"/>
              </w:rPr>
            </w:pPr>
          </w:p>
        </w:tc>
        <w:tc>
          <w:tcPr>
            <w:tcW w:w="5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133704">
            <w:pPr>
              <w:jc w:val="right"/>
              <w:rPr>
                <w:rFonts w:hint="default" w:ascii="Times New Roman" w:hAnsi="Times New Roman" w:eastAsia="宋体" w:cs="Times New Roman"/>
                <w:i w:val="0"/>
                <w:iCs w:val="0"/>
                <w:color w:val="000000"/>
                <w:sz w:val="20"/>
                <w:szCs w:val="20"/>
                <w:highlight w:val="none"/>
                <w:u w:val="none"/>
              </w:rPr>
            </w:pPr>
          </w:p>
        </w:tc>
      </w:tr>
      <w:tr w14:paraId="683781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7260E5">
            <w:pPr>
              <w:jc w:val="center"/>
              <w:rPr>
                <w:rFonts w:hint="eastAsia" w:ascii="宋体" w:hAnsi="宋体" w:eastAsia="宋体" w:cs="宋体"/>
                <w:b/>
                <w:bCs/>
                <w:i w:val="0"/>
                <w:iCs w:val="0"/>
                <w:color w:val="000000"/>
                <w:sz w:val="20"/>
                <w:szCs w:val="20"/>
                <w:highlight w:val="none"/>
                <w:u w:val="none"/>
              </w:rPr>
            </w:pP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34307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4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B89A5B">
            <w:pPr>
              <w:jc w:val="right"/>
              <w:rPr>
                <w:rFonts w:hint="default" w:ascii="Times New Roman" w:hAnsi="Times New Roman" w:eastAsia="宋体" w:cs="Times New Roman"/>
                <w:i w:val="0"/>
                <w:iCs w:val="0"/>
                <w:color w:val="000000"/>
                <w:sz w:val="20"/>
                <w:szCs w:val="20"/>
                <w:highlight w:val="none"/>
                <w:u w:val="none"/>
              </w:rPr>
            </w:pPr>
          </w:p>
        </w:tc>
        <w:tc>
          <w:tcPr>
            <w:tcW w:w="7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6F729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7D120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4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1F34FD">
            <w:pPr>
              <w:jc w:val="right"/>
              <w:rPr>
                <w:rFonts w:hint="default" w:ascii="Times New Roman" w:hAnsi="Times New Roman" w:eastAsia="宋体" w:cs="Times New Roman"/>
                <w:i w:val="0"/>
                <w:iCs w:val="0"/>
                <w:color w:val="000000"/>
                <w:sz w:val="20"/>
                <w:szCs w:val="20"/>
                <w:highlight w:val="none"/>
                <w:u w:val="none"/>
              </w:rPr>
            </w:pPr>
          </w:p>
        </w:tc>
        <w:tc>
          <w:tcPr>
            <w:tcW w:w="5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1B45E4">
            <w:pPr>
              <w:jc w:val="right"/>
              <w:rPr>
                <w:rFonts w:hint="default" w:ascii="Times New Roman" w:hAnsi="Times New Roman" w:eastAsia="宋体" w:cs="Times New Roman"/>
                <w:i w:val="0"/>
                <w:iCs w:val="0"/>
                <w:color w:val="000000"/>
                <w:sz w:val="20"/>
                <w:szCs w:val="20"/>
                <w:highlight w:val="none"/>
                <w:u w:val="none"/>
              </w:rPr>
            </w:pPr>
          </w:p>
        </w:tc>
        <w:tc>
          <w:tcPr>
            <w:tcW w:w="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1FADDE">
            <w:pPr>
              <w:jc w:val="right"/>
              <w:rPr>
                <w:rFonts w:hint="default" w:ascii="Times New Roman" w:hAnsi="Times New Roman" w:eastAsia="宋体" w:cs="Times New Roman"/>
                <w:i w:val="0"/>
                <w:iCs w:val="0"/>
                <w:color w:val="000000"/>
                <w:sz w:val="20"/>
                <w:szCs w:val="20"/>
                <w:highlight w:val="none"/>
                <w:u w:val="none"/>
              </w:rPr>
            </w:pPr>
          </w:p>
        </w:tc>
        <w:tc>
          <w:tcPr>
            <w:tcW w:w="5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253AC8">
            <w:pPr>
              <w:jc w:val="right"/>
              <w:rPr>
                <w:rFonts w:hint="default" w:ascii="Times New Roman" w:hAnsi="Times New Roman" w:eastAsia="宋体" w:cs="Times New Roman"/>
                <w:i w:val="0"/>
                <w:iCs w:val="0"/>
                <w:color w:val="000000"/>
                <w:sz w:val="20"/>
                <w:szCs w:val="20"/>
                <w:highlight w:val="none"/>
                <w:u w:val="none"/>
              </w:rPr>
            </w:pPr>
          </w:p>
        </w:tc>
      </w:tr>
      <w:tr w14:paraId="7F0219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6EB175">
            <w:pPr>
              <w:jc w:val="center"/>
              <w:rPr>
                <w:rFonts w:hint="eastAsia" w:ascii="宋体" w:hAnsi="宋体" w:eastAsia="宋体" w:cs="宋体"/>
                <w:i w:val="0"/>
                <w:iCs w:val="0"/>
                <w:color w:val="000000"/>
                <w:sz w:val="20"/>
                <w:szCs w:val="20"/>
                <w:highlight w:val="none"/>
                <w:u w:val="none"/>
              </w:rPr>
            </w:pP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81308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4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8BD8B4">
            <w:pPr>
              <w:jc w:val="right"/>
              <w:rPr>
                <w:rFonts w:hint="default" w:ascii="Times New Roman" w:hAnsi="Times New Roman" w:eastAsia="宋体" w:cs="Times New Roman"/>
                <w:i w:val="0"/>
                <w:iCs w:val="0"/>
                <w:color w:val="000000"/>
                <w:sz w:val="20"/>
                <w:szCs w:val="20"/>
                <w:highlight w:val="none"/>
                <w:u w:val="none"/>
              </w:rPr>
            </w:pPr>
          </w:p>
        </w:tc>
        <w:tc>
          <w:tcPr>
            <w:tcW w:w="7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4FA90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3DE9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4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10EFC2">
            <w:pPr>
              <w:jc w:val="right"/>
              <w:rPr>
                <w:rFonts w:hint="default" w:ascii="Times New Roman" w:hAnsi="Times New Roman" w:eastAsia="宋体" w:cs="Times New Roman"/>
                <w:i w:val="0"/>
                <w:iCs w:val="0"/>
                <w:color w:val="000000"/>
                <w:sz w:val="20"/>
                <w:szCs w:val="20"/>
                <w:highlight w:val="none"/>
                <w:u w:val="none"/>
              </w:rPr>
            </w:pPr>
          </w:p>
        </w:tc>
        <w:tc>
          <w:tcPr>
            <w:tcW w:w="5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314EDE">
            <w:pPr>
              <w:jc w:val="right"/>
              <w:rPr>
                <w:rFonts w:hint="default" w:ascii="Times New Roman" w:hAnsi="Times New Roman" w:eastAsia="宋体" w:cs="Times New Roman"/>
                <w:i w:val="0"/>
                <w:iCs w:val="0"/>
                <w:color w:val="000000"/>
                <w:sz w:val="20"/>
                <w:szCs w:val="20"/>
                <w:highlight w:val="none"/>
                <w:u w:val="none"/>
              </w:rPr>
            </w:pPr>
          </w:p>
        </w:tc>
        <w:tc>
          <w:tcPr>
            <w:tcW w:w="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38196B">
            <w:pPr>
              <w:jc w:val="right"/>
              <w:rPr>
                <w:rFonts w:hint="default" w:ascii="Times New Roman" w:hAnsi="Times New Roman" w:eastAsia="宋体" w:cs="Times New Roman"/>
                <w:i w:val="0"/>
                <w:iCs w:val="0"/>
                <w:color w:val="000000"/>
                <w:sz w:val="20"/>
                <w:szCs w:val="20"/>
                <w:highlight w:val="none"/>
                <w:u w:val="none"/>
              </w:rPr>
            </w:pPr>
          </w:p>
        </w:tc>
        <w:tc>
          <w:tcPr>
            <w:tcW w:w="5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94B9F4">
            <w:pPr>
              <w:jc w:val="right"/>
              <w:rPr>
                <w:rFonts w:hint="default" w:ascii="Times New Roman" w:hAnsi="Times New Roman" w:eastAsia="宋体" w:cs="Times New Roman"/>
                <w:i w:val="0"/>
                <w:iCs w:val="0"/>
                <w:color w:val="000000"/>
                <w:sz w:val="20"/>
                <w:szCs w:val="20"/>
                <w:highlight w:val="none"/>
                <w:u w:val="none"/>
              </w:rPr>
            </w:pPr>
          </w:p>
        </w:tc>
      </w:tr>
      <w:tr w14:paraId="1105E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90225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8334B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4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CFEEC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17,113.69</w:t>
            </w:r>
          </w:p>
        </w:tc>
        <w:tc>
          <w:tcPr>
            <w:tcW w:w="7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6BA5D5">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0A61A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4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AE00A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17,113.69</w:t>
            </w:r>
          </w:p>
        </w:tc>
        <w:tc>
          <w:tcPr>
            <w:tcW w:w="5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ED90E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17,113.69</w:t>
            </w:r>
          </w:p>
        </w:tc>
        <w:tc>
          <w:tcPr>
            <w:tcW w:w="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02D64">
            <w:pPr>
              <w:jc w:val="right"/>
              <w:rPr>
                <w:rFonts w:hint="default" w:ascii="Times New Roman" w:hAnsi="Times New Roman" w:eastAsia="宋体" w:cs="Times New Roman"/>
                <w:i w:val="0"/>
                <w:iCs w:val="0"/>
                <w:color w:val="000000"/>
                <w:sz w:val="20"/>
                <w:szCs w:val="20"/>
                <w:highlight w:val="none"/>
                <w:u w:val="none"/>
              </w:rPr>
            </w:pPr>
          </w:p>
        </w:tc>
        <w:tc>
          <w:tcPr>
            <w:tcW w:w="5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AAA238">
            <w:pPr>
              <w:jc w:val="right"/>
              <w:rPr>
                <w:rFonts w:hint="default" w:ascii="Times New Roman" w:hAnsi="Times New Roman" w:eastAsia="宋体" w:cs="Times New Roman"/>
                <w:i w:val="0"/>
                <w:iCs w:val="0"/>
                <w:color w:val="000000"/>
                <w:sz w:val="20"/>
                <w:szCs w:val="20"/>
                <w:highlight w:val="none"/>
                <w:u w:val="none"/>
              </w:rPr>
            </w:pPr>
          </w:p>
        </w:tc>
      </w:tr>
      <w:tr w14:paraId="7ACFFA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4FB8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8980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4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8E95ED">
            <w:pPr>
              <w:jc w:val="right"/>
              <w:rPr>
                <w:rFonts w:hint="default" w:ascii="Times New Roman" w:hAnsi="Times New Roman" w:eastAsia="宋体" w:cs="Times New Roman"/>
                <w:i w:val="0"/>
                <w:iCs w:val="0"/>
                <w:color w:val="000000"/>
                <w:sz w:val="20"/>
                <w:szCs w:val="20"/>
                <w:highlight w:val="none"/>
                <w:u w:val="none"/>
              </w:rPr>
            </w:pPr>
          </w:p>
        </w:tc>
        <w:tc>
          <w:tcPr>
            <w:tcW w:w="7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D7770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8F369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4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2C4D5B">
            <w:pPr>
              <w:jc w:val="right"/>
              <w:rPr>
                <w:rFonts w:hint="default" w:ascii="Times New Roman" w:hAnsi="Times New Roman" w:eastAsia="宋体" w:cs="Times New Roman"/>
                <w:i w:val="0"/>
                <w:iCs w:val="0"/>
                <w:color w:val="000000"/>
                <w:sz w:val="20"/>
                <w:szCs w:val="20"/>
                <w:highlight w:val="none"/>
                <w:u w:val="none"/>
              </w:rPr>
            </w:pPr>
          </w:p>
        </w:tc>
        <w:tc>
          <w:tcPr>
            <w:tcW w:w="5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C6AF57">
            <w:pPr>
              <w:jc w:val="both"/>
              <w:rPr>
                <w:rFonts w:hint="default" w:ascii="Times New Roman" w:hAnsi="Times New Roman" w:eastAsia="宋体" w:cs="Times New Roman"/>
                <w:i w:val="0"/>
                <w:iCs w:val="0"/>
                <w:color w:val="000000"/>
                <w:sz w:val="20"/>
                <w:szCs w:val="20"/>
                <w:highlight w:val="none"/>
                <w:u w:val="none"/>
              </w:rPr>
            </w:pPr>
          </w:p>
        </w:tc>
        <w:tc>
          <w:tcPr>
            <w:tcW w:w="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42CBA2">
            <w:pPr>
              <w:jc w:val="right"/>
              <w:rPr>
                <w:rFonts w:hint="default" w:ascii="Times New Roman" w:hAnsi="Times New Roman" w:eastAsia="宋体" w:cs="Times New Roman"/>
                <w:i w:val="0"/>
                <w:iCs w:val="0"/>
                <w:color w:val="000000"/>
                <w:sz w:val="20"/>
                <w:szCs w:val="20"/>
                <w:highlight w:val="none"/>
                <w:u w:val="none"/>
              </w:rPr>
            </w:pPr>
          </w:p>
        </w:tc>
        <w:tc>
          <w:tcPr>
            <w:tcW w:w="5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C06AEC">
            <w:pPr>
              <w:jc w:val="both"/>
              <w:rPr>
                <w:rFonts w:hint="default" w:ascii="Times New Roman" w:hAnsi="Times New Roman" w:eastAsia="宋体" w:cs="Times New Roman"/>
                <w:i w:val="0"/>
                <w:iCs w:val="0"/>
                <w:color w:val="000000"/>
                <w:sz w:val="20"/>
                <w:szCs w:val="20"/>
                <w:highlight w:val="none"/>
                <w:u w:val="none"/>
              </w:rPr>
            </w:pPr>
          </w:p>
        </w:tc>
      </w:tr>
      <w:tr w14:paraId="63457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12F5E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EE40A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4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F2F7CC">
            <w:pPr>
              <w:jc w:val="right"/>
              <w:rPr>
                <w:rFonts w:hint="default" w:ascii="Times New Roman" w:hAnsi="Times New Roman" w:eastAsia="宋体" w:cs="Times New Roman"/>
                <w:i w:val="0"/>
                <w:iCs w:val="0"/>
                <w:color w:val="000000"/>
                <w:sz w:val="20"/>
                <w:szCs w:val="20"/>
                <w:highlight w:val="none"/>
                <w:u w:val="none"/>
              </w:rPr>
            </w:pPr>
          </w:p>
        </w:tc>
        <w:tc>
          <w:tcPr>
            <w:tcW w:w="7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80EBFE">
            <w:pPr>
              <w:jc w:val="left"/>
              <w:rPr>
                <w:rFonts w:hint="eastAsia" w:ascii="方正仿宋_GB2312" w:hAnsi="方正仿宋_GB2312" w:eastAsia="方正仿宋_GB2312" w:cs="方正仿宋_GB2312"/>
                <w:i w:val="0"/>
                <w:iCs w:val="0"/>
                <w:color w:val="000000"/>
                <w:sz w:val="20"/>
                <w:szCs w:val="20"/>
                <w:highlight w:val="none"/>
                <w:u w:val="none"/>
              </w:rPr>
            </w:pP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50F37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4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C43E36">
            <w:pPr>
              <w:jc w:val="right"/>
              <w:rPr>
                <w:rFonts w:hint="default" w:ascii="Times New Roman" w:hAnsi="Times New Roman" w:eastAsia="宋体" w:cs="Times New Roman"/>
                <w:i w:val="0"/>
                <w:iCs w:val="0"/>
                <w:color w:val="000000"/>
                <w:sz w:val="20"/>
                <w:szCs w:val="20"/>
                <w:highlight w:val="none"/>
                <w:u w:val="none"/>
              </w:rPr>
            </w:pPr>
          </w:p>
        </w:tc>
        <w:tc>
          <w:tcPr>
            <w:tcW w:w="5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1FD44">
            <w:pPr>
              <w:jc w:val="right"/>
              <w:rPr>
                <w:rFonts w:hint="default" w:ascii="Times New Roman" w:hAnsi="Times New Roman" w:eastAsia="宋体" w:cs="Times New Roman"/>
                <w:i w:val="0"/>
                <w:iCs w:val="0"/>
                <w:color w:val="000000"/>
                <w:sz w:val="20"/>
                <w:szCs w:val="20"/>
                <w:highlight w:val="none"/>
                <w:u w:val="none"/>
              </w:rPr>
            </w:pPr>
          </w:p>
        </w:tc>
        <w:tc>
          <w:tcPr>
            <w:tcW w:w="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EFFF79">
            <w:pPr>
              <w:jc w:val="right"/>
              <w:rPr>
                <w:rFonts w:hint="default" w:ascii="Times New Roman" w:hAnsi="Times New Roman" w:eastAsia="宋体" w:cs="Times New Roman"/>
                <w:i w:val="0"/>
                <w:iCs w:val="0"/>
                <w:color w:val="000000"/>
                <w:sz w:val="20"/>
                <w:szCs w:val="20"/>
                <w:highlight w:val="none"/>
                <w:u w:val="none"/>
              </w:rPr>
            </w:pPr>
          </w:p>
        </w:tc>
        <w:tc>
          <w:tcPr>
            <w:tcW w:w="5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1E05B6">
            <w:pPr>
              <w:jc w:val="left"/>
              <w:rPr>
                <w:rFonts w:hint="default" w:ascii="Times New Roman" w:hAnsi="Times New Roman" w:eastAsia="宋体" w:cs="Times New Roman"/>
                <w:i w:val="0"/>
                <w:iCs w:val="0"/>
                <w:color w:val="000000"/>
                <w:sz w:val="20"/>
                <w:szCs w:val="20"/>
                <w:highlight w:val="none"/>
                <w:u w:val="none"/>
              </w:rPr>
            </w:pPr>
          </w:p>
        </w:tc>
      </w:tr>
      <w:tr w14:paraId="620B91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0E9F7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595A7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4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15D5A1">
            <w:pPr>
              <w:jc w:val="right"/>
              <w:rPr>
                <w:rFonts w:hint="default" w:ascii="Times New Roman" w:hAnsi="Times New Roman" w:eastAsia="宋体" w:cs="Times New Roman"/>
                <w:i w:val="0"/>
                <w:iCs w:val="0"/>
                <w:color w:val="000000"/>
                <w:sz w:val="20"/>
                <w:szCs w:val="20"/>
                <w:highlight w:val="none"/>
                <w:u w:val="none"/>
              </w:rPr>
            </w:pPr>
          </w:p>
        </w:tc>
        <w:tc>
          <w:tcPr>
            <w:tcW w:w="7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3B3218">
            <w:pPr>
              <w:jc w:val="left"/>
              <w:rPr>
                <w:rFonts w:hint="eastAsia" w:ascii="方正仿宋_GB2312" w:hAnsi="方正仿宋_GB2312" w:eastAsia="方正仿宋_GB2312" w:cs="方正仿宋_GB2312"/>
                <w:i w:val="0"/>
                <w:iCs w:val="0"/>
                <w:color w:val="000000"/>
                <w:sz w:val="20"/>
                <w:szCs w:val="20"/>
                <w:highlight w:val="none"/>
                <w:u w:val="none"/>
              </w:rPr>
            </w:pP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9CE1D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4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89D3DC">
            <w:pPr>
              <w:jc w:val="right"/>
              <w:rPr>
                <w:rFonts w:hint="default" w:ascii="Times New Roman" w:hAnsi="Times New Roman" w:eastAsia="宋体" w:cs="Times New Roman"/>
                <w:i w:val="0"/>
                <w:iCs w:val="0"/>
                <w:color w:val="000000"/>
                <w:sz w:val="20"/>
                <w:szCs w:val="20"/>
                <w:highlight w:val="none"/>
                <w:u w:val="none"/>
              </w:rPr>
            </w:pPr>
          </w:p>
        </w:tc>
        <w:tc>
          <w:tcPr>
            <w:tcW w:w="5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659D3C">
            <w:pPr>
              <w:jc w:val="right"/>
              <w:rPr>
                <w:rFonts w:hint="default" w:ascii="Times New Roman" w:hAnsi="Times New Roman" w:eastAsia="宋体" w:cs="Times New Roman"/>
                <w:i w:val="0"/>
                <w:iCs w:val="0"/>
                <w:color w:val="000000"/>
                <w:sz w:val="20"/>
                <w:szCs w:val="20"/>
                <w:highlight w:val="none"/>
                <w:u w:val="none"/>
              </w:rPr>
            </w:pPr>
          </w:p>
        </w:tc>
        <w:tc>
          <w:tcPr>
            <w:tcW w:w="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E8B0EC">
            <w:pPr>
              <w:jc w:val="right"/>
              <w:rPr>
                <w:rFonts w:hint="default" w:ascii="Times New Roman" w:hAnsi="Times New Roman" w:eastAsia="宋体" w:cs="Times New Roman"/>
                <w:i w:val="0"/>
                <w:iCs w:val="0"/>
                <w:color w:val="000000"/>
                <w:sz w:val="20"/>
                <w:szCs w:val="20"/>
                <w:highlight w:val="none"/>
                <w:u w:val="none"/>
              </w:rPr>
            </w:pPr>
          </w:p>
        </w:tc>
        <w:tc>
          <w:tcPr>
            <w:tcW w:w="5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3C570B">
            <w:pPr>
              <w:jc w:val="left"/>
              <w:rPr>
                <w:rFonts w:hint="default" w:ascii="Times New Roman" w:hAnsi="Times New Roman" w:eastAsia="宋体" w:cs="Times New Roman"/>
                <w:i w:val="0"/>
                <w:iCs w:val="0"/>
                <w:color w:val="000000"/>
                <w:sz w:val="20"/>
                <w:szCs w:val="20"/>
                <w:highlight w:val="none"/>
                <w:u w:val="none"/>
              </w:rPr>
            </w:pPr>
          </w:p>
        </w:tc>
      </w:tr>
      <w:tr w14:paraId="0C3011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55DF4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F41BB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4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7B4032">
            <w:pPr>
              <w:jc w:val="right"/>
              <w:rPr>
                <w:rFonts w:hint="default" w:ascii="Times New Roman" w:hAnsi="Times New Roman" w:eastAsia="宋体" w:cs="Times New Roman"/>
                <w:i w:val="0"/>
                <w:iCs w:val="0"/>
                <w:color w:val="000000"/>
                <w:sz w:val="20"/>
                <w:szCs w:val="20"/>
                <w:highlight w:val="none"/>
                <w:u w:val="none"/>
              </w:rPr>
            </w:pPr>
          </w:p>
        </w:tc>
        <w:tc>
          <w:tcPr>
            <w:tcW w:w="7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FE3F84">
            <w:pPr>
              <w:jc w:val="left"/>
              <w:rPr>
                <w:rFonts w:hint="eastAsia" w:ascii="方正仿宋_GB2312" w:hAnsi="方正仿宋_GB2312" w:eastAsia="方正仿宋_GB2312" w:cs="方正仿宋_GB2312"/>
                <w:i w:val="0"/>
                <w:iCs w:val="0"/>
                <w:color w:val="000000"/>
                <w:sz w:val="20"/>
                <w:szCs w:val="20"/>
                <w:highlight w:val="none"/>
                <w:u w:val="none"/>
              </w:rPr>
            </w:pP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B258B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4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F6289F">
            <w:pPr>
              <w:jc w:val="right"/>
              <w:rPr>
                <w:rFonts w:hint="default" w:ascii="Times New Roman" w:hAnsi="Times New Roman" w:eastAsia="宋体" w:cs="Times New Roman"/>
                <w:i w:val="0"/>
                <w:iCs w:val="0"/>
                <w:color w:val="000000"/>
                <w:sz w:val="20"/>
                <w:szCs w:val="20"/>
                <w:highlight w:val="none"/>
                <w:u w:val="none"/>
              </w:rPr>
            </w:pPr>
          </w:p>
        </w:tc>
        <w:tc>
          <w:tcPr>
            <w:tcW w:w="5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0174F7">
            <w:pPr>
              <w:jc w:val="right"/>
              <w:rPr>
                <w:rFonts w:hint="default" w:ascii="Times New Roman" w:hAnsi="Times New Roman" w:eastAsia="宋体" w:cs="Times New Roman"/>
                <w:i w:val="0"/>
                <w:iCs w:val="0"/>
                <w:color w:val="000000"/>
                <w:sz w:val="20"/>
                <w:szCs w:val="20"/>
                <w:highlight w:val="none"/>
                <w:u w:val="none"/>
              </w:rPr>
            </w:pPr>
          </w:p>
        </w:tc>
        <w:tc>
          <w:tcPr>
            <w:tcW w:w="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BAA066">
            <w:pPr>
              <w:jc w:val="right"/>
              <w:rPr>
                <w:rFonts w:hint="default" w:ascii="Times New Roman" w:hAnsi="Times New Roman" w:eastAsia="宋体" w:cs="Times New Roman"/>
                <w:i w:val="0"/>
                <w:iCs w:val="0"/>
                <w:color w:val="000000"/>
                <w:sz w:val="20"/>
                <w:szCs w:val="20"/>
                <w:highlight w:val="none"/>
                <w:u w:val="none"/>
              </w:rPr>
            </w:pPr>
          </w:p>
        </w:tc>
        <w:tc>
          <w:tcPr>
            <w:tcW w:w="5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14AAC0">
            <w:pPr>
              <w:jc w:val="left"/>
              <w:rPr>
                <w:rFonts w:hint="default" w:ascii="Times New Roman" w:hAnsi="Times New Roman" w:eastAsia="宋体" w:cs="Times New Roman"/>
                <w:i w:val="0"/>
                <w:iCs w:val="0"/>
                <w:color w:val="000000"/>
                <w:sz w:val="20"/>
                <w:szCs w:val="20"/>
                <w:highlight w:val="none"/>
                <w:u w:val="none"/>
              </w:rPr>
            </w:pPr>
          </w:p>
        </w:tc>
      </w:tr>
      <w:tr w14:paraId="45D79A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9D258E">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D2541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4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79273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17,113.69</w:t>
            </w:r>
          </w:p>
        </w:tc>
        <w:tc>
          <w:tcPr>
            <w:tcW w:w="7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FEBDE6">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DF7A3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4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17C0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17,113.69</w:t>
            </w:r>
          </w:p>
        </w:tc>
        <w:tc>
          <w:tcPr>
            <w:tcW w:w="5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41FE1D">
            <w:pPr>
              <w:jc w:val="right"/>
              <w:rPr>
                <w:rFonts w:hint="default" w:ascii="Times New Roman" w:hAnsi="Times New Roman" w:cs="Times New Roman"/>
                <w:sz w:val="20"/>
                <w:szCs w:val="20"/>
                <w:highlight w:val="none"/>
              </w:rPr>
            </w:pPr>
          </w:p>
          <w:p w14:paraId="61F7D9B7">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17,113.69</w:t>
            </w:r>
          </w:p>
          <w:p w14:paraId="792055C2">
            <w:pPr>
              <w:jc w:val="right"/>
              <w:rPr>
                <w:rFonts w:hint="default" w:ascii="Times New Roman" w:hAnsi="Times New Roman" w:eastAsia="宋体" w:cs="Times New Roman"/>
                <w:i w:val="0"/>
                <w:iCs w:val="0"/>
                <w:color w:val="000000"/>
                <w:sz w:val="20"/>
                <w:szCs w:val="20"/>
                <w:highlight w:val="none"/>
                <w:u w:val="none"/>
              </w:rPr>
            </w:pPr>
          </w:p>
        </w:tc>
        <w:tc>
          <w:tcPr>
            <w:tcW w:w="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5E89E1">
            <w:pPr>
              <w:jc w:val="right"/>
              <w:rPr>
                <w:rFonts w:hint="default" w:ascii="Times New Roman" w:hAnsi="Times New Roman" w:eastAsia="宋体" w:cs="Times New Roman"/>
                <w:i w:val="0"/>
                <w:iCs w:val="0"/>
                <w:color w:val="000000"/>
                <w:sz w:val="20"/>
                <w:szCs w:val="20"/>
                <w:highlight w:val="none"/>
                <w:u w:val="none"/>
              </w:rPr>
            </w:pPr>
          </w:p>
        </w:tc>
        <w:tc>
          <w:tcPr>
            <w:tcW w:w="5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B141F1">
            <w:pPr>
              <w:jc w:val="right"/>
              <w:rPr>
                <w:rFonts w:hint="default" w:ascii="Times New Roman" w:hAnsi="Times New Roman" w:eastAsia="宋体" w:cs="Times New Roman"/>
                <w:i w:val="0"/>
                <w:iCs w:val="0"/>
                <w:color w:val="000000"/>
                <w:sz w:val="20"/>
                <w:szCs w:val="20"/>
                <w:highlight w:val="none"/>
                <w:u w:val="none"/>
              </w:rPr>
            </w:pPr>
          </w:p>
        </w:tc>
      </w:tr>
      <w:tr w14:paraId="41BB65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0"/>
            <w:tcBorders>
              <w:top w:val="single" w:color="000000" w:themeColor="text1" w:sz="8" w:space="0"/>
              <w:left w:val="nil"/>
              <w:bottom w:val="nil"/>
              <w:right w:val="nil"/>
            </w:tcBorders>
            <w:noWrap/>
            <w:vAlign w:val="center"/>
          </w:tcPr>
          <w:p w14:paraId="64E0D8E9">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14:paraId="654BF7DC">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60"/>
        <w:gridCol w:w="3416"/>
        <w:gridCol w:w="477"/>
        <w:gridCol w:w="1156"/>
        <w:gridCol w:w="1225"/>
        <w:gridCol w:w="408"/>
        <w:gridCol w:w="2071"/>
      </w:tblGrid>
      <w:tr w14:paraId="4FFD66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57" w:hRule="atLeast"/>
        </w:trPr>
        <w:tc>
          <w:tcPr>
            <w:tcW w:w="5000" w:type="pct"/>
            <w:gridSpan w:val="7"/>
            <w:tcBorders>
              <w:top w:val="nil"/>
              <w:left w:val="nil"/>
              <w:bottom w:val="nil"/>
              <w:right w:val="nil"/>
            </w:tcBorders>
            <w:noWrap/>
            <w:vAlign w:val="bottom"/>
          </w:tcPr>
          <w:p w14:paraId="2C0F24D4">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14:paraId="3ECADC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14:paraId="1D213C40">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48A37A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14:paraId="42C6441F">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部门（部门）：河北省石家庄市中级人民法院</w:t>
            </w:r>
          </w:p>
        </w:tc>
        <w:tc>
          <w:tcPr>
            <w:tcW w:w="1541" w:type="pct"/>
            <w:gridSpan w:val="2"/>
            <w:tcBorders>
              <w:top w:val="nil"/>
              <w:left w:val="nil"/>
              <w:bottom w:val="single" w:color="000000" w:themeColor="text1" w:sz="8" w:space="0"/>
              <w:right w:val="nil"/>
            </w:tcBorders>
            <w:noWrap/>
            <w:vAlign w:val="bottom"/>
          </w:tcPr>
          <w:p w14:paraId="460EAAC0">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14:paraId="3F223D8A">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金额部门：万元</w:t>
            </w:r>
          </w:p>
        </w:tc>
      </w:tr>
      <w:tr w14:paraId="774068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073535B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3834830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14:paraId="043F8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1B7517E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0440C6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8D02B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94C10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10B3206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14:paraId="2FDA20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60921668">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96FA666">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2B7325">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95546C5">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17E23F2E">
            <w:pPr>
              <w:jc w:val="center"/>
              <w:rPr>
                <w:rFonts w:hint="eastAsia" w:ascii="宋体" w:hAnsi="宋体" w:eastAsia="宋体" w:cs="宋体"/>
                <w:i w:val="0"/>
                <w:iCs w:val="0"/>
                <w:color w:val="000000"/>
                <w:sz w:val="20"/>
                <w:szCs w:val="20"/>
                <w:highlight w:val="none"/>
                <w:u w:val="none"/>
              </w:rPr>
            </w:pPr>
          </w:p>
        </w:tc>
      </w:tr>
      <w:tr w14:paraId="5F64B5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12C0DF1D">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E83149">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9580D51">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F6FD79A">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50429270">
            <w:pPr>
              <w:jc w:val="center"/>
              <w:rPr>
                <w:rFonts w:hint="eastAsia" w:ascii="宋体" w:hAnsi="宋体" w:eastAsia="宋体" w:cs="宋体"/>
                <w:i w:val="0"/>
                <w:iCs w:val="0"/>
                <w:color w:val="000000"/>
                <w:sz w:val="20"/>
                <w:szCs w:val="20"/>
                <w:highlight w:val="none"/>
                <w:u w:val="none"/>
              </w:rPr>
            </w:pPr>
          </w:p>
        </w:tc>
      </w:tr>
      <w:tr w14:paraId="48AED1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19DB35A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91390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84D3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209BE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14:paraId="08926F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5355FB5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E27F1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17,113.69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86ED3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11,047.05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FC57C9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6,066.64</w:t>
            </w:r>
          </w:p>
        </w:tc>
      </w:tr>
      <w:tr w14:paraId="254299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71BFC2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009D3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FF46E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812.27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F0743B">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4C33A8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812.27</w:t>
            </w:r>
          </w:p>
        </w:tc>
      </w:tr>
      <w:tr w14:paraId="68A1BB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F3FE4F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20140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6E2EF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信访事务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1AB9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51B719">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439555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50.00</w:t>
            </w:r>
          </w:p>
        </w:tc>
      </w:tr>
      <w:tr w14:paraId="1D30D3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90010F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2014004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41DF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信访业务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1BB35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6CC46D">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C24A81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50.00</w:t>
            </w:r>
          </w:p>
        </w:tc>
      </w:tr>
      <w:tr w14:paraId="286593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7DBDCA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3CA5C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其他一般公共服务支出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E8523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762.27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F5B646">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BEEAFE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762.27</w:t>
            </w:r>
          </w:p>
        </w:tc>
      </w:tr>
      <w:tr w14:paraId="30E134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02B3EF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2019901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EB88E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国家赔偿费用支出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892AA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762.27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E65C28">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F0C212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762.27</w:t>
            </w:r>
          </w:p>
        </w:tc>
      </w:tr>
      <w:tr w14:paraId="2A5D76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87A135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D06E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公共安全支出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CFF08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12,510.98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0BAFC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7,256.62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FAE049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5,254.37</w:t>
            </w:r>
          </w:p>
        </w:tc>
      </w:tr>
      <w:tr w14:paraId="79D08B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536C9C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7EAB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公安</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0F78C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260.86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86280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260.86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644E3C8">
            <w:pPr>
              <w:jc w:val="right"/>
              <w:rPr>
                <w:rFonts w:hint="default" w:ascii="Times New Roman" w:hAnsi="Times New Roman" w:eastAsia="宋体" w:cs="Times New Roman"/>
                <w:i w:val="0"/>
                <w:iCs w:val="0"/>
                <w:color w:val="000000"/>
                <w:sz w:val="20"/>
                <w:szCs w:val="20"/>
                <w:highlight w:val="none"/>
                <w:u w:val="none"/>
              </w:rPr>
            </w:pPr>
          </w:p>
        </w:tc>
      </w:tr>
      <w:tr w14:paraId="57DDDA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37CEFC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C6942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A09BD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260.86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8C257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260.86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2B3085A">
            <w:pPr>
              <w:jc w:val="right"/>
              <w:rPr>
                <w:rFonts w:hint="default" w:ascii="Times New Roman" w:hAnsi="Times New Roman" w:eastAsia="宋体" w:cs="Times New Roman"/>
                <w:i w:val="0"/>
                <w:iCs w:val="0"/>
                <w:color w:val="000000"/>
                <w:sz w:val="20"/>
                <w:szCs w:val="20"/>
                <w:highlight w:val="none"/>
                <w:u w:val="none"/>
              </w:rPr>
            </w:pPr>
          </w:p>
        </w:tc>
      </w:tr>
      <w:tr w14:paraId="73E49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5E69F0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85C42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法院</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7A682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12,180.12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C4E87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6,995.76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EE9153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5,184.37</w:t>
            </w:r>
          </w:p>
        </w:tc>
      </w:tr>
      <w:tr w14:paraId="4EFBBB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70FA6B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2040501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F0784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5BDAA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7,238.31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5F34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6,995.76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27C5E6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242.55</w:t>
            </w:r>
          </w:p>
        </w:tc>
      </w:tr>
      <w:tr w14:paraId="2A3162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66336B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2040502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172E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5B654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4,785.37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DBC857">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94B3B8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4,785.37</w:t>
            </w:r>
          </w:p>
        </w:tc>
      </w:tr>
      <w:tr w14:paraId="3DCCCF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2B50EF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2040504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69A79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案件审判</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22F02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18.10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4CEA2F">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01AD0F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18.10</w:t>
            </w:r>
          </w:p>
        </w:tc>
      </w:tr>
      <w:tr w14:paraId="14DDD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838822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2040599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28BE5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其他法院支出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83ECB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138.34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DA6FA0">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37BE6D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138.34</w:t>
            </w:r>
          </w:p>
        </w:tc>
      </w:tr>
      <w:tr w14:paraId="24206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48AA9E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DAEFD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其他公共安全支出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74021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70.00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206647">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8AD396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70.00</w:t>
            </w:r>
          </w:p>
        </w:tc>
      </w:tr>
      <w:tr w14:paraId="196472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6314A9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2049902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0E1D7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国家司法救助支出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782B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70.00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A94E73">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51EBF3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70.00</w:t>
            </w:r>
          </w:p>
        </w:tc>
      </w:tr>
      <w:tr w14:paraId="690365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E3E218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4F3EB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9EA9C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2,719.34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18EE1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2,719.34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948F66B">
            <w:pPr>
              <w:jc w:val="right"/>
              <w:rPr>
                <w:rFonts w:hint="default" w:ascii="Times New Roman" w:hAnsi="Times New Roman" w:eastAsia="宋体" w:cs="Times New Roman"/>
                <w:i w:val="0"/>
                <w:iCs w:val="0"/>
                <w:color w:val="000000"/>
                <w:sz w:val="20"/>
                <w:szCs w:val="20"/>
                <w:highlight w:val="none"/>
                <w:u w:val="none"/>
              </w:rPr>
            </w:pPr>
          </w:p>
        </w:tc>
      </w:tr>
      <w:tr w14:paraId="7B662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84E4F7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A1A8F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行政事业部门养老支出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35C74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2,712.43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FEACE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2,712.43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EB896CC">
            <w:pPr>
              <w:jc w:val="right"/>
              <w:rPr>
                <w:rFonts w:hint="default" w:ascii="Times New Roman" w:hAnsi="Times New Roman" w:eastAsia="宋体" w:cs="Times New Roman"/>
                <w:i w:val="0"/>
                <w:iCs w:val="0"/>
                <w:color w:val="000000"/>
                <w:sz w:val="20"/>
                <w:szCs w:val="20"/>
                <w:highlight w:val="none"/>
                <w:u w:val="none"/>
              </w:rPr>
            </w:pPr>
          </w:p>
        </w:tc>
      </w:tr>
      <w:tr w14:paraId="737C7D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989886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C398D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行政部门离退休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02A48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1,689.97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58EFE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1,689.97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0B2E7D9">
            <w:pPr>
              <w:jc w:val="right"/>
              <w:rPr>
                <w:rFonts w:hint="default" w:ascii="Times New Roman" w:hAnsi="Times New Roman" w:eastAsia="宋体" w:cs="Times New Roman"/>
                <w:i w:val="0"/>
                <w:iCs w:val="0"/>
                <w:color w:val="000000"/>
                <w:sz w:val="20"/>
                <w:szCs w:val="20"/>
                <w:highlight w:val="none"/>
                <w:u w:val="none"/>
              </w:rPr>
            </w:pPr>
          </w:p>
        </w:tc>
      </w:tr>
      <w:tr w14:paraId="751C24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F51C1E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16B9F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机关事业部门基本养老保险缴费支出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AA4DF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653.00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D8E36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653.00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F4D5566">
            <w:pPr>
              <w:jc w:val="right"/>
              <w:rPr>
                <w:rFonts w:hint="default" w:ascii="Times New Roman" w:hAnsi="Times New Roman" w:eastAsia="宋体" w:cs="Times New Roman"/>
                <w:i w:val="0"/>
                <w:iCs w:val="0"/>
                <w:color w:val="000000"/>
                <w:sz w:val="20"/>
                <w:szCs w:val="20"/>
                <w:highlight w:val="none"/>
                <w:u w:val="none"/>
              </w:rPr>
            </w:pPr>
          </w:p>
        </w:tc>
      </w:tr>
      <w:tr w14:paraId="65BE8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9C3C7B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2080506</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BF30E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机关事业部门职业年金缴费支出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731F3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369.46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836C5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369.46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5B5A7A3">
            <w:pPr>
              <w:jc w:val="right"/>
              <w:rPr>
                <w:rFonts w:hint="default" w:ascii="Times New Roman" w:hAnsi="Times New Roman" w:eastAsia="宋体" w:cs="Times New Roman"/>
                <w:i w:val="0"/>
                <w:iCs w:val="0"/>
                <w:color w:val="000000"/>
                <w:sz w:val="20"/>
                <w:szCs w:val="20"/>
                <w:highlight w:val="none"/>
                <w:u w:val="none"/>
              </w:rPr>
            </w:pPr>
          </w:p>
        </w:tc>
      </w:tr>
      <w:tr w14:paraId="2F2B03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1E6D59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6885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AF5A3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6.91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6F62B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6.91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A449A8E">
            <w:pPr>
              <w:jc w:val="right"/>
              <w:rPr>
                <w:rFonts w:hint="default" w:ascii="Times New Roman" w:hAnsi="Times New Roman" w:eastAsia="宋体" w:cs="Times New Roman"/>
                <w:i w:val="0"/>
                <w:iCs w:val="0"/>
                <w:color w:val="000000"/>
                <w:sz w:val="20"/>
                <w:szCs w:val="20"/>
                <w:highlight w:val="none"/>
                <w:u w:val="none"/>
              </w:rPr>
            </w:pPr>
          </w:p>
        </w:tc>
      </w:tr>
      <w:tr w14:paraId="164D6F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2831BA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2089999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3141B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1AEDA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6.91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72CD9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6.91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44736DB">
            <w:pPr>
              <w:jc w:val="right"/>
              <w:rPr>
                <w:rFonts w:hint="default" w:ascii="Times New Roman" w:hAnsi="Times New Roman" w:eastAsia="宋体" w:cs="Times New Roman"/>
                <w:i w:val="0"/>
                <w:iCs w:val="0"/>
                <w:color w:val="000000"/>
                <w:sz w:val="20"/>
                <w:szCs w:val="20"/>
                <w:highlight w:val="none"/>
                <w:u w:val="none"/>
              </w:rPr>
            </w:pPr>
          </w:p>
        </w:tc>
      </w:tr>
      <w:tr w14:paraId="0C9412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B85BCA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8A98B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B65E5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409.79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86558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409.79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434AEBC">
            <w:pPr>
              <w:jc w:val="right"/>
              <w:rPr>
                <w:rFonts w:hint="default" w:ascii="Times New Roman" w:hAnsi="Times New Roman" w:eastAsia="宋体" w:cs="Times New Roman"/>
                <w:i w:val="0"/>
                <w:iCs w:val="0"/>
                <w:color w:val="000000"/>
                <w:sz w:val="20"/>
                <w:szCs w:val="20"/>
                <w:highlight w:val="none"/>
                <w:u w:val="none"/>
              </w:rPr>
            </w:pPr>
          </w:p>
        </w:tc>
      </w:tr>
      <w:tr w14:paraId="1BBA31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1DF870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00DC1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行政事业部门医疗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4961C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409.79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6FEE4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409.79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6DB1883">
            <w:pPr>
              <w:jc w:val="right"/>
              <w:rPr>
                <w:rFonts w:hint="default" w:ascii="Times New Roman" w:hAnsi="Times New Roman" w:eastAsia="宋体" w:cs="Times New Roman"/>
                <w:i w:val="0"/>
                <w:iCs w:val="0"/>
                <w:color w:val="000000"/>
                <w:sz w:val="20"/>
                <w:szCs w:val="20"/>
                <w:highlight w:val="none"/>
                <w:u w:val="none"/>
              </w:rPr>
            </w:pPr>
          </w:p>
        </w:tc>
      </w:tr>
      <w:tr w14:paraId="58281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44800C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B0968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行政部门医疗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90667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247.79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5F837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247.79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AE1663E">
            <w:pPr>
              <w:jc w:val="right"/>
              <w:rPr>
                <w:rFonts w:hint="default" w:ascii="Times New Roman" w:hAnsi="Times New Roman" w:eastAsia="宋体" w:cs="Times New Roman"/>
                <w:i w:val="0"/>
                <w:iCs w:val="0"/>
                <w:color w:val="000000"/>
                <w:sz w:val="20"/>
                <w:szCs w:val="20"/>
                <w:highlight w:val="none"/>
                <w:u w:val="none"/>
              </w:rPr>
            </w:pPr>
          </w:p>
        </w:tc>
      </w:tr>
      <w:tr w14:paraId="715580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396927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EB2FC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公务员医疗补助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C9462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162.00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21CFA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162.00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2A5E606">
            <w:pPr>
              <w:jc w:val="right"/>
              <w:rPr>
                <w:rFonts w:hint="default" w:ascii="Times New Roman" w:hAnsi="Times New Roman" w:eastAsia="宋体" w:cs="Times New Roman"/>
                <w:i w:val="0"/>
                <w:iCs w:val="0"/>
                <w:color w:val="000000"/>
                <w:sz w:val="20"/>
                <w:szCs w:val="20"/>
                <w:highlight w:val="none"/>
                <w:u w:val="none"/>
              </w:rPr>
            </w:pPr>
          </w:p>
        </w:tc>
      </w:tr>
      <w:tr w14:paraId="26103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2EECDB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85F85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A595F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661.31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D34C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661.31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350EB57">
            <w:pPr>
              <w:jc w:val="right"/>
              <w:rPr>
                <w:rFonts w:hint="default" w:ascii="Times New Roman" w:hAnsi="Times New Roman" w:eastAsia="宋体" w:cs="Times New Roman"/>
                <w:i w:val="0"/>
                <w:iCs w:val="0"/>
                <w:color w:val="000000"/>
                <w:sz w:val="20"/>
                <w:szCs w:val="20"/>
                <w:highlight w:val="none"/>
                <w:u w:val="none"/>
              </w:rPr>
            </w:pPr>
          </w:p>
        </w:tc>
      </w:tr>
      <w:tr w14:paraId="2FA14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9DA7E1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BD5B8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3A1B3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661.31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DF2BB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661.31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320AB4E">
            <w:pPr>
              <w:jc w:val="right"/>
              <w:rPr>
                <w:rFonts w:hint="default" w:ascii="Times New Roman" w:hAnsi="Times New Roman" w:eastAsia="宋体" w:cs="Times New Roman"/>
                <w:i w:val="0"/>
                <w:iCs w:val="0"/>
                <w:color w:val="000000"/>
                <w:sz w:val="20"/>
                <w:szCs w:val="20"/>
                <w:highlight w:val="none"/>
                <w:u w:val="none"/>
              </w:rPr>
            </w:pPr>
          </w:p>
        </w:tc>
      </w:tr>
      <w:tr w14:paraId="58D11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9F969D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230F4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70D28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661.31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285AA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661.31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23695B3">
            <w:pPr>
              <w:jc w:val="right"/>
              <w:rPr>
                <w:rFonts w:hint="default" w:ascii="Times New Roman" w:hAnsi="Times New Roman" w:eastAsia="宋体" w:cs="Times New Roman"/>
                <w:i w:val="0"/>
                <w:iCs w:val="0"/>
                <w:color w:val="000000"/>
                <w:sz w:val="20"/>
                <w:szCs w:val="20"/>
                <w:highlight w:val="none"/>
                <w:u w:val="none"/>
              </w:rPr>
            </w:pPr>
          </w:p>
        </w:tc>
      </w:tr>
      <w:tr w14:paraId="04866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14:paraId="04870D0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14:paraId="37D28B7F">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41C050E1">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14:paraId="34B18C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442E6817">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14:paraId="17A03E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5B70DBA1">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14:paraId="02D65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14:paraId="5E4BE080">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部门（部门）：河北省石家庄市中级人民法院</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14:paraId="0F67F3F2">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14:paraId="3883502A">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金额部门：万元</w:t>
            </w:r>
          </w:p>
        </w:tc>
      </w:tr>
      <w:tr w14:paraId="2FB73E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14:paraId="17AB112E">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14:paraId="35D82176">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14:paraId="093683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4749EFA4">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14:paraId="7E92FF88">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41936C5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0ACC3766">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14:paraId="773520F0">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14:paraId="4ABD47E4">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0C0F3750">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14:paraId="491C5F1A">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0C6649EC">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14:paraId="3F49EF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6F9E09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14:paraId="3C1E207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09B626C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8,116.17</w:t>
            </w:r>
          </w:p>
        </w:tc>
        <w:tc>
          <w:tcPr>
            <w:tcW w:w="666" w:type="dxa"/>
            <w:tcBorders>
              <w:top w:val="nil"/>
              <w:left w:val="nil"/>
              <w:bottom w:val="single" w:color="000000" w:sz="8" w:space="0"/>
              <w:right w:val="single" w:color="000000" w:sz="8" w:space="0"/>
            </w:tcBorders>
            <w:shd w:val="clear" w:color="auto" w:fill="auto"/>
            <w:noWrap/>
            <w:vAlign w:val="center"/>
          </w:tcPr>
          <w:p w14:paraId="6A051F9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EA7759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14:paraId="69CD1F5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1,165.11</w:t>
            </w:r>
          </w:p>
        </w:tc>
        <w:tc>
          <w:tcPr>
            <w:tcW w:w="666" w:type="dxa"/>
            <w:tcBorders>
              <w:top w:val="nil"/>
              <w:left w:val="nil"/>
              <w:bottom w:val="single" w:color="000000" w:sz="8" w:space="0"/>
              <w:right w:val="single" w:color="000000" w:sz="8" w:space="0"/>
            </w:tcBorders>
            <w:shd w:val="clear" w:color="auto" w:fill="auto"/>
            <w:noWrap/>
            <w:vAlign w:val="center"/>
          </w:tcPr>
          <w:p w14:paraId="12727C1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14:paraId="2561A9D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14:paraId="13A3AE9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AE6DE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0FFE23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14:paraId="4B77052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14:paraId="5A54711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2,117.31</w:t>
            </w:r>
          </w:p>
        </w:tc>
        <w:tc>
          <w:tcPr>
            <w:tcW w:w="666" w:type="dxa"/>
            <w:tcBorders>
              <w:top w:val="nil"/>
              <w:left w:val="nil"/>
              <w:bottom w:val="single" w:color="000000" w:sz="8" w:space="0"/>
              <w:right w:val="single" w:color="000000" w:sz="8" w:space="0"/>
            </w:tcBorders>
            <w:shd w:val="clear" w:color="auto" w:fill="auto"/>
            <w:noWrap/>
            <w:vAlign w:val="center"/>
          </w:tcPr>
          <w:p w14:paraId="3520340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BC43A4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14:paraId="6138B48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45.20</w:t>
            </w:r>
          </w:p>
        </w:tc>
        <w:tc>
          <w:tcPr>
            <w:tcW w:w="666" w:type="dxa"/>
            <w:tcBorders>
              <w:top w:val="nil"/>
              <w:left w:val="nil"/>
              <w:bottom w:val="single" w:color="000000" w:sz="8" w:space="0"/>
              <w:right w:val="single" w:color="000000" w:sz="8" w:space="0"/>
            </w:tcBorders>
            <w:shd w:val="clear" w:color="auto" w:fill="auto"/>
            <w:noWrap/>
            <w:vAlign w:val="center"/>
          </w:tcPr>
          <w:p w14:paraId="230FA9F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14:paraId="75464EA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14:paraId="14C3402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F18DB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DB5BF5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14:paraId="3CDAA82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14:paraId="73F926C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1,338.93</w:t>
            </w:r>
          </w:p>
        </w:tc>
        <w:tc>
          <w:tcPr>
            <w:tcW w:w="666" w:type="dxa"/>
            <w:tcBorders>
              <w:top w:val="nil"/>
              <w:left w:val="nil"/>
              <w:bottom w:val="single" w:color="000000" w:sz="8" w:space="0"/>
              <w:right w:val="single" w:color="000000" w:sz="8" w:space="0"/>
            </w:tcBorders>
            <w:shd w:val="clear" w:color="auto" w:fill="auto"/>
            <w:noWrap/>
            <w:vAlign w:val="center"/>
          </w:tcPr>
          <w:p w14:paraId="3AB5AF7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BBF6A2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14:paraId="5124B01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FE2FF9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14:paraId="54DC9CD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14:paraId="2654934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6020E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422F34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14:paraId="5AEB827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14:paraId="01CED53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2,288.75</w:t>
            </w:r>
          </w:p>
        </w:tc>
        <w:tc>
          <w:tcPr>
            <w:tcW w:w="666" w:type="dxa"/>
            <w:tcBorders>
              <w:top w:val="nil"/>
              <w:left w:val="nil"/>
              <w:bottom w:val="single" w:color="000000" w:sz="8" w:space="0"/>
              <w:right w:val="single" w:color="000000" w:sz="8" w:space="0"/>
            </w:tcBorders>
            <w:shd w:val="clear" w:color="auto" w:fill="auto"/>
            <w:noWrap/>
            <w:vAlign w:val="center"/>
          </w:tcPr>
          <w:p w14:paraId="66F76C0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E67E97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14:paraId="4C62E90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1E2205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14:paraId="6BC2AB7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14:paraId="7EECFDB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44D56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AC10DD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14:paraId="029B3B4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14:paraId="26A4A4B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3F0D2F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18B5D7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14:paraId="6C14227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11.48</w:t>
            </w:r>
          </w:p>
        </w:tc>
        <w:tc>
          <w:tcPr>
            <w:tcW w:w="666" w:type="dxa"/>
            <w:tcBorders>
              <w:top w:val="nil"/>
              <w:left w:val="nil"/>
              <w:bottom w:val="single" w:color="000000" w:sz="8" w:space="0"/>
              <w:right w:val="single" w:color="000000" w:sz="8" w:space="0"/>
            </w:tcBorders>
            <w:shd w:val="clear" w:color="auto" w:fill="auto"/>
            <w:noWrap/>
            <w:vAlign w:val="center"/>
          </w:tcPr>
          <w:p w14:paraId="4D00C50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14:paraId="6918AF3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14:paraId="4DB62B9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9F007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6955A6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14:paraId="28DFF21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14:paraId="209EA44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20.53</w:t>
            </w:r>
          </w:p>
        </w:tc>
        <w:tc>
          <w:tcPr>
            <w:tcW w:w="666" w:type="dxa"/>
            <w:tcBorders>
              <w:top w:val="nil"/>
              <w:left w:val="nil"/>
              <w:bottom w:val="single" w:color="000000" w:sz="8" w:space="0"/>
              <w:right w:val="single" w:color="000000" w:sz="8" w:space="0"/>
            </w:tcBorders>
            <w:shd w:val="clear" w:color="auto" w:fill="auto"/>
            <w:noWrap/>
            <w:vAlign w:val="center"/>
          </w:tcPr>
          <w:p w14:paraId="23AB099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BF0BDF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14:paraId="6626F3C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96.91</w:t>
            </w:r>
          </w:p>
        </w:tc>
        <w:tc>
          <w:tcPr>
            <w:tcW w:w="666" w:type="dxa"/>
            <w:tcBorders>
              <w:top w:val="nil"/>
              <w:left w:val="nil"/>
              <w:bottom w:val="single" w:color="000000" w:sz="8" w:space="0"/>
              <w:right w:val="single" w:color="000000" w:sz="8" w:space="0"/>
            </w:tcBorders>
            <w:shd w:val="clear" w:color="auto" w:fill="auto"/>
            <w:noWrap/>
            <w:vAlign w:val="center"/>
          </w:tcPr>
          <w:p w14:paraId="1B688EB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14:paraId="2D06E70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14:paraId="47E013B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9B3F3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A8038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14:paraId="29C0F5D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机关事业部门基本养老保险缴费</w:t>
            </w:r>
          </w:p>
        </w:tc>
        <w:tc>
          <w:tcPr>
            <w:tcW w:w="1896" w:type="dxa"/>
            <w:tcBorders>
              <w:top w:val="nil"/>
              <w:left w:val="nil"/>
              <w:bottom w:val="single" w:color="000000" w:sz="8" w:space="0"/>
              <w:right w:val="single" w:color="000000" w:sz="8" w:space="0"/>
            </w:tcBorders>
            <w:shd w:val="clear" w:color="auto" w:fill="auto"/>
            <w:noWrap/>
            <w:vAlign w:val="center"/>
          </w:tcPr>
          <w:p w14:paraId="3BDD5FB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653.00</w:t>
            </w:r>
          </w:p>
        </w:tc>
        <w:tc>
          <w:tcPr>
            <w:tcW w:w="666" w:type="dxa"/>
            <w:tcBorders>
              <w:top w:val="nil"/>
              <w:left w:val="nil"/>
              <w:bottom w:val="single" w:color="000000" w:sz="8" w:space="0"/>
              <w:right w:val="single" w:color="000000" w:sz="8" w:space="0"/>
            </w:tcBorders>
            <w:shd w:val="clear" w:color="auto" w:fill="auto"/>
            <w:noWrap/>
            <w:vAlign w:val="center"/>
          </w:tcPr>
          <w:p w14:paraId="2213C0E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AD028B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14:paraId="2BE0141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195.21</w:t>
            </w:r>
          </w:p>
        </w:tc>
        <w:tc>
          <w:tcPr>
            <w:tcW w:w="666" w:type="dxa"/>
            <w:tcBorders>
              <w:top w:val="nil"/>
              <w:left w:val="nil"/>
              <w:bottom w:val="single" w:color="000000" w:sz="8" w:space="0"/>
              <w:right w:val="single" w:color="000000" w:sz="8" w:space="0"/>
            </w:tcBorders>
            <w:shd w:val="clear" w:color="auto" w:fill="auto"/>
            <w:noWrap/>
            <w:vAlign w:val="center"/>
          </w:tcPr>
          <w:p w14:paraId="393296A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14:paraId="01E9DF8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14:paraId="191F2C4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B1610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0FE659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14:paraId="3B0F8DE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14:paraId="3611FCB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369.46</w:t>
            </w:r>
          </w:p>
        </w:tc>
        <w:tc>
          <w:tcPr>
            <w:tcW w:w="666" w:type="dxa"/>
            <w:tcBorders>
              <w:top w:val="nil"/>
              <w:left w:val="nil"/>
              <w:bottom w:val="single" w:color="000000" w:sz="8" w:space="0"/>
              <w:right w:val="single" w:color="000000" w:sz="8" w:space="0"/>
            </w:tcBorders>
            <w:shd w:val="clear" w:color="auto" w:fill="auto"/>
            <w:noWrap/>
            <w:vAlign w:val="center"/>
          </w:tcPr>
          <w:p w14:paraId="51334CB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F9252C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14:paraId="5347D75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117.46</w:t>
            </w:r>
          </w:p>
        </w:tc>
        <w:tc>
          <w:tcPr>
            <w:tcW w:w="666" w:type="dxa"/>
            <w:tcBorders>
              <w:top w:val="nil"/>
              <w:left w:val="nil"/>
              <w:bottom w:val="single" w:color="000000" w:sz="8" w:space="0"/>
              <w:right w:val="single" w:color="000000" w:sz="8" w:space="0"/>
            </w:tcBorders>
            <w:shd w:val="clear" w:color="auto" w:fill="auto"/>
            <w:noWrap/>
            <w:vAlign w:val="center"/>
          </w:tcPr>
          <w:p w14:paraId="695B890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14:paraId="46804FE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14:paraId="399A7E1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C50E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F7F2A6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14:paraId="6DED2B5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14:paraId="2F5D203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247.79</w:t>
            </w:r>
          </w:p>
        </w:tc>
        <w:tc>
          <w:tcPr>
            <w:tcW w:w="666" w:type="dxa"/>
            <w:tcBorders>
              <w:top w:val="nil"/>
              <w:left w:val="nil"/>
              <w:bottom w:val="single" w:color="000000" w:sz="8" w:space="0"/>
              <w:right w:val="single" w:color="000000" w:sz="8" w:space="0"/>
            </w:tcBorders>
            <w:shd w:val="clear" w:color="auto" w:fill="auto"/>
            <w:noWrap/>
            <w:vAlign w:val="center"/>
          </w:tcPr>
          <w:p w14:paraId="36FA20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FB5F5C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14:paraId="6118050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2F40DF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14:paraId="3A4C005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14:paraId="272BE83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6C901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0A1DED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14:paraId="59FF908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14:paraId="72E3E6B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162.00</w:t>
            </w:r>
          </w:p>
        </w:tc>
        <w:tc>
          <w:tcPr>
            <w:tcW w:w="666" w:type="dxa"/>
            <w:tcBorders>
              <w:top w:val="nil"/>
              <w:left w:val="nil"/>
              <w:bottom w:val="single" w:color="000000" w:sz="8" w:space="0"/>
              <w:right w:val="single" w:color="000000" w:sz="8" w:space="0"/>
            </w:tcBorders>
            <w:shd w:val="clear" w:color="auto" w:fill="auto"/>
            <w:noWrap/>
            <w:vAlign w:val="center"/>
          </w:tcPr>
          <w:p w14:paraId="1D855FC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5B933D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14:paraId="0235E36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26.01</w:t>
            </w:r>
          </w:p>
        </w:tc>
        <w:tc>
          <w:tcPr>
            <w:tcW w:w="666" w:type="dxa"/>
            <w:tcBorders>
              <w:top w:val="nil"/>
              <w:left w:val="nil"/>
              <w:bottom w:val="single" w:color="000000" w:sz="8" w:space="0"/>
              <w:right w:val="single" w:color="000000" w:sz="8" w:space="0"/>
            </w:tcBorders>
            <w:shd w:val="clear" w:color="auto" w:fill="auto"/>
            <w:noWrap/>
            <w:vAlign w:val="center"/>
          </w:tcPr>
          <w:p w14:paraId="6824D86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14:paraId="37914CB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14:paraId="37E0C4A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4255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4CC7DD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14:paraId="7203B90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14:paraId="1DA34E3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6.91</w:t>
            </w:r>
          </w:p>
        </w:tc>
        <w:tc>
          <w:tcPr>
            <w:tcW w:w="666" w:type="dxa"/>
            <w:tcBorders>
              <w:top w:val="nil"/>
              <w:left w:val="nil"/>
              <w:bottom w:val="single" w:color="000000" w:sz="8" w:space="0"/>
              <w:right w:val="single" w:color="000000" w:sz="8" w:space="0"/>
            </w:tcBorders>
            <w:shd w:val="clear" w:color="auto" w:fill="auto"/>
            <w:noWrap/>
            <w:vAlign w:val="center"/>
          </w:tcPr>
          <w:p w14:paraId="7E9DE4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FB3E80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14:paraId="5E40711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21955C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14:paraId="758C5C2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14:paraId="4E999E3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DBB97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01D6B4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14:paraId="69E3A04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14:paraId="2A55AAF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661.31</w:t>
            </w:r>
          </w:p>
        </w:tc>
        <w:tc>
          <w:tcPr>
            <w:tcW w:w="666" w:type="dxa"/>
            <w:tcBorders>
              <w:top w:val="nil"/>
              <w:left w:val="nil"/>
              <w:bottom w:val="single" w:color="000000" w:sz="8" w:space="0"/>
              <w:right w:val="single" w:color="000000" w:sz="8" w:space="0"/>
            </w:tcBorders>
            <w:shd w:val="clear" w:color="auto" w:fill="auto"/>
            <w:noWrap/>
            <w:vAlign w:val="center"/>
          </w:tcPr>
          <w:p w14:paraId="14FE8E4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797DC6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14:paraId="48F616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21.80</w:t>
            </w:r>
          </w:p>
        </w:tc>
        <w:tc>
          <w:tcPr>
            <w:tcW w:w="666" w:type="dxa"/>
            <w:tcBorders>
              <w:top w:val="nil"/>
              <w:left w:val="nil"/>
              <w:bottom w:val="single" w:color="000000" w:sz="8" w:space="0"/>
              <w:right w:val="single" w:color="000000" w:sz="8" w:space="0"/>
            </w:tcBorders>
            <w:shd w:val="clear" w:color="auto" w:fill="auto"/>
            <w:noWrap/>
            <w:vAlign w:val="center"/>
          </w:tcPr>
          <w:p w14:paraId="3E085B1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14:paraId="2335E48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14:paraId="474DDC6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681D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B6162F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14:paraId="1605024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14:paraId="185BFDF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4DCEE1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509EC2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14:paraId="386D7C1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EF3435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14:paraId="00F92AD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14:paraId="2174D51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4C039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DEC787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14:paraId="1131ECE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6C32085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250.17</w:t>
            </w:r>
          </w:p>
        </w:tc>
        <w:tc>
          <w:tcPr>
            <w:tcW w:w="666" w:type="dxa"/>
            <w:tcBorders>
              <w:top w:val="nil"/>
              <w:left w:val="nil"/>
              <w:bottom w:val="single" w:color="000000" w:sz="8" w:space="0"/>
              <w:right w:val="single" w:color="000000" w:sz="8" w:space="0"/>
            </w:tcBorders>
            <w:shd w:val="clear" w:color="auto" w:fill="auto"/>
            <w:noWrap/>
            <w:vAlign w:val="center"/>
          </w:tcPr>
          <w:p w14:paraId="6FC3C7E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E84BCA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14:paraId="0226E69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0.93</w:t>
            </w:r>
          </w:p>
        </w:tc>
        <w:tc>
          <w:tcPr>
            <w:tcW w:w="666" w:type="dxa"/>
            <w:tcBorders>
              <w:top w:val="nil"/>
              <w:left w:val="nil"/>
              <w:bottom w:val="single" w:color="000000" w:sz="8" w:space="0"/>
              <w:right w:val="single" w:color="000000" w:sz="8" w:space="0"/>
            </w:tcBorders>
            <w:shd w:val="clear" w:color="auto" w:fill="auto"/>
            <w:noWrap/>
            <w:vAlign w:val="center"/>
          </w:tcPr>
          <w:p w14:paraId="5D25C91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14:paraId="1882564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14:paraId="71DD1C7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0BB16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89F853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14:paraId="4DF4934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5320B06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1,765.78</w:t>
            </w:r>
          </w:p>
        </w:tc>
        <w:tc>
          <w:tcPr>
            <w:tcW w:w="666" w:type="dxa"/>
            <w:tcBorders>
              <w:top w:val="nil"/>
              <w:left w:val="nil"/>
              <w:bottom w:val="single" w:color="000000" w:sz="8" w:space="0"/>
              <w:right w:val="single" w:color="000000" w:sz="8" w:space="0"/>
            </w:tcBorders>
            <w:shd w:val="clear" w:color="auto" w:fill="auto"/>
            <w:noWrap/>
            <w:vAlign w:val="center"/>
          </w:tcPr>
          <w:p w14:paraId="30B1573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6F59F1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14:paraId="2133EF9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5.49</w:t>
            </w:r>
          </w:p>
        </w:tc>
        <w:tc>
          <w:tcPr>
            <w:tcW w:w="666" w:type="dxa"/>
            <w:tcBorders>
              <w:top w:val="nil"/>
              <w:left w:val="nil"/>
              <w:bottom w:val="single" w:color="000000" w:sz="8" w:space="0"/>
              <w:right w:val="single" w:color="000000" w:sz="8" w:space="0"/>
            </w:tcBorders>
            <w:shd w:val="clear" w:color="auto" w:fill="auto"/>
            <w:noWrap/>
            <w:vAlign w:val="center"/>
          </w:tcPr>
          <w:p w14:paraId="46FBD79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14:paraId="5261F4C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14:paraId="31ECA83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1C540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B84355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14:paraId="3C9D4E6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14:paraId="6BE77A6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31.84</w:t>
            </w:r>
          </w:p>
        </w:tc>
        <w:tc>
          <w:tcPr>
            <w:tcW w:w="666" w:type="dxa"/>
            <w:tcBorders>
              <w:top w:val="nil"/>
              <w:left w:val="nil"/>
              <w:bottom w:val="single" w:color="000000" w:sz="8" w:space="0"/>
              <w:right w:val="single" w:color="000000" w:sz="8" w:space="0"/>
            </w:tcBorders>
            <w:shd w:val="clear" w:color="auto" w:fill="auto"/>
            <w:noWrap/>
            <w:vAlign w:val="center"/>
          </w:tcPr>
          <w:p w14:paraId="608429C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F77BB1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14:paraId="01AF4AD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0.14</w:t>
            </w:r>
          </w:p>
        </w:tc>
        <w:tc>
          <w:tcPr>
            <w:tcW w:w="666" w:type="dxa"/>
            <w:tcBorders>
              <w:top w:val="nil"/>
              <w:left w:val="nil"/>
              <w:bottom w:val="single" w:color="000000" w:sz="8" w:space="0"/>
              <w:right w:val="single" w:color="000000" w:sz="8" w:space="0"/>
            </w:tcBorders>
            <w:shd w:val="clear" w:color="auto" w:fill="auto"/>
            <w:noWrap/>
            <w:vAlign w:val="center"/>
          </w:tcPr>
          <w:p w14:paraId="77E2516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14:paraId="5291CF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14:paraId="5BAEEDE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CFF29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D582A5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14:paraId="4312E1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14:paraId="49520D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1,658.13</w:t>
            </w:r>
          </w:p>
        </w:tc>
        <w:tc>
          <w:tcPr>
            <w:tcW w:w="666" w:type="dxa"/>
            <w:tcBorders>
              <w:top w:val="nil"/>
              <w:left w:val="nil"/>
              <w:bottom w:val="single" w:color="000000" w:sz="8" w:space="0"/>
              <w:right w:val="single" w:color="000000" w:sz="8" w:space="0"/>
            </w:tcBorders>
            <w:shd w:val="clear" w:color="auto" w:fill="auto"/>
            <w:noWrap/>
            <w:vAlign w:val="center"/>
          </w:tcPr>
          <w:p w14:paraId="3F498EB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A76061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14:paraId="277401A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E37ED2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14:paraId="6B01E71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14:paraId="2D5792F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4807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6F0060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14:paraId="0DDF7AB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14:paraId="0FA97AA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FC6D85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8FF9B7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14:paraId="7EEED68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1.92</w:t>
            </w:r>
          </w:p>
        </w:tc>
        <w:tc>
          <w:tcPr>
            <w:tcW w:w="666" w:type="dxa"/>
            <w:tcBorders>
              <w:top w:val="nil"/>
              <w:left w:val="nil"/>
              <w:bottom w:val="single" w:color="000000" w:sz="8" w:space="0"/>
              <w:right w:val="single" w:color="000000" w:sz="8" w:space="0"/>
            </w:tcBorders>
            <w:shd w:val="clear" w:color="auto" w:fill="auto"/>
            <w:noWrap/>
            <w:vAlign w:val="center"/>
          </w:tcPr>
          <w:p w14:paraId="4E53AD6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14:paraId="3CF73A4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14:paraId="2EB1A54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AC9AF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FE8905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14:paraId="543B8EE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14:paraId="02E9AC4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70.39</w:t>
            </w:r>
          </w:p>
        </w:tc>
        <w:tc>
          <w:tcPr>
            <w:tcW w:w="666" w:type="dxa"/>
            <w:tcBorders>
              <w:top w:val="nil"/>
              <w:left w:val="nil"/>
              <w:bottom w:val="single" w:color="000000" w:sz="8" w:space="0"/>
              <w:right w:val="single" w:color="000000" w:sz="8" w:space="0"/>
            </w:tcBorders>
            <w:shd w:val="clear" w:color="auto" w:fill="auto"/>
            <w:noWrap/>
            <w:vAlign w:val="center"/>
          </w:tcPr>
          <w:p w14:paraId="3E21AAF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F70FBF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14:paraId="35F5F62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5B1EA1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14:paraId="3EFF257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14:paraId="1BD1346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427D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78B83A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14:paraId="4B0792D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14:paraId="657FD92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5.42</w:t>
            </w:r>
          </w:p>
        </w:tc>
        <w:tc>
          <w:tcPr>
            <w:tcW w:w="666" w:type="dxa"/>
            <w:tcBorders>
              <w:top w:val="nil"/>
              <w:left w:val="nil"/>
              <w:bottom w:val="single" w:color="000000" w:sz="8" w:space="0"/>
              <w:right w:val="single" w:color="000000" w:sz="8" w:space="0"/>
            </w:tcBorders>
            <w:shd w:val="clear" w:color="auto" w:fill="auto"/>
            <w:noWrap/>
            <w:vAlign w:val="center"/>
          </w:tcPr>
          <w:p w14:paraId="40F12EC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A985AC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14:paraId="12841B0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9.90</w:t>
            </w:r>
          </w:p>
        </w:tc>
        <w:tc>
          <w:tcPr>
            <w:tcW w:w="666" w:type="dxa"/>
            <w:tcBorders>
              <w:top w:val="nil"/>
              <w:left w:val="nil"/>
              <w:bottom w:val="single" w:color="000000" w:sz="8" w:space="0"/>
              <w:right w:val="single" w:color="000000" w:sz="8" w:space="0"/>
            </w:tcBorders>
            <w:shd w:val="clear" w:color="auto" w:fill="auto"/>
            <w:noWrap/>
            <w:vAlign w:val="center"/>
          </w:tcPr>
          <w:p w14:paraId="12C909C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14:paraId="6D92DED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14:paraId="1999621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0E8D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479A8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14:paraId="2011B61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14:paraId="1E5BDB2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A1C921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CD0CC8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14:paraId="3A2B005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13.09</w:t>
            </w:r>
          </w:p>
        </w:tc>
        <w:tc>
          <w:tcPr>
            <w:tcW w:w="666" w:type="dxa"/>
            <w:tcBorders>
              <w:top w:val="nil"/>
              <w:left w:val="nil"/>
              <w:bottom w:val="single" w:color="000000" w:sz="8" w:space="0"/>
              <w:right w:val="single" w:color="000000" w:sz="8" w:space="0"/>
            </w:tcBorders>
            <w:shd w:val="clear" w:color="auto" w:fill="auto"/>
            <w:noWrap/>
            <w:vAlign w:val="center"/>
          </w:tcPr>
          <w:p w14:paraId="1ED4751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14:paraId="2BD4D6E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6B5ED67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C6CFF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839795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14:paraId="5FAAE74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14:paraId="17B4B2C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CEC918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CEB8D3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14:paraId="48CA327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74.42</w:t>
            </w:r>
          </w:p>
        </w:tc>
        <w:tc>
          <w:tcPr>
            <w:tcW w:w="666" w:type="dxa"/>
            <w:tcBorders>
              <w:top w:val="nil"/>
              <w:left w:val="nil"/>
              <w:bottom w:val="single" w:color="000000" w:sz="8" w:space="0"/>
              <w:right w:val="single" w:color="000000" w:sz="8" w:space="0"/>
            </w:tcBorders>
            <w:shd w:val="clear" w:color="auto" w:fill="auto"/>
            <w:noWrap/>
            <w:vAlign w:val="center"/>
          </w:tcPr>
          <w:p w14:paraId="55130D8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14:paraId="10DCF79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14:paraId="20C651A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13844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3F806F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14:paraId="70C85AA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14:paraId="43EC236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A48F7A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0A1C96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14:paraId="0051ED6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54.96</w:t>
            </w:r>
          </w:p>
        </w:tc>
        <w:tc>
          <w:tcPr>
            <w:tcW w:w="666" w:type="dxa"/>
            <w:tcBorders>
              <w:top w:val="nil"/>
              <w:left w:val="nil"/>
              <w:bottom w:val="single" w:color="000000" w:sz="8" w:space="0"/>
              <w:right w:val="single" w:color="000000" w:sz="8" w:space="0"/>
            </w:tcBorders>
            <w:shd w:val="clear" w:color="auto" w:fill="auto"/>
            <w:noWrap/>
            <w:vAlign w:val="center"/>
          </w:tcPr>
          <w:p w14:paraId="49A89A5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14:paraId="16E7610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14:paraId="4058681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5FF34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AB8D42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14:paraId="573F1F5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14:paraId="05ABA1E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9D712F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14:paraId="77DCD59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14:paraId="5D44F88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71.07</w:t>
            </w:r>
          </w:p>
        </w:tc>
        <w:tc>
          <w:tcPr>
            <w:tcW w:w="666" w:type="dxa"/>
            <w:tcBorders>
              <w:top w:val="nil"/>
              <w:left w:val="nil"/>
              <w:bottom w:val="single" w:color="000000" w:sz="8" w:space="0"/>
              <w:right w:val="single" w:color="000000" w:sz="8" w:space="0"/>
            </w:tcBorders>
            <w:shd w:val="clear" w:color="auto" w:fill="auto"/>
            <w:noWrap/>
            <w:vAlign w:val="center"/>
          </w:tcPr>
          <w:p w14:paraId="4833FAF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14:paraId="6FF34E1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14:paraId="01852D3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A4CD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2A46FA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14:paraId="135A766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14:paraId="63B5EA1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5C9BF9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14:paraId="2D8DD7B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6721DB1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269.17</w:t>
            </w:r>
          </w:p>
        </w:tc>
        <w:tc>
          <w:tcPr>
            <w:tcW w:w="666" w:type="dxa"/>
            <w:tcBorders>
              <w:top w:val="nil"/>
              <w:left w:val="nil"/>
              <w:bottom w:val="single" w:color="000000" w:sz="8" w:space="0"/>
              <w:right w:val="single" w:color="000000" w:sz="8" w:space="0"/>
            </w:tcBorders>
            <w:shd w:val="clear" w:color="auto" w:fill="auto"/>
            <w:noWrap/>
            <w:vAlign w:val="center"/>
          </w:tcPr>
          <w:p w14:paraId="7A52D2E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14:paraId="2261F07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14:paraId="66D93E2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8A5E3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117620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14:paraId="41172D4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14:paraId="18811CC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0A67D0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14:paraId="181AD9B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1C3CE3D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61746C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14:paraId="026E4A4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7A0BCC6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85B1D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99BAA1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14:paraId="302C933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05E9724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2B4E69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14:paraId="30F1B8F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14:paraId="5372CD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149.95</w:t>
            </w:r>
          </w:p>
        </w:tc>
        <w:tc>
          <w:tcPr>
            <w:tcW w:w="666" w:type="dxa"/>
            <w:tcBorders>
              <w:top w:val="nil"/>
              <w:left w:val="nil"/>
              <w:bottom w:val="single" w:color="000000" w:sz="8" w:space="0"/>
              <w:right w:val="single" w:color="000000" w:sz="8" w:space="0"/>
            </w:tcBorders>
            <w:shd w:val="clear" w:color="auto" w:fill="auto"/>
            <w:noWrap/>
            <w:vAlign w:val="center"/>
          </w:tcPr>
          <w:p w14:paraId="164E5E8D">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14:paraId="5C8EE50C">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14:paraId="11636597">
            <w:pPr>
              <w:snapToGrid w:val="0"/>
              <w:jc w:val="right"/>
              <w:rPr>
                <w:rFonts w:hint="default" w:ascii="Times New Roman" w:hAnsi="Times New Roman" w:eastAsia="宋体" w:cs="Times New Roman"/>
                <w:i w:val="0"/>
                <w:iCs w:val="0"/>
                <w:color w:val="000000"/>
                <w:sz w:val="18"/>
                <w:szCs w:val="18"/>
                <w:u w:val="none"/>
              </w:rPr>
            </w:pPr>
          </w:p>
        </w:tc>
      </w:tr>
      <w:tr w14:paraId="7BE742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14:paraId="2EED5AB1">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14:paraId="3BF2E24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9,881.94</w:t>
            </w:r>
          </w:p>
        </w:tc>
        <w:tc>
          <w:tcPr>
            <w:tcW w:w="5811" w:type="dxa"/>
            <w:gridSpan w:val="6"/>
            <w:tcBorders>
              <w:top w:val="nil"/>
              <w:left w:val="nil"/>
              <w:bottom w:val="single" w:color="000000" w:sz="8" w:space="0"/>
              <w:right w:val="single" w:color="000000" w:sz="8" w:space="0"/>
            </w:tcBorders>
            <w:shd w:val="clear" w:color="auto" w:fill="auto"/>
            <w:noWrap/>
            <w:vAlign w:val="center"/>
          </w:tcPr>
          <w:p w14:paraId="06466AF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14:paraId="16720EC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1,165.11</w:t>
            </w:r>
          </w:p>
        </w:tc>
      </w:tr>
      <w:tr w14:paraId="0E4273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14:paraId="4A4864C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注：本表反映部门本年度一般公共预算财政拨款基本支出明细情况。</w:t>
            </w:r>
          </w:p>
        </w:tc>
      </w:tr>
    </w:tbl>
    <w:p w14:paraId="16055A90">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5D789BB">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111"/>
        <w:gridCol w:w="1294"/>
        <w:gridCol w:w="1151"/>
        <w:gridCol w:w="902"/>
        <w:gridCol w:w="969"/>
        <w:gridCol w:w="370"/>
        <w:gridCol w:w="612"/>
        <w:gridCol w:w="1004"/>
        <w:gridCol w:w="1761"/>
      </w:tblGrid>
      <w:tr w14:paraId="266B0E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2DD8BC4B">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14:paraId="768B96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2E8D1BB4">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05E618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14:paraId="7C26607F">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部门（部门）：河北省石家庄市中级人民法院</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000000" w:themeColor="text1" w:sz="8" w:space="0"/>
              <w:right w:val="nil"/>
            </w:tcBorders>
            <w:noWrap/>
            <w:vAlign w:val="bottom"/>
          </w:tcPr>
          <w:p w14:paraId="634DC717">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5" w:type="pct"/>
            <w:gridSpan w:val="3"/>
            <w:tcBorders>
              <w:top w:val="nil"/>
              <w:left w:val="nil"/>
              <w:bottom w:val="single" w:color="000000" w:themeColor="text1" w:sz="8" w:space="0"/>
              <w:right w:val="nil"/>
            </w:tcBorders>
            <w:noWrap/>
            <w:vAlign w:val="bottom"/>
          </w:tcPr>
          <w:p w14:paraId="6963E380">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金额部门：万元</w:t>
            </w:r>
          </w:p>
        </w:tc>
      </w:tr>
      <w:tr w14:paraId="481EC0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3C413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96D04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99D02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8"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AC21C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29762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14:paraId="401BF9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D8953D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F981E5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4E07F0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156F9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C53DA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EA977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46A28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A105A8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14:paraId="61671D9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14:paraId="410F6F8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14:paraId="343794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02411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C61BE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E339B2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ED7A80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AE985E">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F2951E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564BE9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45EB88C">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381F8B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556457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97857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E83B2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700B6D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542E34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C4EE9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5A8F1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ED8D8B9">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1EA73D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EE6145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688E58">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5DDA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114575">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23013C">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2A0245">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858F61">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14:paraId="4102B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A3DB2B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B1F7B">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1BC909">
            <w:pPr>
              <w:jc w:val="right"/>
              <w:rPr>
                <w:rFonts w:hint="default" w:ascii="Times New Roman" w:hAnsi="Times New Roman" w:eastAsia="宋体" w:cs="Times New Roman"/>
                <w:i w:val="0"/>
                <w:iCs w:val="0"/>
                <w:color w:val="000000"/>
                <w:sz w:val="20"/>
                <w:szCs w:val="20"/>
                <w:highlight w:val="none"/>
                <w:u w:val="none"/>
              </w:rPr>
            </w:pPr>
          </w:p>
        </w:tc>
        <w:tc>
          <w:tcPr>
            <w:tcW w:w="52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241303">
            <w:pPr>
              <w:jc w:val="right"/>
              <w:rPr>
                <w:rFonts w:hint="default" w:ascii="Times New Roman" w:hAnsi="Times New Roman" w:eastAsia="宋体" w:cs="Times New Roman"/>
                <w:i w:val="0"/>
                <w:iCs w:val="0"/>
                <w:color w:val="000000"/>
                <w:sz w:val="20"/>
                <w:szCs w:val="20"/>
                <w:highlight w:val="none"/>
                <w:u w:val="none"/>
              </w:rPr>
            </w:pP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5A4B8F">
            <w:pPr>
              <w:jc w:val="right"/>
              <w:rPr>
                <w:rFonts w:hint="default" w:ascii="Times New Roman" w:hAnsi="Times New Roman" w:eastAsia="宋体" w:cs="Times New Roman"/>
                <w:i w:val="0"/>
                <w:iCs w:val="0"/>
                <w:color w:val="000000"/>
                <w:sz w:val="20"/>
                <w:szCs w:val="20"/>
                <w:highlight w:val="none"/>
                <w:u w:val="none"/>
              </w:rPr>
            </w:pPr>
          </w:p>
        </w:tc>
        <w:tc>
          <w:tcPr>
            <w:tcW w:w="5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86154E">
            <w:pPr>
              <w:jc w:val="right"/>
              <w:rPr>
                <w:rFonts w:hint="default" w:ascii="Times New Roman" w:hAnsi="Times New Roman" w:eastAsia="宋体" w:cs="Times New Roman"/>
                <w:i w:val="0"/>
                <w:iCs w:val="0"/>
                <w:color w:val="000000"/>
                <w:sz w:val="20"/>
                <w:szCs w:val="20"/>
                <w:highlight w:val="none"/>
                <w:u w:val="none"/>
              </w:rPr>
            </w:pP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1FB4B7">
            <w:pPr>
              <w:jc w:val="right"/>
              <w:rPr>
                <w:rFonts w:hint="default" w:ascii="Times New Roman" w:hAnsi="Times New Roman" w:eastAsia="宋体" w:cs="Times New Roman"/>
                <w:i w:val="0"/>
                <w:iCs w:val="0"/>
                <w:color w:val="000000"/>
                <w:sz w:val="20"/>
                <w:szCs w:val="20"/>
                <w:highlight w:val="none"/>
                <w:u w:val="none"/>
              </w:rPr>
            </w:pPr>
          </w:p>
        </w:tc>
      </w:tr>
      <w:tr w14:paraId="79820C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051969DF">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注：本表反映部门本年度政府性基金预算财政拨款收入、支出及结转和结余情况。（如无相关数据，则需注明空表列示）</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14:paraId="6E1A24F4">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5FA108E">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415"/>
        <w:gridCol w:w="834"/>
        <w:gridCol w:w="1479"/>
        <w:gridCol w:w="1520"/>
        <w:gridCol w:w="5"/>
        <w:gridCol w:w="54"/>
        <w:gridCol w:w="1461"/>
        <w:gridCol w:w="12"/>
        <w:gridCol w:w="1977"/>
      </w:tblGrid>
      <w:tr w14:paraId="5B8F4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7255B3E3">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14:paraId="1D7A1C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14:paraId="12CA9846">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5FE475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14:paraId="3572A6BF">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部门（部门）：河北省石家庄市中级人民法院</w:t>
            </w:r>
          </w:p>
        </w:tc>
        <w:tc>
          <w:tcPr>
            <w:tcW w:w="1421" w:type="pct"/>
            <w:gridSpan w:val="4"/>
            <w:tcBorders>
              <w:top w:val="nil"/>
              <w:left w:val="nil"/>
              <w:bottom w:val="single" w:color="000000" w:themeColor="text1" w:sz="8" w:space="0"/>
              <w:right w:val="nil"/>
            </w:tcBorders>
            <w:noWrap/>
            <w:vAlign w:val="bottom"/>
          </w:tcPr>
          <w:p w14:paraId="7B89C482">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14:paraId="21A557A9">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金额部门：万元</w:t>
            </w:r>
          </w:p>
        </w:tc>
      </w:tr>
      <w:tr w14:paraId="0D7BB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5B18AE">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858BA82">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14:paraId="169F61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2FD181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F9ABA5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785C32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D77745">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70A2DC">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5776256">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EF974BB">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2291526C">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14:paraId="2BC2DC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1BFF19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F47A80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C18259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446D78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268A9873">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71DBB4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EEC375">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01DB06">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EF63C6">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536B083B">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14:paraId="1B9BC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7E688">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7C498B">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538B65">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48856961">
            <w:pPr>
              <w:jc w:val="right"/>
              <w:rPr>
                <w:rFonts w:hint="default" w:ascii="Times New Roman" w:hAnsi="Times New Roman" w:eastAsia="宋体" w:cs="Times New Roman"/>
                <w:i w:val="0"/>
                <w:iCs w:val="0"/>
                <w:color w:val="000000"/>
                <w:sz w:val="20"/>
                <w:szCs w:val="20"/>
                <w:highlight w:val="none"/>
                <w:u w:val="none"/>
              </w:rPr>
            </w:pPr>
          </w:p>
        </w:tc>
      </w:tr>
      <w:tr w14:paraId="506D93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4BC08523">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注：本表反映部门本年度国有资本经营预算财政拨款支出情况。（如无相关数据，则需注明空表列示）</w:t>
            </w:r>
          </w:p>
        </w:tc>
      </w:tr>
    </w:tbl>
    <w:p w14:paraId="258C8630">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8915292">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Spec="center" w:tblpY="39"/>
        <w:tblOverlap w:val="never"/>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78"/>
        <w:gridCol w:w="467"/>
        <w:gridCol w:w="467"/>
        <w:gridCol w:w="578"/>
        <w:gridCol w:w="1077"/>
        <w:gridCol w:w="512"/>
        <w:gridCol w:w="512"/>
        <w:gridCol w:w="668"/>
        <w:gridCol w:w="422"/>
        <w:gridCol w:w="934"/>
        <w:gridCol w:w="422"/>
        <w:gridCol w:w="845"/>
        <w:gridCol w:w="1024"/>
        <w:gridCol w:w="668"/>
      </w:tblGrid>
      <w:tr w14:paraId="4A21DF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wBefore w:w="0" w:type="auto"/>
          <w:trHeight w:val="550" w:hRule="atLeast"/>
          <w:jc w:val="center"/>
        </w:trPr>
        <w:tc>
          <w:tcPr>
            <w:tcW w:w="0" w:type="auto"/>
            <w:gridSpan w:val="12"/>
            <w:tcBorders>
              <w:top w:val="nil"/>
              <w:left w:val="nil"/>
              <w:bottom w:val="nil"/>
              <w:right w:val="nil"/>
            </w:tcBorders>
            <w:noWrap/>
            <w:vAlign w:val="bottom"/>
          </w:tcPr>
          <w:p w14:paraId="136A8712">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14:paraId="5319D1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jc w:val="center"/>
        </w:trPr>
        <w:tc>
          <w:tcPr>
            <w:tcW w:w="0" w:type="auto"/>
            <w:gridSpan w:val="14"/>
            <w:tcBorders>
              <w:top w:val="nil"/>
              <w:left w:val="nil"/>
              <w:bottom w:val="nil"/>
              <w:right w:val="nil"/>
            </w:tcBorders>
            <w:noWrap/>
            <w:vAlign w:val="bottom"/>
          </w:tcPr>
          <w:p w14:paraId="30C3ADD7">
            <w:pPr>
              <w:keepNext w:val="0"/>
              <w:keepLines w:val="0"/>
              <w:widowControl/>
              <w:suppressLineNumbers w:val="0"/>
              <w:jc w:val="both"/>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7B0767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jc w:val="center"/>
        </w:trPr>
        <w:tc>
          <w:tcPr>
            <w:tcW w:w="0" w:type="auto"/>
            <w:gridSpan w:val="6"/>
            <w:tcBorders>
              <w:top w:val="nil"/>
              <w:left w:val="nil"/>
              <w:bottom w:val="single" w:color="000000" w:themeColor="text1" w:sz="8" w:space="0"/>
              <w:right w:val="nil"/>
            </w:tcBorders>
            <w:noWrap/>
            <w:vAlign w:val="bottom"/>
          </w:tcPr>
          <w:p w14:paraId="25070CAC">
            <w:pPr>
              <w:keepNext w:val="0"/>
              <w:keepLines w:val="0"/>
              <w:widowControl/>
              <w:suppressLineNumbers w:val="0"/>
              <w:jc w:val="both"/>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部门（部门）：河北省石家庄市中级人民法院</w:t>
            </w:r>
          </w:p>
        </w:tc>
        <w:tc>
          <w:tcPr>
            <w:tcW w:w="0" w:type="auto"/>
            <w:gridSpan w:val="3"/>
            <w:tcBorders>
              <w:top w:val="nil"/>
              <w:left w:val="nil"/>
              <w:bottom w:val="single" w:color="000000" w:themeColor="text1" w:sz="8" w:space="0"/>
              <w:right w:val="nil"/>
            </w:tcBorders>
            <w:noWrap/>
            <w:vAlign w:val="bottom"/>
          </w:tcPr>
          <w:p w14:paraId="6AB975A5">
            <w:pPr>
              <w:keepNext w:val="0"/>
              <w:keepLines w:val="0"/>
              <w:widowControl/>
              <w:suppressLineNumbers w:val="0"/>
              <w:jc w:val="both"/>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0" w:type="auto"/>
            <w:gridSpan w:val="5"/>
            <w:tcBorders>
              <w:top w:val="nil"/>
              <w:left w:val="nil"/>
              <w:bottom w:val="single" w:color="000000" w:themeColor="text1" w:sz="8" w:space="0"/>
              <w:right w:val="nil"/>
            </w:tcBorders>
            <w:noWrap/>
            <w:vAlign w:val="bottom"/>
          </w:tcPr>
          <w:p w14:paraId="71A272D2">
            <w:pPr>
              <w:keepNext w:val="0"/>
              <w:keepLines w:val="0"/>
              <w:widowControl/>
              <w:suppressLineNumbers w:val="0"/>
              <w:jc w:val="both"/>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金额部门：万元</w:t>
            </w:r>
          </w:p>
        </w:tc>
      </w:tr>
      <w:tr w14:paraId="5C640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jc w:val="center"/>
        </w:trPr>
        <w:tc>
          <w:tcPr>
            <w:tcW w:w="0" w:type="auto"/>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3743F2">
            <w:pPr>
              <w:keepNext w:val="0"/>
              <w:keepLines w:val="0"/>
              <w:widowControl/>
              <w:suppressLineNumbers w:val="0"/>
              <w:jc w:val="both"/>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0" w:type="auto"/>
            <w:gridSpan w:val="6"/>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DE0E93">
            <w:pPr>
              <w:keepNext w:val="0"/>
              <w:keepLines w:val="0"/>
              <w:widowControl/>
              <w:suppressLineNumbers w:val="0"/>
              <w:jc w:val="both"/>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14:paraId="30DACF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jc w:val="center"/>
        </w:trPr>
        <w:tc>
          <w:tcPr>
            <w:tcW w:w="0" w:type="auto"/>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38D9D4">
            <w:pPr>
              <w:keepNext w:val="0"/>
              <w:keepLines w:val="0"/>
              <w:widowControl/>
              <w:suppressLineNumbers w:val="0"/>
              <w:jc w:val="both"/>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0" w:type="auto"/>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2187F7">
            <w:pPr>
              <w:keepNext w:val="0"/>
              <w:keepLines w:val="0"/>
              <w:widowControl/>
              <w:suppressLineNumbers w:val="0"/>
              <w:jc w:val="both"/>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0" w:type="auto"/>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03C727">
            <w:pPr>
              <w:keepNext w:val="0"/>
              <w:keepLines w:val="0"/>
              <w:widowControl/>
              <w:suppressLineNumbers w:val="0"/>
              <w:jc w:val="both"/>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0" w:type="auto"/>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FD7733">
            <w:pPr>
              <w:keepNext w:val="0"/>
              <w:keepLines w:val="0"/>
              <w:widowControl/>
              <w:suppressLineNumbers w:val="0"/>
              <w:jc w:val="both"/>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0" w:type="auto"/>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C264D1">
            <w:pPr>
              <w:keepNext w:val="0"/>
              <w:keepLines w:val="0"/>
              <w:widowControl/>
              <w:suppressLineNumbers w:val="0"/>
              <w:jc w:val="both"/>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0" w:type="auto"/>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5E0DB0">
            <w:pPr>
              <w:keepNext w:val="0"/>
              <w:keepLines w:val="0"/>
              <w:widowControl/>
              <w:suppressLineNumbers w:val="0"/>
              <w:jc w:val="both"/>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0" w:type="auto"/>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A06DEB">
            <w:pPr>
              <w:keepNext w:val="0"/>
              <w:keepLines w:val="0"/>
              <w:widowControl/>
              <w:suppressLineNumbers w:val="0"/>
              <w:jc w:val="both"/>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0" w:type="auto"/>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E5B081">
            <w:pPr>
              <w:keepNext w:val="0"/>
              <w:keepLines w:val="0"/>
              <w:widowControl/>
              <w:suppressLineNumbers w:val="0"/>
              <w:jc w:val="both"/>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14:paraId="60A40C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jc w:val="center"/>
        </w:trPr>
        <w:tc>
          <w:tcPr>
            <w:tcW w:w="0" w:type="auto"/>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B97949">
            <w:pPr>
              <w:jc w:val="both"/>
              <w:rPr>
                <w:rFonts w:hint="eastAsia" w:ascii="方正仿宋_GB2312" w:hAnsi="方正仿宋_GB2312" w:eastAsia="方正仿宋_GB2312" w:cs="方正仿宋_GB2312"/>
                <w:i w:val="0"/>
                <w:iCs w:val="0"/>
                <w:color w:val="000000"/>
                <w:sz w:val="18"/>
                <w:szCs w:val="18"/>
                <w:highlight w:val="none"/>
                <w:u w:val="none"/>
              </w:rPr>
            </w:pPr>
          </w:p>
        </w:tc>
        <w:tc>
          <w:tcPr>
            <w:tcW w:w="0" w:type="auto"/>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54CC4C">
            <w:pPr>
              <w:jc w:val="both"/>
              <w:rPr>
                <w:rFonts w:hint="eastAsia" w:ascii="方正仿宋_GB2312" w:hAnsi="方正仿宋_GB2312" w:eastAsia="方正仿宋_GB2312" w:cs="方正仿宋_GB2312"/>
                <w:i w:val="0"/>
                <w:iCs w:val="0"/>
                <w:color w:val="000000"/>
                <w:sz w:val="18"/>
                <w:szCs w:val="18"/>
                <w:highlight w:val="none"/>
                <w:u w:val="none"/>
              </w:rPr>
            </w:pPr>
          </w:p>
        </w:tc>
        <w:tc>
          <w:tcPr>
            <w:tcW w:w="0" w:type="auto"/>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C32C04">
            <w:pPr>
              <w:keepNext w:val="0"/>
              <w:keepLines w:val="0"/>
              <w:widowControl/>
              <w:suppressLineNumbers w:val="0"/>
              <w:jc w:val="both"/>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0" w:type="auto"/>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519844">
            <w:pPr>
              <w:keepNext w:val="0"/>
              <w:keepLines w:val="0"/>
              <w:widowControl/>
              <w:suppressLineNumbers w:val="0"/>
              <w:jc w:val="both"/>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0" w:type="auto"/>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079BDD">
            <w:pPr>
              <w:keepNext w:val="0"/>
              <w:keepLines w:val="0"/>
              <w:widowControl/>
              <w:suppressLineNumbers w:val="0"/>
              <w:jc w:val="both"/>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0" w:type="auto"/>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0599F2">
            <w:pPr>
              <w:jc w:val="both"/>
              <w:rPr>
                <w:rFonts w:hint="eastAsia" w:ascii="方正仿宋_GB2312" w:hAnsi="方正仿宋_GB2312" w:eastAsia="方正仿宋_GB2312" w:cs="方正仿宋_GB2312"/>
                <w:i w:val="0"/>
                <w:iCs w:val="0"/>
                <w:color w:val="000000"/>
                <w:sz w:val="18"/>
                <w:szCs w:val="18"/>
                <w:highlight w:val="none"/>
                <w:u w:val="none"/>
              </w:rPr>
            </w:pPr>
          </w:p>
        </w:tc>
        <w:tc>
          <w:tcPr>
            <w:tcW w:w="0" w:type="auto"/>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127F62">
            <w:pPr>
              <w:jc w:val="both"/>
              <w:rPr>
                <w:rFonts w:hint="eastAsia" w:ascii="方正仿宋_GB2312" w:hAnsi="方正仿宋_GB2312" w:eastAsia="方正仿宋_GB2312" w:cs="方正仿宋_GB2312"/>
                <w:i w:val="0"/>
                <w:iCs w:val="0"/>
                <w:color w:val="000000"/>
                <w:sz w:val="18"/>
                <w:szCs w:val="18"/>
                <w:highlight w:val="none"/>
                <w:u w:val="none"/>
              </w:rPr>
            </w:pPr>
          </w:p>
        </w:tc>
        <w:tc>
          <w:tcPr>
            <w:tcW w:w="0" w:type="auto"/>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F25E29">
            <w:pPr>
              <w:jc w:val="both"/>
              <w:rPr>
                <w:rFonts w:hint="eastAsia" w:ascii="方正仿宋_GB2312" w:hAnsi="方正仿宋_GB2312" w:eastAsia="方正仿宋_GB2312" w:cs="方正仿宋_GB2312"/>
                <w:i w:val="0"/>
                <w:iCs w:val="0"/>
                <w:color w:val="000000"/>
                <w:sz w:val="18"/>
                <w:szCs w:val="18"/>
                <w:highlight w:val="none"/>
                <w:u w:val="none"/>
              </w:rPr>
            </w:pPr>
          </w:p>
        </w:tc>
        <w:tc>
          <w:tcPr>
            <w:tcW w:w="0" w:type="auto"/>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41ABD8">
            <w:pPr>
              <w:keepNext w:val="0"/>
              <w:keepLines w:val="0"/>
              <w:widowControl/>
              <w:suppressLineNumbers w:val="0"/>
              <w:jc w:val="both"/>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0" w:type="auto"/>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8FF17B">
            <w:pPr>
              <w:keepNext w:val="0"/>
              <w:keepLines w:val="0"/>
              <w:widowControl/>
              <w:suppressLineNumbers w:val="0"/>
              <w:jc w:val="both"/>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0" w:type="auto"/>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C8168E">
            <w:pPr>
              <w:keepNext w:val="0"/>
              <w:keepLines w:val="0"/>
              <w:widowControl/>
              <w:suppressLineNumbers w:val="0"/>
              <w:jc w:val="both"/>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0" w:type="auto"/>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196525">
            <w:pPr>
              <w:jc w:val="both"/>
              <w:rPr>
                <w:rFonts w:hint="eastAsia" w:ascii="方正仿宋_GB2312" w:hAnsi="方正仿宋_GB2312" w:eastAsia="方正仿宋_GB2312" w:cs="方正仿宋_GB2312"/>
                <w:i w:val="0"/>
                <w:iCs w:val="0"/>
                <w:color w:val="000000"/>
                <w:sz w:val="18"/>
                <w:szCs w:val="18"/>
                <w:highlight w:val="none"/>
                <w:u w:val="none"/>
              </w:rPr>
            </w:pPr>
          </w:p>
        </w:tc>
      </w:tr>
      <w:tr w14:paraId="708591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jc w:val="center"/>
        </w:trPr>
        <w:tc>
          <w:tcPr>
            <w:tcW w:w="0" w:type="auto"/>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5E25A7">
            <w:pPr>
              <w:keepNext w:val="0"/>
              <w:keepLines w:val="0"/>
              <w:widowControl/>
              <w:suppressLineNumbers w:val="0"/>
              <w:jc w:val="both"/>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0" w:type="auto"/>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CA26B2">
            <w:pPr>
              <w:keepNext w:val="0"/>
              <w:keepLines w:val="0"/>
              <w:widowControl/>
              <w:suppressLineNumbers w:val="0"/>
              <w:jc w:val="both"/>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0" w:type="auto"/>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6E55A3">
            <w:pPr>
              <w:keepNext w:val="0"/>
              <w:keepLines w:val="0"/>
              <w:widowControl/>
              <w:suppressLineNumbers w:val="0"/>
              <w:jc w:val="both"/>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0" w:type="auto"/>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2D4CF6">
            <w:pPr>
              <w:keepNext w:val="0"/>
              <w:keepLines w:val="0"/>
              <w:widowControl/>
              <w:suppressLineNumbers w:val="0"/>
              <w:jc w:val="both"/>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0" w:type="auto"/>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894FFD">
            <w:pPr>
              <w:keepNext w:val="0"/>
              <w:keepLines w:val="0"/>
              <w:widowControl/>
              <w:suppressLineNumbers w:val="0"/>
              <w:jc w:val="both"/>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0" w:type="auto"/>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97D47C">
            <w:pPr>
              <w:keepNext w:val="0"/>
              <w:keepLines w:val="0"/>
              <w:widowControl/>
              <w:suppressLineNumbers w:val="0"/>
              <w:jc w:val="both"/>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0" w:type="auto"/>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58A8BC">
            <w:pPr>
              <w:keepNext w:val="0"/>
              <w:keepLines w:val="0"/>
              <w:widowControl/>
              <w:suppressLineNumbers w:val="0"/>
              <w:jc w:val="both"/>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0" w:type="auto"/>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410592">
            <w:pPr>
              <w:keepNext w:val="0"/>
              <w:keepLines w:val="0"/>
              <w:widowControl/>
              <w:suppressLineNumbers w:val="0"/>
              <w:jc w:val="both"/>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0" w:type="auto"/>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638E0A">
            <w:pPr>
              <w:keepNext w:val="0"/>
              <w:keepLines w:val="0"/>
              <w:widowControl/>
              <w:suppressLineNumbers w:val="0"/>
              <w:jc w:val="both"/>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0" w:type="auto"/>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E7BC83">
            <w:pPr>
              <w:keepNext w:val="0"/>
              <w:keepLines w:val="0"/>
              <w:widowControl/>
              <w:suppressLineNumbers w:val="0"/>
              <w:jc w:val="both"/>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0" w:type="auto"/>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5F0287">
            <w:pPr>
              <w:keepNext w:val="0"/>
              <w:keepLines w:val="0"/>
              <w:widowControl/>
              <w:suppressLineNumbers w:val="0"/>
              <w:jc w:val="both"/>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0" w:type="auto"/>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9AE287">
            <w:pPr>
              <w:keepNext w:val="0"/>
              <w:keepLines w:val="0"/>
              <w:widowControl/>
              <w:suppressLineNumbers w:val="0"/>
              <w:jc w:val="both"/>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14:paraId="17AAA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jc w:val="center"/>
        </w:trPr>
        <w:tc>
          <w:tcPr>
            <w:tcW w:w="0" w:type="auto"/>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36FBB9">
            <w:pPr>
              <w:jc w:val="both"/>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143.64</w:t>
            </w:r>
          </w:p>
        </w:tc>
        <w:tc>
          <w:tcPr>
            <w:tcW w:w="0" w:type="auto"/>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CE834D">
            <w:pPr>
              <w:jc w:val="both"/>
              <w:rPr>
                <w:rFonts w:hint="default" w:ascii="Times New Roman" w:hAnsi="Times New Roman" w:eastAsia="方正仿宋_GB2312" w:cs="Times New Roman"/>
                <w:i w:val="0"/>
                <w:iCs w:val="0"/>
                <w:color w:val="000000"/>
                <w:sz w:val="18"/>
                <w:szCs w:val="18"/>
                <w:highlight w:val="none"/>
                <w:u w:val="none"/>
              </w:rPr>
            </w:pPr>
          </w:p>
        </w:tc>
        <w:tc>
          <w:tcPr>
            <w:tcW w:w="0" w:type="auto"/>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9DA076">
            <w:pPr>
              <w:jc w:val="both"/>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140.40</w:t>
            </w:r>
          </w:p>
        </w:tc>
        <w:tc>
          <w:tcPr>
            <w:tcW w:w="0" w:type="auto"/>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80D9F9">
            <w:pPr>
              <w:jc w:val="both"/>
              <w:rPr>
                <w:rFonts w:hint="default" w:ascii="Times New Roman" w:hAnsi="Times New Roman" w:eastAsia="方正仿宋_GB2312" w:cs="Times New Roman"/>
                <w:i w:val="0"/>
                <w:iCs w:val="0"/>
                <w:color w:val="000000"/>
                <w:sz w:val="18"/>
                <w:szCs w:val="18"/>
                <w:highlight w:val="none"/>
                <w:u w:val="none"/>
              </w:rPr>
            </w:pPr>
          </w:p>
        </w:tc>
        <w:tc>
          <w:tcPr>
            <w:tcW w:w="0" w:type="auto"/>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9F01D5">
            <w:pPr>
              <w:jc w:val="both"/>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140.40</w:t>
            </w:r>
          </w:p>
        </w:tc>
        <w:tc>
          <w:tcPr>
            <w:tcW w:w="0" w:type="auto"/>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94301C">
            <w:pPr>
              <w:jc w:val="both"/>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3.24</w:t>
            </w:r>
          </w:p>
        </w:tc>
        <w:tc>
          <w:tcPr>
            <w:tcW w:w="0" w:type="auto"/>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773C6D">
            <w:pPr>
              <w:jc w:val="both"/>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71.21</w:t>
            </w:r>
          </w:p>
        </w:tc>
        <w:tc>
          <w:tcPr>
            <w:tcW w:w="0" w:type="auto"/>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754529">
            <w:pPr>
              <w:jc w:val="both"/>
              <w:rPr>
                <w:rFonts w:hint="default" w:ascii="Times New Roman" w:hAnsi="Times New Roman" w:eastAsia="方正仿宋_GB2312" w:cs="Times New Roman"/>
                <w:i w:val="0"/>
                <w:iCs w:val="0"/>
                <w:color w:val="000000"/>
                <w:sz w:val="18"/>
                <w:szCs w:val="18"/>
                <w:highlight w:val="none"/>
                <w:u w:val="none"/>
              </w:rPr>
            </w:pPr>
          </w:p>
        </w:tc>
        <w:tc>
          <w:tcPr>
            <w:tcW w:w="0" w:type="auto"/>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D49755">
            <w:pPr>
              <w:jc w:val="both"/>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71.07</w:t>
            </w:r>
          </w:p>
        </w:tc>
        <w:tc>
          <w:tcPr>
            <w:tcW w:w="0" w:type="auto"/>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EEBDC5">
            <w:pPr>
              <w:jc w:val="both"/>
              <w:rPr>
                <w:rFonts w:hint="default" w:ascii="Times New Roman" w:hAnsi="Times New Roman" w:eastAsia="方正仿宋_GB2312" w:cs="Times New Roman"/>
                <w:i w:val="0"/>
                <w:iCs w:val="0"/>
                <w:color w:val="000000"/>
                <w:sz w:val="18"/>
                <w:szCs w:val="18"/>
                <w:highlight w:val="none"/>
                <w:u w:val="none"/>
              </w:rPr>
            </w:pPr>
          </w:p>
        </w:tc>
        <w:tc>
          <w:tcPr>
            <w:tcW w:w="0" w:type="auto"/>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50EB6C">
            <w:pPr>
              <w:jc w:val="both"/>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71.07</w:t>
            </w:r>
          </w:p>
        </w:tc>
        <w:tc>
          <w:tcPr>
            <w:tcW w:w="0" w:type="auto"/>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A2AB59">
            <w:pPr>
              <w:jc w:val="both"/>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0.14</w:t>
            </w:r>
          </w:p>
        </w:tc>
      </w:tr>
      <w:tr w14:paraId="591F0C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jc w:val="center"/>
        </w:trPr>
        <w:tc>
          <w:tcPr>
            <w:tcW w:w="0" w:type="auto"/>
            <w:gridSpan w:val="14"/>
            <w:tcBorders>
              <w:top w:val="single" w:color="000000" w:themeColor="text1" w:sz="8" w:space="0"/>
              <w:left w:val="nil"/>
              <w:bottom w:val="nil"/>
              <w:right w:val="nil"/>
            </w:tcBorders>
            <w:noWrap/>
            <w:vAlign w:val="center"/>
          </w:tcPr>
          <w:p w14:paraId="1EA6049F">
            <w:pPr>
              <w:keepNext w:val="0"/>
              <w:keepLines w:val="0"/>
              <w:widowControl/>
              <w:suppressLineNumbers w:val="0"/>
              <w:jc w:val="both"/>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069A2C98">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FEC8B0A">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474" w:right="1474" w:bottom="1474" w:left="1474" w:header="851" w:footer="992" w:gutter="0"/>
          <w:pgBorders>
            <w:top w:val="none" w:sz="0" w:space="0"/>
            <w:left w:val="none" w:sz="0" w:space="0"/>
            <w:bottom w:val="none" w:sz="0" w:space="0"/>
            <w:right w:val="none" w:sz="0" w:space="0"/>
          </w:pgBorders>
          <w:cols w:space="720" w:num="1"/>
          <w:docGrid w:type="lines" w:linePitch="312" w:charSpace="0"/>
        </w:sectPr>
      </w:pPr>
    </w:p>
    <w:p w14:paraId="01393D4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4AA0D99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57585DC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201936C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6ADF7ED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5FCF47F9">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年度部门决算情况说明</w:t>
      </w:r>
    </w:p>
    <w:p w14:paraId="0925A55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5DB9109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2FD1BD9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66B7A14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6B579AC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643493A0">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48DF531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2DB8749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64C79130">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B5DBA4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14:paraId="160DA06A">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14:paraId="4E36A613">
      <w:pPr>
        <w:widowControl/>
        <w:spacing w:before="0" w:beforeLines="0" w:beforeAutospacing="0" w:after="0" w:afterLines="0" w:afterAutospacing="0" w:line="360" w:lineRule="auto"/>
        <w:ind w:firstLine="640" w:firstLineChars="200"/>
        <w:jc w:val="left"/>
        <w:rPr>
          <w:rFonts w:hint="eastAsia" w:ascii="仿宋" w:hAnsi="仿宋" w:eastAsia="仿宋" w:cs="仿宋"/>
          <w:sz w:val="32"/>
          <w:szCs w:val="32"/>
        </w:rPr>
      </w:pPr>
      <w:r>
        <w:rPr>
          <w:rFonts w:hint="eastAsia" w:ascii="仿宋" w:hAnsi="仿宋" w:eastAsia="仿宋" w:cs="仿宋"/>
          <w:b w:val="0"/>
          <w:sz w:val="32"/>
          <w:szCs w:val="32"/>
        </w:rPr>
        <w:t>本</w:t>
      </w:r>
      <w:r>
        <w:rPr>
          <w:rFonts w:hint="eastAsia" w:ascii="仿宋" w:hAnsi="仿宋" w:eastAsia="仿宋" w:cs="仿宋"/>
          <w:b w:val="0"/>
          <w:sz w:val="32"/>
          <w:szCs w:val="32"/>
          <w:lang w:eastAsia="zh-CN"/>
        </w:rPr>
        <w:t>部门</w:t>
      </w:r>
      <w:r>
        <w:rPr>
          <w:rFonts w:hint="eastAsia" w:ascii="仿宋" w:hAnsi="仿宋" w:eastAsia="仿宋" w:cs="仿宋"/>
          <w:b w:val="0"/>
          <w:sz w:val="32"/>
          <w:szCs w:val="32"/>
        </w:rPr>
        <w:t>2025年度收、支总计（含结转和结余）均为17,113.69万元。与2024年度决算相比，收支各增加202.99万元，增长1.2%，主要原因是本年度新增招录、调入人员，造成人员经费支出规模上升。</w:t>
      </w:r>
    </w:p>
    <w:p w14:paraId="19B9709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14:paraId="3D157FF4">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14:paraId="3956F91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hint="eastAsia" w:ascii="仿宋" w:hAnsi="仿宋" w:eastAsia="仿宋" w:cs="仿宋"/>
          <w:b w:val="0"/>
          <w:sz w:val="32"/>
          <w:szCs w:val="32"/>
        </w:rPr>
        <w:t>本</w:t>
      </w:r>
      <w:r>
        <w:rPr>
          <w:rFonts w:hint="eastAsia" w:ascii="仿宋" w:hAnsi="仿宋" w:eastAsia="仿宋" w:cs="仿宋"/>
          <w:b w:val="0"/>
          <w:sz w:val="32"/>
          <w:szCs w:val="32"/>
          <w:lang w:eastAsia="zh-CN"/>
        </w:rPr>
        <w:t>部门</w:t>
      </w:r>
      <w:r>
        <w:rPr>
          <w:rFonts w:hint="eastAsia" w:ascii="仿宋" w:hAnsi="仿宋" w:eastAsia="仿宋" w:cs="仿宋"/>
          <w:b w:val="0"/>
          <w:sz w:val="32"/>
          <w:szCs w:val="32"/>
        </w:rPr>
        <w:t>2025年度本年收入合计17,113.69万元，其中：财政拨款收入17,113.69万元，占100.0%；上级补助收入0.00万元，占0.0%；事业收入0.00万元，占0.0%；经营收入0.00万元，占0.0%；附属</w:t>
      </w:r>
      <w:r>
        <w:rPr>
          <w:rFonts w:hint="eastAsia" w:ascii="仿宋" w:hAnsi="仿宋" w:eastAsia="仿宋" w:cs="仿宋"/>
          <w:b w:val="0"/>
          <w:sz w:val="32"/>
          <w:szCs w:val="32"/>
          <w:lang w:eastAsia="zh-CN"/>
        </w:rPr>
        <w:t>部门</w:t>
      </w:r>
      <w:r>
        <w:rPr>
          <w:rFonts w:hint="eastAsia" w:ascii="仿宋" w:hAnsi="仿宋" w:eastAsia="仿宋" w:cs="仿宋"/>
          <w:b w:val="0"/>
          <w:sz w:val="32"/>
          <w:szCs w:val="32"/>
        </w:rPr>
        <w:t>上缴收入0.00万元，占0.0%；其他收入0.00万元，占0.0%。</w:t>
      </w:r>
    </w:p>
    <w:p w14:paraId="302989E0">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149AC20E">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14:paraId="64F5E5FC">
      <w:pPr>
        <w:widowControl/>
        <w:spacing w:before="0" w:beforeLines="0" w:beforeAutospacing="0" w:after="0" w:afterLines="0" w:afterAutospacing="0" w:line="360" w:lineRule="auto"/>
        <w:ind w:firstLine="640" w:firstLineChars="200"/>
        <w:jc w:val="left"/>
        <w:rPr>
          <w:rFonts w:hint="eastAsia" w:ascii="仿宋" w:hAnsi="仿宋" w:eastAsia="仿宋" w:cs="仿宋"/>
          <w:b w:val="0"/>
          <w:sz w:val="32"/>
          <w:szCs w:val="32"/>
        </w:rPr>
      </w:pPr>
      <w:r>
        <w:rPr>
          <w:rFonts w:hint="eastAsia" w:ascii="仿宋" w:hAnsi="仿宋" w:eastAsia="仿宋" w:cs="仿宋"/>
          <w:b w:val="0"/>
          <w:sz w:val="32"/>
          <w:szCs w:val="32"/>
        </w:rPr>
        <w:t>本</w:t>
      </w:r>
      <w:r>
        <w:rPr>
          <w:rFonts w:hint="eastAsia" w:ascii="仿宋" w:hAnsi="仿宋" w:eastAsia="仿宋" w:cs="仿宋"/>
          <w:b w:val="0"/>
          <w:sz w:val="32"/>
          <w:szCs w:val="32"/>
          <w:lang w:eastAsia="zh-CN"/>
        </w:rPr>
        <w:t>部门</w:t>
      </w:r>
      <w:r>
        <w:rPr>
          <w:rFonts w:hint="eastAsia" w:ascii="仿宋" w:hAnsi="仿宋" w:eastAsia="仿宋" w:cs="仿宋"/>
          <w:b w:val="0"/>
          <w:sz w:val="32"/>
          <w:szCs w:val="32"/>
        </w:rPr>
        <w:t>2025年度本年支出合计17,113.69万元，其中：基本支出11,047.05万元，占64.6%；项目支出6,066.64万元，占35.4%；经营支出0.00万元，占0.0%；上缴上级支出0.00万元，占0.0%；对附属</w:t>
      </w:r>
      <w:r>
        <w:rPr>
          <w:rFonts w:hint="eastAsia" w:ascii="仿宋" w:hAnsi="仿宋" w:eastAsia="仿宋" w:cs="仿宋"/>
          <w:b w:val="0"/>
          <w:sz w:val="32"/>
          <w:szCs w:val="32"/>
          <w:lang w:eastAsia="zh-CN"/>
        </w:rPr>
        <w:t>部门</w:t>
      </w:r>
      <w:r>
        <w:rPr>
          <w:rFonts w:hint="eastAsia" w:ascii="仿宋" w:hAnsi="仿宋" w:eastAsia="仿宋" w:cs="仿宋"/>
          <w:b w:val="0"/>
          <w:sz w:val="32"/>
          <w:szCs w:val="32"/>
        </w:rPr>
        <w:t>补助支出0.00万元，占0.0%。</w:t>
      </w:r>
    </w:p>
    <w:p w14:paraId="402A0C65">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8251E32">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14:paraId="105249A9">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14:paraId="7BCC75D7">
      <w:pPr>
        <w:widowControl/>
        <w:spacing w:before="0" w:beforeLines="0" w:beforeAutospacing="0" w:after="0" w:afterLines="0" w:afterAutospacing="0" w:line="360" w:lineRule="auto"/>
        <w:ind w:firstLine="640" w:firstLineChars="200"/>
        <w:jc w:val="left"/>
        <w:rPr>
          <w:rFonts w:hint="eastAsia" w:ascii="仿宋" w:hAnsi="仿宋" w:eastAsia="仿宋" w:cs="仿宋"/>
          <w:b w:val="0"/>
          <w:sz w:val="32"/>
          <w:szCs w:val="32"/>
        </w:rPr>
      </w:pPr>
      <w:r>
        <w:rPr>
          <w:rFonts w:hint="eastAsia" w:ascii="仿宋" w:hAnsi="仿宋" w:eastAsia="仿宋" w:cs="仿宋"/>
          <w:b w:val="0"/>
          <w:sz w:val="32"/>
          <w:szCs w:val="32"/>
        </w:rPr>
        <w:t>本</w:t>
      </w:r>
      <w:r>
        <w:rPr>
          <w:rFonts w:hint="eastAsia" w:ascii="仿宋" w:hAnsi="仿宋" w:eastAsia="仿宋" w:cs="仿宋"/>
          <w:b w:val="0"/>
          <w:sz w:val="32"/>
          <w:szCs w:val="32"/>
          <w:lang w:eastAsia="zh-CN"/>
        </w:rPr>
        <w:t>部门</w:t>
      </w:r>
      <w:r>
        <w:rPr>
          <w:rFonts w:hint="eastAsia" w:ascii="仿宋" w:hAnsi="仿宋" w:eastAsia="仿宋" w:cs="仿宋"/>
          <w:b w:val="0"/>
          <w:sz w:val="32"/>
          <w:szCs w:val="32"/>
        </w:rPr>
        <w:t>2025年度财政拨款收、支总计（含结转和结余）均为17,113.69万元。与2024年度相比，财政拨款收支各增加211.15万元，增长1.2%，主要原因是本年度新增招录、调入人员，造成人员经费支出规模上升。</w:t>
      </w:r>
    </w:p>
    <w:p w14:paraId="124FC31F">
      <w:pPr>
        <w:widowControl/>
        <w:spacing w:before="0" w:beforeLines="0" w:beforeAutospacing="0" w:after="0" w:afterLines="0" w:afterAutospacing="0" w:line="360" w:lineRule="auto"/>
        <w:ind w:firstLine="640" w:firstLineChars="200"/>
        <w:jc w:val="left"/>
        <w:rPr>
          <w:rFonts w:hint="eastAsia" w:ascii="仿宋" w:hAnsi="仿宋" w:eastAsia="仿宋" w:cs="仿宋"/>
          <w:b w:val="0"/>
          <w:sz w:val="32"/>
          <w:szCs w:val="32"/>
        </w:rPr>
      </w:pPr>
      <w:r>
        <w:rPr>
          <w:rFonts w:hint="eastAsia" w:ascii="仿宋" w:hAnsi="仿宋" w:eastAsia="仿宋" w:cs="仿宋"/>
          <w:b w:val="0"/>
          <w:sz w:val="32"/>
          <w:szCs w:val="32"/>
        </w:rPr>
        <w:t>本</w:t>
      </w:r>
      <w:r>
        <w:rPr>
          <w:rFonts w:hint="eastAsia" w:ascii="仿宋" w:hAnsi="仿宋" w:eastAsia="仿宋" w:cs="仿宋"/>
          <w:b w:val="0"/>
          <w:sz w:val="32"/>
          <w:szCs w:val="32"/>
          <w:lang w:eastAsia="zh-CN"/>
        </w:rPr>
        <w:t>部门</w:t>
      </w:r>
      <w:r>
        <w:rPr>
          <w:rFonts w:hint="eastAsia" w:ascii="仿宋" w:hAnsi="仿宋" w:eastAsia="仿宋" w:cs="仿宋"/>
          <w:b w:val="0"/>
          <w:sz w:val="32"/>
          <w:szCs w:val="32"/>
        </w:rPr>
        <w:t>2025年度财政拨款本年收入17,113.69万元,比上年增加211.21万元，增长1.2%，主要原因是本年度新增招录、调入人员，造成人员经费增加；本年支出17,113.69万元，比上年增加211.15万元，增长1.2%，主要原因是本年度新增招录、调入人员，造成人员经费支出规模上升。具体情况如下：</w:t>
      </w:r>
    </w:p>
    <w:p w14:paraId="3FDA9E0C">
      <w:pPr>
        <w:widowControl/>
        <w:spacing w:before="0" w:beforeLines="0" w:beforeAutospacing="0" w:after="0" w:afterLines="0" w:afterAutospacing="0" w:line="360" w:lineRule="auto"/>
        <w:ind w:firstLine="640" w:firstLineChars="200"/>
        <w:jc w:val="left"/>
        <w:rPr>
          <w:rFonts w:hint="eastAsia" w:ascii="仿宋" w:hAnsi="仿宋" w:eastAsia="仿宋" w:cs="仿宋"/>
          <w:b w:val="0"/>
          <w:sz w:val="32"/>
          <w:szCs w:val="32"/>
        </w:rPr>
      </w:pPr>
      <w:r>
        <w:rPr>
          <w:rFonts w:hint="eastAsia" w:ascii="仿宋" w:hAnsi="仿宋" w:eastAsia="仿宋" w:cs="仿宋"/>
          <w:b w:val="0"/>
          <w:sz w:val="32"/>
          <w:szCs w:val="32"/>
        </w:rPr>
        <w:t>1.一般公共预算财政拨款本年收入17,113.69万元,比上年增加211.21万元，增长1.2%，主要原因是本年度新增招录、调入人员，造成人员经费增加；本年支出17,113.69万元，比上年增加211.15万元，增长1.2%，主要原因是本年度新增招录、调入人员，造成人员经费支出规模上升。</w:t>
      </w:r>
    </w:p>
    <w:p w14:paraId="7A0F7A6F">
      <w:pPr>
        <w:widowControl/>
        <w:spacing w:before="0" w:beforeLines="0" w:beforeAutospacing="0" w:after="0" w:afterLines="0" w:afterAutospacing="0" w:line="360" w:lineRule="auto"/>
        <w:ind w:firstLine="640" w:firstLineChars="200"/>
        <w:jc w:val="left"/>
        <w:rPr>
          <w:rFonts w:hint="eastAsia" w:ascii="仿宋" w:hAnsi="仿宋" w:eastAsia="仿宋" w:cs="仿宋"/>
          <w:b w:val="0"/>
          <w:sz w:val="32"/>
          <w:szCs w:val="32"/>
        </w:rPr>
      </w:pPr>
      <w:r>
        <w:rPr>
          <w:rFonts w:hint="eastAsia" w:ascii="仿宋" w:hAnsi="仿宋" w:eastAsia="仿宋" w:cs="仿宋"/>
          <w:b w:val="0"/>
          <w:sz w:val="32"/>
          <w:szCs w:val="32"/>
        </w:rPr>
        <w:t>2.政府性基金预算财政拨款本年收入0.00万元，比上年增加0.00万元，增长0.00%，主要原因是</w:t>
      </w:r>
      <w:r>
        <w:rPr>
          <w:rFonts w:hint="eastAsia" w:ascii="仿宋" w:hAnsi="仿宋" w:eastAsia="仿宋" w:cs="仿宋"/>
          <w:b w:val="0"/>
          <w:sz w:val="32"/>
          <w:szCs w:val="32"/>
          <w:lang w:val="en-US" w:eastAsia="zh-CN"/>
        </w:rPr>
        <w:t>我部门无</w:t>
      </w:r>
      <w:r>
        <w:rPr>
          <w:rFonts w:hint="eastAsia" w:ascii="仿宋" w:hAnsi="仿宋" w:eastAsia="仿宋" w:cs="仿宋"/>
          <w:b w:val="0"/>
          <w:sz w:val="32"/>
          <w:szCs w:val="32"/>
        </w:rPr>
        <w:t>政府性基金预算财政拨款；本年支出0.00万元，比上年增加0.00万元，增长0.00%，主要原因是政府性基金预算财政拨款。</w:t>
      </w:r>
    </w:p>
    <w:p w14:paraId="39C46A95">
      <w:pPr>
        <w:widowControl/>
        <w:spacing w:before="0" w:beforeLines="0" w:beforeAutospacing="0" w:after="0" w:afterLines="0" w:afterAutospacing="0" w:line="360" w:lineRule="auto"/>
        <w:ind w:firstLine="640" w:firstLineChars="200"/>
        <w:jc w:val="left"/>
        <w:rPr>
          <w:rFonts w:hint="eastAsia" w:ascii="仿宋" w:hAnsi="仿宋" w:eastAsia="仿宋" w:cs="仿宋"/>
          <w:b w:val="0"/>
          <w:sz w:val="32"/>
          <w:szCs w:val="32"/>
        </w:rPr>
      </w:pPr>
      <w:r>
        <w:rPr>
          <w:rFonts w:hint="eastAsia" w:ascii="仿宋" w:hAnsi="仿宋" w:eastAsia="仿宋" w:cs="仿宋"/>
          <w:b w:val="0"/>
          <w:sz w:val="32"/>
          <w:szCs w:val="32"/>
        </w:rPr>
        <w:t>3.国有资本经营预算财政拨款本年收入0.00万元，比上年增加0.00万元，增长0.00%，主要原因是</w:t>
      </w:r>
      <w:r>
        <w:rPr>
          <w:rFonts w:hint="eastAsia" w:ascii="仿宋" w:hAnsi="仿宋" w:eastAsia="仿宋" w:cs="仿宋"/>
          <w:b w:val="0"/>
          <w:sz w:val="32"/>
          <w:szCs w:val="32"/>
          <w:lang w:val="en-US" w:eastAsia="zh-CN"/>
        </w:rPr>
        <w:t>我部门无</w:t>
      </w:r>
      <w:r>
        <w:rPr>
          <w:rFonts w:hint="eastAsia" w:ascii="仿宋" w:hAnsi="仿宋" w:eastAsia="仿宋" w:cs="仿宋"/>
          <w:b w:val="0"/>
          <w:sz w:val="32"/>
          <w:szCs w:val="32"/>
        </w:rPr>
        <w:t>国有资本经营预算财政拨款；本年支出0.00万元，比上年增加0.00万元，增长0.00%，主要原因是</w:t>
      </w:r>
      <w:r>
        <w:rPr>
          <w:rFonts w:hint="eastAsia" w:ascii="仿宋" w:hAnsi="仿宋" w:eastAsia="仿宋" w:cs="仿宋"/>
          <w:b w:val="0"/>
          <w:sz w:val="32"/>
          <w:szCs w:val="32"/>
          <w:lang w:val="en-US" w:eastAsia="zh-CN"/>
        </w:rPr>
        <w:t>我部门无</w:t>
      </w:r>
      <w:r>
        <w:rPr>
          <w:rFonts w:hint="eastAsia" w:ascii="仿宋" w:hAnsi="仿宋" w:eastAsia="仿宋" w:cs="仿宋"/>
          <w:b w:val="0"/>
          <w:sz w:val="32"/>
          <w:szCs w:val="32"/>
        </w:rPr>
        <w:t>国有资本经营预算财政拨款。</w:t>
      </w:r>
    </w:p>
    <w:p w14:paraId="4D85B760">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B462266">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14:paraId="385D1A7F">
      <w:pPr>
        <w:widowControl/>
        <w:spacing w:before="0" w:beforeLines="0" w:beforeAutospacing="0" w:after="0" w:afterLines="0" w:afterAutospacing="0" w:line="360" w:lineRule="auto"/>
        <w:ind w:firstLine="640" w:firstLineChars="200"/>
        <w:jc w:val="left"/>
        <w:rPr>
          <w:rFonts w:hint="eastAsia" w:ascii="仿宋" w:hAnsi="仿宋" w:eastAsia="仿宋" w:cs="仿宋"/>
          <w:b w:val="0"/>
          <w:sz w:val="32"/>
          <w:szCs w:val="32"/>
        </w:rPr>
      </w:pPr>
      <w:r>
        <w:rPr>
          <w:rFonts w:hint="eastAsia" w:ascii="仿宋" w:hAnsi="仿宋" w:eastAsia="仿宋" w:cs="仿宋"/>
          <w:b w:val="0"/>
          <w:sz w:val="32"/>
          <w:szCs w:val="32"/>
        </w:rPr>
        <w:t>本</w:t>
      </w:r>
      <w:r>
        <w:rPr>
          <w:rFonts w:hint="eastAsia" w:ascii="仿宋" w:hAnsi="仿宋" w:eastAsia="仿宋" w:cs="仿宋"/>
          <w:b w:val="0"/>
          <w:sz w:val="32"/>
          <w:szCs w:val="32"/>
          <w:lang w:eastAsia="zh-CN"/>
        </w:rPr>
        <w:t>部门</w:t>
      </w:r>
      <w:r>
        <w:rPr>
          <w:rFonts w:hint="eastAsia" w:ascii="仿宋" w:hAnsi="仿宋" w:eastAsia="仿宋" w:cs="仿宋"/>
          <w:b w:val="0"/>
          <w:sz w:val="32"/>
          <w:szCs w:val="32"/>
        </w:rPr>
        <w:t>2025年度财政拨款本年收入17,113.69万元，完成年初预算的119.9%，比年初预算增加2,846.07万元，决算数大于预算数主要原因是部分经费在年中追加；本年支出17,113.69万元，完成年初预算的119.9%，比年初预算增加2,846.07万元，决算数大于预算数主要原因是部分经费在年中追加。具体情况如下：</w:t>
      </w:r>
    </w:p>
    <w:p w14:paraId="0ED24BE3">
      <w:pPr>
        <w:widowControl/>
        <w:spacing w:before="0" w:beforeLines="0" w:beforeAutospacing="0" w:after="0" w:afterLines="0" w:afterAutospacing="0" w:line="360" w:lineRule="auto"/>
        <w:ind w:firstLine="640" w:firstLineChars="200"/>
        <w:jc w:val="left"/>
        <w:rPr>
          <w:rFonts w:hint="eastAsia" w:ascii="仿宋" w:hAnsi="仿宋" w:eastAsia="仿宋" w:cs="仿宋"/>
          <w:b w:val="0"/>
          <w:sz w:val="32"/>
          <w:szCs w:val="32"/>
        </w:rPr>
      </w:pPr>
      <w:r>
        <w:rPr>
          <w:rFonts w:hint="eastAsia" w:ascii="仿宋" w:hAnsi="仿宋" w:eastAsia="仿宋" w:cs="仿宋"/>
          <w:b w:val="0"/>
          <w:sz w:val="32"/>
          <w:szCs w:val="32"/>
        </w:rPr>
        <w:t>1. 一般公共预算财政拨款本年收入完成年初预算的119.9%，比年初预算增加2,846.07万元，主要原因是部分经费在年中追加；支出完成年初预算的119.9%，比年初预算增加2,846.07万元，主要原因是部分经费在年中追加。</w:t>
      </w:r>
    </w:p>
    <w:p w14:paraId="5ADA5B57">
      <w:pPr>
        <w:widowControl/>
        <w:spacing w:before="0" w:beforeLines="0" w:beforeAutospacing="0" w:after="0" w:afterLines="0" w:afterAutospacing="0" w:line="360" w:lineRule="auto"/>
        <w:ind w:firstLine="640" w:firstLineChars="200"/>
        <w:jc w:val="left"/>
        <w:rPr>
          <w:rFonts w:hint="eastAsia" w:ascii="仿宋" w:hAnsi="仿宋" w:eastAsia="仿宋" w:cs="仿宋"/>
          <w:b w:val="0"/>
          <w:sz w:val="32"/>
          <w:szCs w:val="32"/>
        </w:rPr>
      </w:pPr>
      <w:r>
        <w:rPr>
          <w:rFonts w:hint="eastAsia" w:ascii="仿宋" w:hAnsi="仿宋" w:eastAsia="仿宋" w:cs="仿宋"/>
          <w:b w:val="0"/>
          <w:sz w:val="32"/>
          <w:szCs w:val="32"/>
        </w:rPr>
        <w:t>2. 政府性基金预算财政拨款本年收入完成年初预算的0.0%，比年初预算增加0.00万元，主要原因是</w:t>
      </w:r>
      <w:r>
        <w:rPr>
          <w:rFonts w:hint="eastAsia" w:ascii="仿宋" w:hAnsi="仿宋" w:eastAsia="仿宋" w:cs="仿宋"/>
          <w:b w:val="0"/>
          <w:sz w:val="32"/>
          <w:szCs w:val="32"/>
          <w:lang w:val="en-US" w:eastAsia="zh-CN"/>
        </w:rPr>
        <w:t>我部门无</w:t>
      </w:r>
      <w:r>
        <w:rPr>
          <w:rFonts w:hint="eastAsia" w:ascii="仿宋" w:hAnsi="仿宋" w:eastAsia="仿宋" w:cs="仿宋"/>
          <w:b w:val="0"/>
          <w:sz w:val="32"/>
          <w:szCs w:val="32"/>
        </w:rPr>
        <w:t>政府性基金预算财政拨款；支出完成年初预算的0.0%，比年初预算增加0.00万元，主要原因是</w:t>
      </w:r>
      <w:r>
        <w:rPr>
          <w:rFonts w:hint="eastAsia" w:ascii="仿宋" w:hAnsi="仿宋" w:eastAsia="仿宋" w:cs="仿宋"/>
          <w:b w:val="0"/>
          <w:sz w:val="32"/>
          <w:szCs w:val="32"/>
          <w:lang w:val="en-US" w:eastAsia="zh-CN"/>
        </w:rPr>
        <w:t>我部门无</w:t>
      </w:r>
      <w:r>
        <w:rPr>
          <w:rFonts w:hint="eastAsia" w:ascii="仿宋" w:hAnsi="仿宋" w:eastAsia="仿宋" w:cs="仿宋"/>
          <w:b w:val="0"/>
          <w:sz w:val="32"/>
          <w:szCs w:val="32"/>
        </w:rPr>
        <w:t>政府性基金预算财政拨款。</w:t>
      </w:r>
    </w:p>
    <w:p w14:paraId="22B2F781">
      <w:pPr>
        <w:widowControl/>
        <w:spacing w:before="0" w:beforeLines="0" w:beforeAutospacing="0" w:after="0" w:afterLines="0" w:afterAutospacing="0" w:line="360" w:lineRule="auto"/>
        <w:ind w:firstLine="640" w:firstLineChars="200"/>
        <w:jc w:val="left"/>
        <w:rPr>
          <w:rFonts w:hint="eastAsia" w:ascii="仿宋" w:hAnsi="仿宋" w:eastAsia="仿宋" w:cs="仿宋"/>
          <w:b w:val="0"/>
          <w:sz w:val="32"/>
          <w:szCs w:val="32"/>
        </w:rPr>
      </w:pPr>
      <w:r>
        <w:rPr>
          <w:rFonts w:hint="eastAsia" w:ascii="仿宋" w:hAnsi="仿宋" w:eastAsia="仿宋" w:cs="仿宋"/>
          <w:b w:val="0"/>
          <w:sz w:val="32"/>
          <w:szCs w:val="32"/>
        </w:rPr>
        <w:t>3. 国有资本经营预算财政拨款本年收入完成年初预算的0.0%，比年初预算增加0.00万元，主要原因是</w:t>
      </w:r>
      <w:r>
        <w:rPr>
          <w:rFonts w:hint="eastAsia" w:ascii="仿宋" w:hAnsi="仿宋" w:eastAsia="仿宋" w:cs="仿宋"/>
          <w:b w:val="0"/>
          <w:sz w:val="32"/>
          <w:szCs w:val="32"/>
          <w:lang w:val="en-US" w:eastAsia="zh-CN"/>
        </w:rPr>
        <w:t>我部门无</w:t>
      </w:r>
      <w:r>
        <w:rPr>
          <w:rFonts w:hint="eastAsia" w:ascii="仿宋" w:hAnsi="仿宋" w:eastAsia="仿宋" w:cs="仿宋"/>
          <w:b w:val="0"/>
          <w:sz w:val="32"/>
          <w:szCs w:val="32"/>
        </w:rPr>
        <w:t>国有资本经营预算财政拨款；支出完成年初预算的0.0%，比年初预算增加0.00万元，主要原因是</w:t>
      </w:r>
      <w:r>
        <w:rPr>
          <w:rFonts w:hint="eastAsia" w:ascii="仿宋" w:hAnsi="仿宋" w:eastAsia="仿宋" w:cs="仿宋"/>
          <w:b w:val="0"/>
          <w:sz w:val="32"/>
          <w:szCs w:val="32"/>
          <w:lang w:val="en-US" w:eastAsia="zh-CN"/>
        </w:rPr>
        <w:t>我部门无</w:t>
      </w:r>
      <w:r>
        <w:rPr>
          <w:rFonts w:hint="eastAsia" w:ascii="仿宋" w:hAnsi="仿宋" w:eastAsia="仿宋" w:cs="仿宋"/>
          <w:b w:val="0"/>
          <w:sz w:val="32"/>
          <w:szCs w:val="32"/>
        </w:rPr>
        <w:t>国有资本经营预算财政拨款。</w:t>
      </w:r>
    </w:p>
    <w:p w14:paraId="513C8D2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1143912">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14:paraId="723086F1">
      <w:pPr>
        <w:widowControl/>
        <w:spacing w:before="0" w:beforeLines="0" w:beforeAutospacing="0" w:after="0" w:afterLines="0" w:afterAutospacing="0" w:line="360" w:lineRule="auto"/>
        <w:ind w:firstLine="640" w:firstLineChars="200"/>
        <w:jc w:val="left"/>
        <w:rPr>
          <w:rFonts w:hint="eastAsia" w:ascii="仿宋" w:hAnsi="仿宋" w:eastAsia="仿宋" w:cs="仿宋"/>
          <w:b w:val="0"/>
          <w:sz w:val="32"/>
          <w:szCs w:val="32"/>
        </w:rPr>
      </w:pPr>
      <w:r>
        <w:rPr>
          <w:rFonts w:hint="eastAsia" w:ascii="仿宋" w:hAnsi="仿宋" w:eastAsia="仿宋" w:cs="仿宋"/>
          <w:b w:val="0"/>
          <w:sz w:val="32"/>
          <w:szCs w:val="32"/>
        </w:rPr>
        <w:t>2025年度财政拨款支出17,113.69万元，主要用于以下方面：</w:t>
      </w:r>
    </w:p>
    <w:p w14:paraId="00BA5FE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14:paraId="33416E40">
      <w:pPr>
        <w:widowControl/>
        <w:spacing w:before="0" w:beforeLines="0" w:beforeAutospacing="0" w:after="0" w:afterLines="0" w:afterAutospacing="0" w:line="360" w:lineRule="auto"/>
        <w:ind w:firstLine="640" w:firstLineChars="200"/>
        <w:jc w:val="left"/>
        <w:rPr>
          <w:rFonts w:hint="eastAsia" w:ascii="仿宋" w:hAnsi="仿宋" w:eastAsia="仿宋" w:cs="仿宋"/>
          <w:b w:val="0"/>
          <w:sz w:val="32"/>
          <w:szCs w:val="32"/>
        </w:rPr>
      </w:pPr>
      <w:r>
        <w:rPr>
          <w:rFonts w:hint="eastAsia" w:ascii="仿宋" w:hAnsi="仿宋" w:eastAsia="仿宋" w:cs="仿宋"/>
          <w:b w:val="0"/>
          <w:sz w:val="32"/>
          <w:szCs w:val="32"/>
        </w:rPr>
        <w:t>一般公共服务（类）支出812.27万元，占4.7%，主要用于信访救助和国家赔偿业务等支出；外交（类）支出0.00万元，占0.0%；国防（类）支出0.00万元，占0.0%，；公共安全类（类）支出12,510.98万元，占73.1%，主要用于人员经费、日常公用等支出；教育（类）支出0.00万元，占0.0%；科学技术（类）支出0.00万元，占0.0%；文化旅游体育与传媒（类）支出0.00万元，占0.0%；社会保障和就业（类）支出2,719.34万元，占15.9%，主要用于在职人员养老保险支出等支出；卫生健康（类）支出409.79万元，占2.4%，主要用于在职人员医疗保险等支出；节能环保（类）支出0.00万元，占0.0%；城乡社区（类）支出0.00万元，占0.0%；农林水（类）支出0.00万元，占0.0%；交通运输（类）支出0.00万元，占0.0%；资源勘探信息等（类）支出0.00万元，占0.0%；商业服务业等（类）支出0.00万元，占0.0%；金融（类）支出0.00万元，占0.0%；援助其他地区（类）支出0.00万元，占0.0%；自然资源海洋气象等（类）支出0.00万元，占0.0%；住房保障（类）支出661.31万元，占3.9%，主要用于在职人员住房公积金等支出；粮油物资储备（类）支出0.00万元，占0.0%；国有资本经营预算支出0.00万元，占0.0%；灾害防治及应急管理（类）支出0.00万元，占0.0%；其他（类）支出0.00万元，占0.0%；债务还本（类）支出0.00万元，占0.0%；债务付息（类）支出0.00万元，占0.0%；抗疫特别国债安排的支出0.00万元，占0.0%。</w:t>
      </w:r>
    </w:p>
    <w:p w14:paraId="60C8E02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政府性基金预算财政拨款支出：</w:t>
      </w:r>
    </w:p>
    <w:p w14:paraId="0819E557">
      <w:pPr>
        <w:widowControl/>
        <w:spacing w:before="0" w:beforeLines="0" w:beforeAutospacing="0" w:after="0" w:afterLines="0" w:afterAutospacing="0" w:line="360" w:lineRule="auto"/>
        <w:ind w:firstLine="640" w:firstLineChars="200"/>
        <w:jc w:val="left"/>
        <w:rPr>
          <w:rFonts w:hint="eastAsia" w:ascii="仿宋" w:hAnsi="仿宋" w:eastAsia="仿宋" w:cs="仿宋"/>
          <w:b w:val="0"/>
          <w:sz w:val="32"/>
          <w:szCs w:val="32"/>
        </w:rPr>
      </w:pPr>
      <w:r>
        <w:rPr>
          <w:rFonts w:hint="eastAsia" w:ascii="仿宋" w:hAnsi="仿宋" w:eastAsia="仿宋" w:cs="仿宋"/>
          <w:b w:val="0"/>
          <w:sz w:val="32"/>
          <w:szCs w:val="32"/>
        </w:rPr>
        <w:t>一般公共服务（类）支出0.00万元，占0.0%；外交（类）支出0.00万元，占0.0%；国防（类）支出0.00万元，占0.0%；公共安全类（类）支出0.00万元，占0.0%；教育（类）支出0.00万元，占0.0%；科学技术（类）支出0.00万元，占0.0%；文化旅游体育与传媒（类）支出0.00万元，占0.0%；社会保障和就业 （类）支出0.00万元，占0.0%；卫生健康（类）支出0.00万元，占0.0%；节能环保（类）支出0.00万元，占0.0%；城乡社区（类）支出0.00万元，占0.0%；农林水（类）支出0.00万元，占0.0%；交通运输（类）支出0.00万元，占0.0%；资源勘探信息等（类）支出0.00万元，占0.0%；商业服务业等（类）支出0.00万元，占0.0%；金融（类）支出0.00万元，占0.0%；援助其他地区（类）支出0.00万元，占0.0%；自然资源海洋气象等（类）支出0.00万元，占0.0%；住房保障（类）支出0.00万元，占0.0%；粮油物资储备（类）支出0.00万元，占0.0%；国有资本经营预算支出0.00万元，占0.0%；灾害防治及应急管理（类）支出0.00万元，占0.0%；其他（类）支出0.00万元，占0.0%；债务还本（类）支出0.00万元，占0.0%；债务付息（类）支出0.00万元，占0.0%；抗疫特别国债安排的支出0.00万元，占0.00%。</w:t>
      </w:r>
    </w:p>
    <w:p w14:paraId="7346595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国有资本经营预算财政拨款支出：</w:t>
      </w:r>
    </w:p>
    <w:p w14:paraId="5AC4095C">
      <w:pPr>
        <w:widowControl/>
        <w:spacing w:before="0" w:beforeLines="0" w:beforeAutospacing="0" w:after="0" w:afterLines="0" w:afterAutospacing="0" w:line="360" w:lineRule="auto"/>
        <w:ind w:firstLine="640" w:firstLineChars="200"/>
        <w:jc w:val="left"/>
        <w:rPr>
          <w:rFonts w:hint="eastAsia" w:ascii="仿宋" w:hAnsi="仿宋" w:eastAsia="仿宋" w:cs="仿宋"/>
          <w:b w:val="0"/>
          <w:sz w:val="32"/>
          <w:szCs w:val="32"/>
        </w:rPr>
      </w:pPr>
      <w:r>
        <w:rPr>
          <w:rFonts w:hint="eastAsia" w:ascii="仿宋" w:hAnsi="仿宋" w:eastAsia="仿宋" w:cs="仿宋"/>
          <w:b w:val="0"/>
          <w:sz w:val="32"/>
          <w:szCs w:val="32"/>
        </w:rPr>
        <w:t>一般公共服务（类）支出0.00万元，占0.0%；外交（类）支出0.00万元，占0.0%；国防（类）支出0.00万元，占0.0%；公共安全（类）支出0.00万元，占0.0%；教育（类）支出0.00万元，占0.0%；科学技术（类）支出0.00万元，占0.0%；文化旅游体育与传媒（类）支出0.00万元，占0.0%；社会保障和就业 （类）支出0.00万元，占0.0%；卫生健康（类）支出0.00万元，占0.0%；节能环保（类）支出0.00万元，占0.0%；城乡社区（类）支出0.00万元，占0.0%；农林水（类）支出0.00万元，占0.0%；交通运输（类）支出0.00万元，占0.0%；资源勘探信息等（类）支出0.00万元，占0.0%；商业服务业等（类）支出0.00万元，占0.0%；金融（类）支出0.00万元，占0.0%；援助其他地区（类）支出0.00万元，占0.0%；自然资源海洋气象等（类）支出0.00万元，占0.0%；住房保障（类）支出0.00万元，占0.0%；粮油物资储备（类）支出0.00万元，占0.0%；国有资本经营预算支出0.00万元，占0.0%；灾害防治及应急管理（类）支出0.00万元，占0.0%；其他（类）支出0.00万元，占0.0%；债务还本（类）支出0.00万元，占0.0%；债务付息（类）支出0.00万元，占0.0%；抗疫特别国债安排的支出0.00万元，占0.0%。</w:t>
      </w:r>
    </w:p>
    <w:p w14:paraId="5CC9B5E2">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14:paraId="2A08C8D4">
      <w:pPr>
        <w:widowControl/>
        <w:spacing w:before="0" w:beforeLines="0" w:beforeAutospacing="0" w:after="0" w:afterLines="0" w:afterAutospacing="0" w:line="360" w:lineRule="auto"/>
        <w:ind w:firstLine="640" w:firstLineChars="200"/>
        <w:jc w:val="left"/>
        <w:rPr>
          <w:rFonts w:hint="eastAsia" w:ascii="仿宋" w:hAnsi="仿宋" w:eastAsia="仿宋" w:cs="仿宋"/>
          <w:b w:val="0"/>
          <w:sz w:val="32"/>
          <w:szCs w:val="32"/>
        </w:rPr>
      </w:pPr>
      <w:r>
        <w:rPr>
          <w:rFonts w:hint="eastAsia" w:ascii="仿宋" w:hAnsi="仿宋" w:eastAsia="仿宋" w:cs="仿宋"/>
          <w:b w:val="0"/>
          <w:sz w:val="32"/>
          <w:szCs w:val="32"/>
        </w:rPr>
        <w:t>2025年度财政拨款基本支出11,047.05万元，其中：</w:t>
      </w:r>
    </w:p>
    <w:p w14:paraId="53362D17">
      <w:pPr>
        <w:widowControl/>
        <w:spacing w:before="0" w:beforeLines="0" w:beforeAutospacing="0" w:after="0" w:afterLines="0" w:afterAutospacing="0" w:line="360" w:lineRule="auto"/>
        <w:ind w:firstLine="640" w:firstLineChars="200"/>
        <w:jc w:val="left"/>
        <w:rPr>
          <w:rFonts w:hint="eastAsia" w:ascii="仿宋" w:hAnsi="仿宋" w:eastAsia="仿宋" w:cs="仿宋"/>
          <w:b w:val="0"/>
          <w:sz w:val="32"/>
          <w:szCs w:val="32"/>
        </w:rPr>
      </w:pPr>
      <w:r>
        <w:rPr>
          <w:rFonts w:hint="eastAsia" w:ascii="仿宋" w:hAnsi="仿宋" w:eastAsia="仿宋" w:cs="仿宋"/>
          <w:b w:val="0"/>
          <w:sz w:val="32"/>
          <w:szCs w:val="32"/>
        </w:rPr>
        <w:t>人员经费9,881.94万元，主要包括基本工资、津贴补贴、奖金、伙食补助费、绩效工资、机关事业部门基本养老保险缴费、职业年金缴费、职工基本医疗保险缴费、公务员医疗补助缴费、住房公积金、医疗费、其他社会保障缴费、其他工资福利支出、离休费、 退休费、 抚恤金、生活补助、医疗费补助、奖励金、其他对个人和家庭的补助支出。</w:t>
      </w:r>
    </w:p>
    <w:p w14:paraId="06DA4E45">
      <w:pPr>
        <w:widowControl/>
        <w:spacing w:before="0" w:beforeLines="0" w:beforeAutospacing="0" w:after="0" w:afterLines="0" w:afterAutospacing="0" w:line="360" w:lineRule="auto"/>
        <w:ind w:firstLine="640" w:firstLineChars="200"/>
        <w:jc w:val="left"/>
        <w:rPr>
          <w:rFonts w:hint="eastAsia" w:ascii="仿宋" w:hAnsi="仿宋" w:eastAsia="仿宋" w:cs="仿宋"/>
          <w:b w:val="0"/>
          <w:sz w:val="32"/>
          <w:szCs w:val="32"/>
        </w:rPr>
      </w:pPr>
      <w:r>
        <w:rPr>
          <w:rFonts w:hint="eastAsia" w:ascii="仿宋" w:hAnsi="仿宋" w:eastAsia="仿宋" w:cs="仿宋"/>
          <w:b w:val="0"/>
          <w:sz w:val="32"/>
          <w:szCs w:val="32"/>
        </w:rPr>
        <w:t>公用经费1,165.11万元，主要包括办公费、印刷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资本性支出。</w:t>
      </w:r>
    </w:p>
    <w:p w14:paraId="334A7E8B">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14:paraId="64CE8C8B">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14:paraId="2DDB5C27">
      <w:pPr>
        <w:widowControl/>
        <w:spacing w:before="0" w:beforeLines="0" w:beforeAutospacing="0" w:after="0" w:afterLines="0" w:afterAutospacing="0" w:line="360" w:lineRule="auto"/>
        <w:ind w:firstLine="640" w:firstLineChars="200"/>
        <w:jc w:val="left"/>
        <w:rPr>
          <w:rFonts w:hint="eastAsia" w:ascii="仿宋" w:hAnsi="仿宋" w:eastAsia="仿宋" w:cs="仿宋"/>
          <w:b w:val="0"/>
          <w:sz w:val="32"/>
          <w:szCs w:val="32"/>
        </w:rPr>
      </w:pPr>
      <w:r>
        <w:rPr>
          <w:rFonts w:hint="eastAsia" w:ascii="仿宋" w:hAnsi="仿宋" w:eastAsia="仿宋" w:cs="仿宋"/>
          <w:b w:val="0"/>
          <w:sz w:val="32"/>
          <w:szCs w:val="32"/>
        </w:rPr>
        <w:t>本</w:t>
      </w:r>
      <w:r>
        <w:rPr>
          <w:rFonts w:hint="eastAsia" w:ascii="仿宋" w:hAnsi="仿宋" w:eastAsia="仿宋" w:cs="仿宋"/>
          <w:b w:val="0"/>
          <w:sz w:val="32"/>
          <w:szCs w:val="32"/>
          <w:lang w:eastAsia="zh-CN"/>
        </w:rPr>
        <w:t>部门</w:t>
      </w:r>
      <w:r>
        <w:rPr>
          <w:rFonts w:hint="eastAsia" w:ascii="仿宋" w:hAnsi="仿宋" w:eastAsia="仿宋" w:cs="仿宋"/>
          <w:b w:val="0"/>
          <w:sz w:val="32"/>
          <w:szCs w:val="32"/>
        </w:rPr>
        <w:t>2025年度“三公”经费财政拨款支出预算为143.64万元，支出决算为71.21万元，完成预算的49.6%，较预算减少72.43万元，降低50.4%，主要原因是公务用车运行维护费较预算减少；较2024年度决算减少1.07万元，降低1.5%，主要原因是厉行节约，减少开支。</w:t>
      </w:r>
    </w:p>
    <w:p w14:paraId="214014F6">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14:paraId="652A6076">
      <w:pPr>
        <w:widowControl/>
        <w:spacing w:before="0" w:beforeLines="0" w:beforeAutospacing="0" w:after="0" w:afterLines="0" w:afterAutospacing="0" w:line="360" w:lineRule="auto"/>
        <w:ind w:firstLine="643" w:firstLineChars="200"/>
        <w:jc w:val="left"/>
        <w:rPr>
          <w:rFonts w:hint="eastAsia" w:ascii="仿宋" w:hAnsi="仿宋" w:eastAsia="仿宋" w:cs="仿宋"/>
          <w:b w:val="0"/>
          <w:sz w:val="32"/>
          <w:szCs w:val="32"/>
        </w:rPr>
      </w:pPr>
      <w:r>
        <w:rPr>
          <w:rFonts w:ascii="Times New Roman" w:eastAsia="楷体_GB2312"/>
          <w:b/>
          <w:sz w:val="32"/>
          <w:szCs w:val="32"/>
        </w:rPr>
        <w:t>1.因公出国（境）费支出情况。</w:t>
      </w:r>
      <w:r>
        <w:rPr>
          <w:rFonts w:hint="eastAsia" w:ascii="仿宋" w:hAnsi="仿宋" w:eastAsia="仿宋" w:cs="仿宋"/>
          <w:b w:val="0"/>
          <w:sz w:val="32"/>
          <w:szCs w:val="32"/>
        </w:rPr>
        <w:t>本</w:t>
      </w:r>
      <w:r>
        <w:rPr>
          <w:rFonts w:hint="eastAsia" w:ascii="仿宋" w:hAnsi="仿宋" w:eastAsia="仿宋" w:cs="仿宋"/>
          <w:b w:val="0"/>
          <w:sz w:val="32"/>
          <w:szCs w:val="32"/>
          <w:lang w:eastAsia="zh-CN"/>
        </w:rPr>
        <w:t>部门</w:t>
      </w:r>
      <w:r>
        <w:rPr>
          <w:rFonts w:hint="eastAsia" w:ascii="仿宋" w:hAnsi="仿宋" w:eastAsia="仿宋" w:cs="仿宋"/>
          <w:b w:val="0"/>
          <w:sz w:val="32"/>
          <w:szCs w:val="32"/>
        </w:rPr>
        <w:t>2025年度因公出国（境）费支出预算为0.00万元,支出决算0.00万元。完成预算的0.0%。因公出国（境）费支出较预算增加0.00万元，增长0.0%,主要原因是未发生因公出国（境）费支出；较上年增加0.00万元，增长0.00%,主要原因是未发生因公出国（境）费支出。因公出国（境）团组0个、共0人、参加其他</w:t>
      </w:r>
      <w:r>
        <w:rPr>
          <w:rFonts w:hint="eastAsia" w:ascii="仿宋" w:hAnsi="仿宋" w:eastAsia="仿宋" w:cs="仿宋"/>
          <w:b w:val="0"/>
          <w:sz w:val="32"/>
          <w:szCs w:val="32"/>
          <w:lang w:eastAsia="zh-CN"/>
        </w:rPr>
        <w:t>部门</w:t>
      </w:r>
      <w:r>
        <w:rPr>
          <w:rFonts w:hint="eastAsia" w:ascii="仿宋" w:hAnsi="仿宋" w:eastAsia="仿宋" w:cs="仿宋"/>
          <w:b w:val="0"/>
          <w:sz w:val="32"/>
          <w:szCs w:val="32"/>
        </w:rPr>
        <w:t>组织的因公出国（境）团组个、共人/无本部门组织的出国（境）团组。</w:t>
      </w:r>
    </w:p>
    <w:p w14:paraId="549624CD">
      <w:pPr>
        <w:widowControl/>
        <w:spacing w:before="0" w:beforeLines="0" w:beforeAutospacing="0" w:after="0" w:afterLines="0" w:afterAutospacing="0" w:line="360" w:lineRule="auto"/>
        <w:ind w:firstLine="643" w:firstLineChars="200"/>
        <w:jc w:val="left"/>
        <w:rPr>
          <w:rFonts w:hint="eastAsia" w:ascii="仿宋" w:hAnsi="仿宋" w:eastAsia="仿宋" w:cs="仿宋"/>
          <w:b w:val="0"/>
          <w:sz w:val="32"/>
          <w:szCs w:val="32"/>
        </w:rPr>
      </w:pPr>
      <w:r>
        <w:rPr>
          <w:rFonts w:ascii="Times New Roman" w:eastAsia="楷体_GB2312"/>
          <w:b/>
          <w:sz w:val="32"/>
          <w:szCs w:val="32"/>
        </w:rPr>
        <w:t>2.公务用车购置及运行维护费支出情况。</w:t>
      </w:r>
      <w:r>
        <w:rPr>
          <w:rFonts w:hint="eastAsia" w:ascii="仿宋" w:hAnsi="仿宋" w:eastAsia="仿宋" w:cs="仿宋"/>
          <w:b w:val="0"/>
          <w:sz w:val="32"/>
          <w:szCs w:val="32"/>
        </w:rPr>
        <w:t>本</w:t>
      </w:r>
      <w:r>
        <w:rPr>
          <w:rFonts w:hint="eastAsia" w:ascii="仿宋" w:hAnsi="仿宋" w:eastAsia="仿宋" w:cs="仿宋"/>
          <w:b w:val="0"/>
          <w:sz w:val="32"/>
          <w:szCs w:val="32"/>
          <w:lang w:eastAsia="zh-CN"/>
        </w:rPr>
        <w:t>部门</w:t>
      </w:r>
      <w:r>
        <w:rPr>
          <w:rFonts w:hint="eastAsia" w:ascii="仿宋" w:hAnsi="仿宋" w:eastAsia="仿宋" w:cs="仿宋"/>
          <w:b w:val="0"/>
          <w:sz w:val="32"/>
          <w:szCs w:val="32"/>
        </w:rPr>
        <w:t>2025年度公务用车购置及运行维护费预算为140.40万元，支出决算71.07万元，完成预算的50.6%,较预算减少69.33万元，降低49.4%,主要原因是日常工作中严格规范管理“三公”经费，全年实际支出减少；较上年减少1.21万元，降低1.7%,主要原因是厉行节约，减少开支。其中：</w:t>
      </w:r>
    </w:p>
    <w:p w14:paraId="61E18AFF">
      <w:pPr>
        <w:widowControl/>
        <w:spacing w:before="0" w:beforeLines="0" w:beforeAutospacing="0" w:after="0" w:afterLines="0" w:afterAutospacing="0" w:line="360" w:lineRule="auto"/>
        <w:ind w:firstLine="643" w:firstLineChars="200"/>
        <w:jc w:val="left"/>
        <w:rPr>
          <w:rFonts w:hint="eastAsia" w:ascii="仿宋" w:hAnsi="仿宋" w:eastAsia="仿宋" w:cs="仿宋"/>
          <w:b w:val="0"/>
          <w:sz w:val="32"/>
          <w:szCs w:val="32"/>
        </w:rPr>
      </w:pPr>
      <w:r>
        <w:rPr>
          <w:rFonts w:ascii="Times New Roman" w:eastAsia="仿宋_GB2312"/>
          <w:b/>
          <w:sz w:val="32"/>
          <w:szCs w:val="32"/>
        </w:rPr>
        <w:t>公务用车购置费支出0.00万元：</w:t>
      </w:r>
      <w:r>
        <w:rPr>
          <w:rFonts w:hint="eastAsia" w:ascii="仿宋" w:hAnsi="仿宋" w:eastAsia="仿宋" w:cs="仿宋"/>
          <w:b w:val="0"/>
          <w:sz w:val="32"/>
          <w:szCs w:val="32"/>
        </w:rPr>
        <w:t>本</w:t>
      </w:r>
      <w:r>
        <w:rPr>
          <w:rFonts w:hint="eastAsia" w:ascii="仿宋" w:hAnsi="仿宋" w:eastAsia="仿宋" w:cs="仿宋"/>
          <w:b w:val="0"/>
          <w:sz w:val="32"/>
          <w:szCs w:val="32"/>
          <w:lang w:eastAsia="zh-CN"/>
        </w:rPr>
        <w:t>部门</w:t>
      </w:r>
      <w:r>
        <w:rPr>
          <w:rFonts w:hint="eastAsia" w:ascii="仿宋" w:hAnsi="仿宋" w:eastAsia="仿宋" w:cs="仿宋"/>
          <w:b w:val="0"/>
          <w:sz w:val="32"/>
          <w:szCs w:val="32"/>
        </w:rPr>
        <w:t>2025年度公务用车购置量0辆，发生“公务用车购置”经费支出0.00万元。公务用车购置费支出较预算增加0.00万元，增长0.0%,主要原因是未发生公务用车购置费支出；较上年增加0.00万元，增长0.00%,主要原因是未发生公务用车购置费支出。</w:t>
      </w:r>
    </w:p>
    <w:p w14:paraId="0E7EC704">
      <w:pPr>
        <w:widowControl/>
        <w:spacing w:before="0" w:beforeLines="0" w:beforeAutospacing="0" w:after="0" w:afterLines="0" w:afterAutospacing="0" w:line="360" w:lineRule="auto"/>
        <w:ind w:firstLine="643" w:firstLineChars="200"/>
        <w:jc w:val="left"/>
        <w:rPr>
          <w:rFonts w:hint="eastAsia" w:ascii="仿宋" w:hAnsi="仿宋" w:eastAsia="仿宋" w:cs="仿宋"/>
          <w:b w:val="0"/>
          <w:sz w:val="32"/>
          <w:szCs w:val="32"/>
        </w:rPr>
      </w:pPr>
      <w:r>
        <w:rPr>
          <w:rFonts w:ascii="Times New Roman" w:eastAsia="仿宋_GB2312"/>
          <w:b/>
          <w:sz w:val="32"/>
          <w:szCs w:val="32"/>
        </w:rPr>
        <w:t>公务用车运行维护费支出71.07万元：</w:t>
      </w:r>
      <w:r>
        <w:rPr>
          <w:rFonts w:hint="eastAsia" w:ascii="仿宋" w:hAnsi="仿宋" w:eastAsia="仿宋" w:cs="仿宋"/>
          <w:b w:val="0"/>
          <w:sz w:val="32"/>
          <w:szCs w:val="32"/>
        </w:rPr>
        <w:t>本</w:t>
      </w:r>
      <w:r>
        <w:rPr>
          <w:rFonts w:hint="eastAsia" w:ascii="仿宋" w:hAnsi="仿宋" w:eastAsia="仿宋" w:cs="仿宋"/>
          <w:b w:val="0"/>
          <w:sz w:val="32"/>
          <w:szCs w:val="32"/>
          <w:lang w:eastAsia="zh-CN"/>
        </w:rPr>
        <w:t>部门</w:t>
      </w:r>
      <w:r>
        <w:rPr>
          <w:rFonts w:hint="eastAsia" w:ascii="仿宋" w:hAnsi="仿宋" w:eastAsia="仿宋" w:cs="仿宋"/>
          <w:b w:val="0"/>
          <w:sz w:val="32"/>
          <w:szCs w:val="32"/>
        </w:rPr>
        <w:t>2025年度</w:t>
      </w:r>
      <w:r>
        <w:rPr>
          <w:rFonts w:hint="eastAsia" w:ascii="仿宋" w:hAnsi="仿宋" w:eastAsia="仿宋" w:cs="仿宋"/>
          <w:b w:val="0"/>
          <w:sz w:val="32"/>
          <w:szCs w:val="32"/>
          <w:lang w:eastAsia="zh-CN"/>
        </w:rPr>
        <w:t>部门</w:t>
      </w:r>
      <w:r>
        <w:rPr>
          <w:rFonts w:hint="eastAsia" w:ascii="仿宋" w:hAnsi="仿宋" w:eastAsia="仿宋" w:cs="仿宋"/>
          <w:b w:val="0"/>
          <w:sz w:val="32"/>
          <w:szCs w:val="32"/>
        </w:rPr>
        <w:t>公务用车保有量51辆，发生运行维护费支出71.07万元。公车运行维护费支出较预算减少69.33万元，降低49.4%,主要原因是公务用车运行维护费较预算减少；较上年减少1.21万元，降低1.7%，主要原因是</w:t>
      </w:r>
      <w:r>
        <w:rPr>
          <w:rFonts w:hint="eastAsia" w:ascii="仿宋" w:hAnsi="仿宋" w:eastAsia="仿宋" w:cs="仿宋"/>
          <w:b w:val="0"/>
          <w:sz w:val="32"/>
          <w:szCs w:val="32"/>
          <w:lang w:eastAsia="zh-CN"/>
        </w:rPr>
        <w:t>厉行节约，减少开支</w:t>
      </w:r>
      <w:r>
        <w:rPr>
          <w:rFonts w:hint="eastAsia" w:ascii="仿宋" w:hAnsi="仿宋" w:eastAsia="仿宋" w:cs="仿宋"/>
          <w:b w:val="0"/>
          <w:sz w:val="32"/>
          <w:szCs w:val="32"/>
        </w:rPr>
        <w:t>。</w:t>
      </w:r>
    </w:p>
    <w:p w14:paraId="643B1F0F">
      <w:pPr>
        <w:widowControl/>
        <w:spacing w:before="0" w:beforeLines="0" w:beforeAutospacing="0" w:after="0" w:afterLines="0" w:afterAutospacing="0" w:line="360" w:lineRule="auto"/>
        <w:ind w:firstLine="643" w:firstLineChars="200"/>
        <w:jc w:val="left"/>
        <w:rPr>
          <w:rFonts w:hint="eastAsia" w:ascii="仿宋" w:hAnsi="仿宋" w:eastAsia="仿宋" w:cs="仿宋"/>
          <w:b w:val="0"/>
          <w:sz w:val="32"/>
          <w:szCs w:val="32"/>
        </w:rPr>
      </w:pPr>
      <w:r>
        <w:rPr>
          <w:rFonts w:ascii="Times New Roman" w:eastAsia="楷体_GB2312"/>
          <w:b/>
          <w:sz w:val="32"/>
          <w:szCs w:val="32"/>
        </w:rPr>
        <w:t>3.公务接待费支出情况。</w:t>
      </w:r>
      <w:r>
        <w:rPr>
          <w:rFonts w:hint="eastAsia" w:ascii="仿宋" w:hAnsi="仿宋" w:eastAsia="仿宋" w:cs="仿宋"/>
          <w:b w:val="0"/>
          <w:sz w:val="32"/>
          <w:szCs w:val="32"/>
        </w:rPr>
        <w:t>本</w:t>
      </w:r>
      <w:r>
        <w:rPr>
          <w:rFonts w:hint="eastAsia" w:ascii="仿宋" w:hAnsi="仿宋" w:eastAsia="仿宋" w:cs="仿宋"/>
          <w:b w:val="0"/>
          <w:sz w:val="32"/>
          <w:szCs w:val="32"/>
          <w:lang w:eastAsia="zh-CN"/>
        </w:rPr>
        <w:t>部门</w:t>
      </w:r>
      <w:r>
        <w:rPr>
          <w:rFonts w:hint="eastAsia" w:ascii="仿宋" w:hAnsi="仿宋" w:eastAsia="仿宋" w:cs="仿宋"/>
          <w:b w:val="0"/>
          <w:sz w:val="32"/>
          <w:szCs w:val="32"/>
        </w:rPr>
        <w:t>2025年度公务接待费支出预算为3.24万元，支出决算0.14万元，完成预算的4.3%。公务接待费支出较预算减少3.10万元，降低95.7%,主要原因是</w:t>
      </w:r>
      <w:r>
        <w:rPr>
          <w:rFonts w:hint="eastAsia" w:ascii="仿宋" w:hAnsi="仿宋" w:eastAsia="仿宋" w:cs="仿宋"/>
          <w:b w:val="0"/>
          <w:sz w:val="32"/>
          <w:szCs w:val="32"/>
          <w:lang w:eastAsia="zh-CN"/>
        </w:rPr>
        <w:t>厉行节约，降低公务接待次数</w:t>
      </w:r>
      <w:r>
        <w:rPr>
          <w:rFonts w:hint="eastAsia" w:ascii="仿宋" w:hAnsi="仿宋" w:eastAsia="仿宋" w:cs="仿宋"/>
          <w:b w:val="0"/>
          <w:sz w:val="32"/>
          <w:szCs w:val="32"/>
        </w:rPr>
        <w:t>；较上年度增加0.14万元，增长100.00%,主要原因是</w:t>
      </w:r>
      <w:r>
        <w:rPr>
          <w:rFonts w:hint="eastAsia" w:ascii="仿宋" w:hAnsi="仿宋" w:eastAsia="仿宋" w:cs="仿宋"/>
          <w:b w:val="0"/>
          <w:sz w:val="32"/>
          <w:szCs w:val="32"/>
          <w:lang w:eastAsia="zh-CN"/>
        </w:rPr>
        <w:t>上年度未发生公务接待</w:t>
      </w:r>
      <w:r>
        <w:rPr>
          <w:rFonts w:hint="eastAsia" w:ascii="仿宋" w:hAnsi="仿宋" w:eastAsia="仿宋" w:cs="仿宋"/>
          <w:b w:val="0"/>
          <w:sz w:val="32"/>
          <w:szCs w:val="32"/>
        </w:rPr>
        <w:t>。本年度共发生公务接待3批次、18人次。</w:t>
      </w:r>
    </w:p>
    <w:p w14:paraId="23BF6557">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14:paraId="6A1F05EB">
      <w:pPr>
        <w:widowControl/>
        <w:spacing w:before="0" w:beforeLines="0" w:beforeAutospacing="0" w:after="0" w:afterLines="0" w:afterAutospacing="0" w:line="360" w:lineRule="auto"/>
        <w:ind w:firstLine="640" w:firstLineChars="200"/>
        <w:jc w:val="left"/>
        <w:rPr>
          <w:rFonts w:hint="eastAsia" w:ascii="仿宋" w:hAnsi="仿宋" w:eastAsia="仿宋" w:cs="仿宋"/>
          <w:b w:val="0"/>
          <w:sz w:val="32"/>
          <w:szCs w:val="32"/>
        </w:rPr>
      </w:pPr>
      <w:r>
        <w:rPr>
          <w:rFonts w:hint="eastAsia" w:ascii="仿宋" w:hAnsi="仿宋" w:eastAsia="仿宋" w:cs="仿宋"/>
          <w:b w:val="0"/>
          <w:sz w:val="32"/>
          <w:szCs w:val="32"/>
        </w:rPr>
        <w:t>本</w:t>
      </w:r>
      <w:r>
        <w:rPr>
          <w:rFonts w:hint="eastAsia" w:ascii="仿宋" w:hAnsi="仿宋" w:eastAsia="仿宋" w:cs="仿宋"/>
          <w:b w:val="0"/>
          <w:sz w:val="32"/>
          <w:szCs w:val="32"/>
          <w:lang w:eastAsia="zh-CN"/>
        </w:rPr>
        <w:t>部门</w:t>
      </w:r>
      <w:r>
        <w:rPr>
          <w:rFonts w:hint="eastAsia" w:ascii="仿宋" w:hAnsi="仿宋" w:eastAsia="仿宋" w:cs="仿宋"/>
          <w:b w:val="0"/>
          <w:sz w:val="32"/>
          <w:szCs w:val="32"/>
        </w:rPr>
        <w:t>2025年度机关运行经费支出1,165.11万元，较2024年度减少31.24万元，降低2.6%。主要原因是</w:t>
      </w:r>
      <w:r>
        <w:rPr>
          <w:rFonts w:hint="eastAsia" w:ascii="仿宋" w:hAnsi="仿宋" w:eastAsia="仿宋" w:cs="仿宋"/>
          <w:b w:val="0"/>
          <w:sz w:val="32"/>
          <w:szCs w:val="32"/>
          <w:lang w:eastAsia="zh-CN"/>
        </w:rPr>
        <w:t>我院坚持厉行节约的工作理念，机关运行费较上年有所减少</w:t>
      </w:r>
      <w:r>
        <w:rPr>
          <w:rFonts w:hint="eastAsia" w:ascii="仿宋" w:hAnsi="仿宋" w:eastAsia="仿宋" w:cs="仿宋"/>
          <w:b w:val="0"/>
          <w:sz w:val="32"/>
          <w:szCs w:val="32"/>
        </w:rPr>
        <w:t>。</w:t>
      </w:r>
    </w:p>
    <w:p w14:paraId="10A18D72">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14:paraId="5F76DA19">
      <w:pPr>
        <w:widowControl/>
        <w:spacing w:before="0" w:beforeLines="0" w:beforeAutospacing="0" w:after="0" w:afterLines="0" w:afterAutospacing="0" w:line="360" w:lineRule="auto"/>
        <w:ind w:firstLine="640" w:firstLineChars="200"/>
        <w:jc w:val="left"/>
        <w:rPr>
          <w:rFonts w:hint="eastAsia" w:ascii="仿宋" w:hAnsi="仿宋" w:eastAsia="仿宋" w:cs="仿宋"/>
          <w:b w:val="0"/>
          <w:sz w:val="32"/>
          <w:szCs w:val="32"/>
        </w:rPr>
      </w:pPr>
      <w:r>
        <w:rPr>
          <w:rFonts w:hint="eastAsia" w:ascii="仿宋" w:hAnsi="仿宋" w:eastAsia="仿宋" w:cs="仿宋"/>
          <w:b w:val="0"/>
          <w:sz w:val="32"/>
          <w:szCs w:val="32"/>
        </w:rPr>
        <w:t>本</w:t>
      </w:r>
      <w:r>
        <w:rPr>
          <w:rFonts w:hint="eastAsia" w:ascii="仿宋" w:hAnsi="仿宋" w:eastAsia="仿宋" w:cs="仿宋"/>
          <w:b w:val="0"/>
          <w:sz w:val="32"/>
          <w:szCs w:val="32"/>
          <w:lang w:eastAsia="zh-CN"/>
        </w:rPr>
        <w:t>部门</w:t>
      </w:r>
      <w:r>
        <w:rPr>
          <w:rFonts w:hint="eastAsia" w:ascii="仿宋" w:hAnsi="仿宋" w:eastAsia="仿宋" w:cs="仿宋"/>
          <w:b w:val="0"/>
          <w:sz w:val="32"/>
          <w:szCs w:val="32"/>
        </w:rPr>
        <w:t>2025年度政府采购支出总额1,548.72万元，从采购类型来看，政府采购货物支出633.98万元、政府采购工程支出0.00万元、政府采购服务支出914.74万元。授予中小企业合同金额619.56万元，占政府采购支出总额的40.0%，其中授予小微企业合同金额619.56万元，占政府采购支出总额的40.0%。</w:t>
      </w:r>
    </w:p>
    <w:p w14:paraId="2A4BD594">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14:paraId="1C51742C">
      <w:pPr>
        <w:widowControl/>
        <w:spacing w:before="0" w:beforeLines="0" w:beforeAutospacing="0" w:after="0" w:afterLines="0" w:afterAutospacing="0" w:line="360" w:lineRule="auto"/>
        <w:ind w:firstLine="640" w:firstLineChars="200"/>
        <w:jc w:val="left"/>
        <w:rPr>
          <w:rFonts w:hint="eastAsia" w:ascii="仿宋" w:hAnsi="仿宋" w:eastAsia="仿宋" w:cs="仿宋"/>
          <w:b w:val="0"/>
          <w:sz w:val="32"/>
          <w:szCs w:val="32"/>
        </w:rPr>
      </w:pPr>
      <w:r>
        <w:rPr>
          <w:rFonts w:hint="eastAsia" w:ascii="仿宋" w:hAnsi="仿宋" w:eastAsia="仿宋" w:cs="仿宋"/>
          <w:b w:val="0"/>
          <w:sz w:val="32"/>
          <w:szCs w:val="32"/>
        </w:rPr>
        <w:t>截至2025年12月31日，本</w:t>
      </w:r>
      <w:r>
        <w:rPr>
          <w:rFonts w:hint="eastAsia" w:ascii="仿宋" w:hAnsi="仿宋" w:eastAsia="仿宋" w:cs="仿宋"/>
          <w:b w:val="0"/>
          <w:sz w:val="32"/>
          <w:szCs w:val="32"/>
          <w:lang w:eastAsia="zh-CN"/>
        </w:rPr>
        <w:t>部门</w:t>
      </w:r>
      <w:r>
        <w:rPr>
          <w:rFonts w:hint="eastAsia" w:ascii="仿宋" w:hAnsi="仿宋" w:eastAsia="仿宋" w:cs="仿宋"/>
          <w:b w:val="0"/>
          <w:sz w:val="32"/>
          <w:szCs w:val="32"/>
        </w:rPr>
        <w:t>共有车辆51辆，比上年增加0辆，主要是。其中，副部（省）级及以上领导用车0辆，主要负责人用车0辆，机要通信用车1辆，应急保障用车1辆，执法执勤用车30辆，特种专业技术用车14辆，离退休干部用车4辆，其他用车1辆，其他用车主要是</w:t>
      </w:r>
      <w:r>
        <w:rPr>
          <w:rFonts w:hint="eastAsia" w:ascii="仿宋" w:hAnsi="仿宋" w:eastAsia="仿宋" w:cs="仿宋"/>
          <w:b w:val="0"/>
          <w:sz w:val="32"/>
          <w:szCs w:val="32"/>
          <w:lang w:eastAsia="zh-CN"/>
        </w:rPr>
        <w:t>后勤保障用车</w:t>
      </w:r>
      <w:r>
        <w:rPr>
          <w:rFonts w:hint="eastAsia" w:ascii="仿宋" w:hAnsi="仿宋" w:eastAsia="仿宋" w:cs="仿宋"/>
          <w:b w:val="0"/>
          <w:sz w:val="32"/>
          <w:szCs w:val="32"/>
        </w:rPr>
        <w:t>。</w:t>
      </w:r>
      <w:r>
        <w:rPr>
          <w:rFonts w:hint="eastAsia" w:ascii="仿宋" w:hAnsi="仿宋" w:eastAsia="仿宋" w:cs="仿宋"/>
          <w:b w:val="0"/>
          <w:sz w:val="32"/>
          <w:szCs w:val="32"/>
          <w:lang w:eastAsia="zh-CN"/>
        </w:rPr>
        <w:t>部门</w:t>
      </w:r>
      <w:r>
        <w:rPr>
          <w:rFonts w:hint="eastAsia" w:ascii="仿宋" w:hAnsi="仿宋" w:eastAsia="仿宋" w:cs="仿宋"/>
          <w:b w:val="0"/>
          <w:sz w:val="32"/>
          <w:szCs w:val="32"/>
        </w:rPr>
        <w:t>价值100万元（含）以上设备（不含车辆）16台（套）。</w:t>
      </w:r>
    </w:p>
    <w:p w14:paraId="263BA670">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14:paraId="54F2831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14:paraId="5074A9F4">
      <w:pPr>
        <w:widowControl/>
        <w:spacing w:before="0" w:beforeLines="0" w:beforeAutospacing="0" w:after="0" w:afterLines="0" w:afterAutospacing="0" w:line="360" w:lineRule="auto"/>
        <w:ind w:firstLine="640" w:firstLineChars="200"/>
        <w:jc w:val="left"/>
        <w:rPr>
          <w:rFonts w:hint="eastAsia" w:ascii="仿宋" w:hAnsi="仿宋" w:eastAsia="仿宋" w:cs="仿宋"/>
          <w:b w:val="0"/>
          <w:sz w:val="32"/>
          <w:szCs w:val="32"/>
        </w:rPr>
      </w:pPr>
      <w:r>
        <w:rPr>
          <w:rFonts w:hint="eastAsia" w:ascii="仿宋" w:hAnsi="仿宋" w:eastAsia="仿宋" w:cs="仿宋"/>
          <w:b w:val="0"/>
          <w:sz w:val="32"/>
          <w:szCs w:val="32"/>
        </w:rPr>
        <w:t>根据预算绩效管理要求，本</w:t>
      </w:r>
      <w:r>
        <w:rPr>
          <w:rFonts w:hint="eastAsia" w:ascii="仿宋" w:hAnsi="仿宋" w:eastAsia="仿宋" w:cs="仿宋"/>
          <w:b w:val="0"/>
          <w:sz w:val="32"/>
          <w:szCs w:val="32"/>
          <w:lang w:eastAsia="zh-CN"/>
        </w:rPr>
        <w:t>部门</w:t>
      </w:r>
      <w:r>
        <w:rPr>
          <w:rFonts w:hint="eastAsia" w:ascii="仿宋" w:hAnsi="仿宋" w:eastAsia="仿宋" w:cs="仿宋"/>
          <w:b w:val="0"/>
          <w:sz w:val="32"/>
          <w:szCs w:val="32"/>
        </w:rPr>
        <w:t>组织对2025年度</w:t>
      </w:r>
      <w:r>
        <w:rPr>
          <w:rFonts w:hint="eastAsia" w:ascii="仿宋" w:hAnsi="仿宋" w:eastAsia="仿宋" w:cs="仿宋"/>
          <w:b w:val="0"/>
          <w:sz w:val="32"/>
          <w:szCs w:val="32"/>
          <w:lang w:eastAsia="zh-CN"/>
        </w:rPr>
        <w:t>部门</w:t>
      </w:r>
      <w:r>
        <w:rPr>
          <w:rFonts w:hint="eastAsia" w:ascii="仿宋" w:hAnsi="仿宋" w:eastAsia="仿宋" w:cs="仿宋"/>
          <w:b w:val="0"/>
          <w:sz w:val="32"/>
          <w:szCs w:val="32"/>
        </w:rPr>
        <w:t>预算项目支出全面开展绩效自评，共涉及资金万元（决算金额）。其中，一般公共预算项目个，涉及资金</w:t>
      </w:r>
      <w:r>
        <w:rPr>
          <w:rFonts w:hint="eastAsia" w:ascii="仿宋" w:hAnsi="仿宋" w:eastAsia="仿宋" w:cs="仿宋"/>
          <w:b w:val="0"/>
          <w:sz w:val="32"/>
          <w:szCs w:val="32"/>
          <w:lang w:val="en-US" w:eastAsia="zh-CN"/>
        </w:rPr>
        <w:t>12567.41</w:t>
      </w:r>
      <w:r>
        <w:rPr>
          <w:rFonts w:hint="eastAsia" w:ascii="仿宋" w:hAnsi="仿宋" w:eastAsia="仿宋" w:cs="仿宋"/>
          <w:b w:val="0"/>
          <w:sz w:val="32"/>
          <w:szCs w:val="32"/>
        </w:rPr>
        <w:t>万元，占一般公共预算项目支出总额的</w:t>
      </w:r>
      <w:r>
        <w:rPr>
          <w:rFonts w:hint="eastAsia" w:ascii="仿宋" w:hAnsi="仿宋" w:eastAsia="仿宋" w:cs="仿宋"/>
          <w:b w:val="0"/>
          <w:sz w:val="32"/>
          <w:szCs w:val="32"/>
          <w:lang w:val="en-US" w:eastAsia="zh-CN"/>
        </w:rPr>
        <w:t>100</w:t>
      </w:r>
      <w:r>
        <w:rPr>
          <w:rFonts w:hint="eastAsia" w:ascii="仿宋" w:hAnsi="仿宋" w:eastAsia="仿宋" w:cs="仿宋"/>
          <w:b w:val="0"/>
          <w:sz w:val="32"/>
          <w:szCs w:val="32"/>
        </w:rPr>
        <w:t>%；政府性基金预算项目个，涉及资金</w:t>
      </w:r>
      <w:r>
        <w:rPr>
          <w:rFonts w:hint="eastAsia" w:ascii="仿宋" w:hAnsi="仿宋" w:eastAsia="仿宋" w:cs="仿宋"/>
          <w:b w:val="0"/>
          <w:sz w:val="32"/>
          <w:szCs w:val="32"/>
          <w:lang w:val="en-US" w:eastAsia="zh-CN"/>
        </w:rPr>
        <w:t>0</w:t>
      </w:r>
      <w:r>
        <w:rPr>
          <w:rFonts w:hint="eastAsia" w:ascii="仿宋" w:hAnsi="仿宋" w:eastAsia="仿宋" w:cs="仿宋"/>
          <w:b w:val="0"/>
          <w:sz w:val="32"/>
          <w:szCs w:val="32"/>
        </w:rPr>
        <w:t>万元，占政府性基金预算项目支出总额的</w:t>
      </w:r>
      <w:r>
        <w:rPr>
          <w:rFonts w:hint="eastAsia" w:ascii="仿宋" w:hAnsi="仿宋" w:eastAsia="仿宋" w:cs="仿宋"/>
          <w:b w:val="0"/>
          <w:sz w:val="32"/>
          <w:szCs w:val="32"/>
          <w:lang w:val="en-US" w:eastAsia="zh-CN"/>
        </w:rPr>
        <w:t>0</w:t>
      </w:r>
      <w:r>
        <w:rPr>
          <w:rFonts w:hint="eastAsia" w:ascii="仿宋" w:hAnsi="仿宋" w:eastAsia="仿宋" w:cs="仿宋"/>
          <w:b w:val="0"/>
          <w:sz w:val="32"/>
          <w:szCs w:val="32"/>
        </w:rPr>
        <w:t>%；国有资本经营预算项目</w:t>
      </w:r>
      <w:r>
        <w:rPr>
          <w:rFonts w:hint="eastAsia" w:ascii="仿宋" w:hAnsi="仿宋" w:eastAsia="仿宋" w:cs="仿宋"/>
          <w:b w:val="0"/>
          <w:sz w:val="32"/>
          <w:szCs w:val="32"/>
          <w:lang w:val="en-US" w:eastAsia="zh-CN"/>
        </w:rPr>
        <w:t>0</w:t>
      </w:r>
      <w:r>
        <w:rPr>
          <w:rFonts w:hint="eastAsia" w:ascii="仿宋" w:hAnsi="仿宋" w:eastAsia="仿宋" w:cs="仿宋"/>
          <w:b w:val="0"/>
          <w:sz w:val="32"/>
          <w:szCs w:val="32"/>
        </w:rPr>
        <w:t>个，涉及资金</w:t>
      </w:r>
      <w:r>
        <w:rPr>
          <w:rFonts w:hint="eastAsia" w:ascii="仿宋" w:hAnsi="仿宋" w:eastAsia="仿宋" w:cs="仿宋"/>
          <w:b w:val="0"/>
          <w:sz w:val="32"/>
          <w:szCs w:val="32"/>
          <w:lang w:val="en-US" w:eastAsia="zh-CN"/>
        </w:rPr>
        <w:t>0</w:t>
      </w:r>
      <w:r>
        <w:rPr>
          <w:rFonts w:hint="eastAsia" w:ascii="仿宋" w:hAnsi="仿宋" w:eastAsia="仿宋" w:cs="仿宋"/>
          <w:b w:val="0"/>
          <w:sz w:val="32"/>
          <w:szCs w:val="32"/>
        </w:rPr>
        <w:t>万元，占国有资本经营预算项目支出总额的</w:t>
      </w:r>
      <w:r>
        <w:rPr>
          <w:rFonts w:hint="eastAsia" w:ascii="仿宋" w:hAnsi="仿宋" w:eastAsia="仿宋" w:cs="仿宋"/>
          <w:b w:val="0"/>
          <w:sz w:val="32"/>
          <w:szCs w:val="32"/>
          <w:lang w:val="en-US" w:eastAsia="zh-CN"/>
        </w:rPr>
        <w:t>0</w:t>
      </w:r>
      <w:r>
        <w:rPr>
          <w:rFonts w:hint="eastAsia" w:ascii="仿宋" w:hAnsi="仿宋" w:eastAsia="仿宋" w:cs="仿宋"/>
          <w:b w:val="0"/>
          <w:sz w:val="32"/>
          <w:szCs w:val="32"/>
        </w:rPr>
        <w:t>%。</w:t>
      </w:r>
    </w:p>
    <w:p w14:paraId="2B02DC6E">
      <w:pPr>
        <w:widowControl/>
        <w:spacing w:before="0" w:beforeLines="0" w:beforeAutospacing="0" w:after="0" w:afterLines="0" w:afterAutospacing="0" w:line="360" w:lineRule="auto"/>
        <w:ind w:firstLine="640" w:firstLineChars="200"/>
        <w:jc w:val="left"/>
        <w:rPr>
          <w:rFonts w:hint="eastAsia" w:ascii="仿宋" w:hAnsi="仿宋" w:eastAsia="仿宋" w:cs="仿宋"/>
          <w:b w:val="0"/>
          <w:sz w:val="32"/>
          <w:szCs w:val="32"/>
        </w:rPr>
      </w:pPr>
      <w:r>
        <w:rPr>
          <w:rFonts w:hint="eastAsia" w:ascii="仿宋" w:hAnsi="仿宋" w:eastAsia="仿宋" w:cs="仿宋"/>
          <w:b w:val="0"/>
          <w:sz w:val="32"/>
          <w:szCs w:val="32"/>
        </w:rPr>
        <w:t>组织对等</w:t>
      </w:r>
      <w:r>
        <w:rPr>
          <w:rFonts w:hint="eastAsia" w:ascii="仿宋" w:hAnsi="仿宋" w:eastAsia="仿宋" w:cs="仿宋"/>
          <w:b w:val="0"/>
          <w:sz w:val="32"/>
          <w:szCs w:val="32"/>
          <w:lang w:val="en-US" w:eastAsia="zh-CN"/>
        </w:rPr>
        <w:t>31</w:t>
      </w:r>
      <w:r>
        <w:rPr>
          <w:rFonts w:hint="eastAsia" w:ascii="仿宋" w:hAnsi="仿宋" w:eastAsia="仿宋" w:cs="仿宋"/>
          <w:b w:val="0"/>
          <w:sz w:val="32"/>
          <w:szCs w:val="32"/>
        </w:rPr>
        <w:t>个项目开展了部门重点评价，涉及一般公共预算支出</w:t>
      </w:r>
      <w:r>
        <w:rPr>
          <w:rFonts w:hint="eastAsia" w:ascii="仿宋" w:hAnsi="仿宋" w:eastAsia="仿宋" w:cs="仿宋"/>
          <w:b w:val="0"/>
          <w:sz w:val="32"/>
          <w:szCs w:val="32"/>
          <w:lang w:val="en-US" w:eastAsia="zh-CN"/>
        </w:rPr>
        <w:t>12567.41</w:t>
      </w:r>
      <w:r>
        <w:rPr>
          <w:rFonts w:hint="eastAsia" w:ascii="仿宋" w:hAnsi="仿宋" w:eastAsia="仿宋" w:cs="仿宋"/>
          <w:b w:val="0"/>
          <w:sz w:val="32"/>
          <w:szCs w:val="32"/>
        </w:rPr>
        <w:t>万元，政府性基金预算支出</w:t>
      </w:r>
      <w:r>
        <w:rPr>
          <w:rFonts w:hint="eastAsia" w:ascii="仿宋" w:hAnsi="仿宋" w:eastAsia="仿宋" w:cs="仿宋"/>
          <w:b w:val="0"/>
          <w:sz w:val="32"/>
          <w:szCs w:val="32"/>
          <w:lang w:val="en-US" w:eastAsia="zh-CN"/>
        </w:rPr>
        <w:t>0</w:t>
      </w:r>
      <w:r>
        <w:rPr>
          <w:rFonts w:hint="eastAsia" w:ascii="仿宋" w:hAnsi="仿宋" w:eastAsia="仿宋" w:cs="仿宋"/>
          <w:b w:val="0"/>
          <w:sz w:val="32"/>
          <w:szCs w:val="32"/>
        </w:rPr>
        <w:t>万元，国有资本经营预算支出</w:t>
      </w:r>
      <w:r>
        <w:rPr>
          <w:rFonts w:hint="eastAsia" w:ascii="仿宋" w:hAnsi="仿宋" w:eastAsia="仿宋" w:cs="仿宋"/>
          <w:b w:val="0"/>
          <w:sz w:val="32"/>
          <w:szCs w:val="32"/>
          <w:lang w:val="en-US" w:eastAsia="zh-CN"/>
        </w:rPr>
        <w:t>0</w:t>
      </w:r>
      <w:r>
        <w:rPr>
          <w:rFonts w:hint="eastAsia" w:ascii="仿宋" w:hAnsi="仿宋" w:eastAsia="仿宋" w:cs="仿宋"/>
          <w:b w:val="0"/>
          <w:sz w:val="32"/>
          <w:szCs w:val="32"/>
        </w:rPr>
        <w:t>万元，从评价情况来看</w:t>
      </w:r>
      <w:r>
        <w:rPr>
          <w:rFonts w:hint="eastAsia" w:ascii="仿宋" w:hAnsi="仿宋" w:eastAsia="仿宋" w:cs="仿宋"/>
          <w:b w:val="0"/>
          <w:sz w:val="32"/>
          <w:szCs w:val="32"/>
          <w:lang w:eastAsia="zh-CN"/>
        </w:rPr>
        <w:t>总体</w:t>
      </w:r>
      <w:r>
        <w:rPr>
          <w:rFonts w:hint="eastAsia" w:ascii="仿宋" w:hAnsi="仿宋" w:eastAsia="仿宋" w:cs="仿宋"/>
          <w:b w:val="0"/>
          <w:sz w:val="32"/>
          <w:szCs w:val="32"/>
        </w:rPr>
        <w:t>绩效评价等级为优。</w:t>
      </w:r>
    </w:p>
    <w:p w14:paraId="30C1FE9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（二）部门决算中项目绩效自评结果</w:t>
      </w:r>
    </w:p>
    <w:p w14:paraId="6744A29E">
      <w:pPr>
        <w:widowControl/>
        <w:spacing w:before="0" w:beforeLines="0" w:beforeAutospacing="0" w:after="0" w:afterLines="0" w:afterAutospacing="0" w:line="360" w:lineRule="auto"/>
        <w:ind w:firstLine="640" w:firstLineChars="200"/>
        <w:jc w:val="left"/>
        <w:rPr>
          <w:rFonts w:hint="eastAsia" w:ascii="仿宋" w:hAnsi="仿宋" w:eastAsia="仿宋" w:cs="仿宋"/>
          <w:b w:val="0"/>
          <w:sz w:val="32"/>
          <w:szCs w:val="32"/>
        </w:rPr>
      </w:pPr>
      <w:r>
        <w:rPr>
          <w:rFonts w:hint="eastAsia" w:ascii="仿宋" w:hAnsi="仿宋" w:eastAsia="仿宋" w:cs="仿宋"/>
          <w:b w:val="0"/>
          <w:sz w:val="32"/>
          <w:szCs w:val="32"/>
        </w:rPr>
        <w:t>本</w:t>
      </w:r>
      <w:r>
        <w:rPr>
          <w:rFonts w:hint="eastAsia" w:ascii="仿宋" w:hAnsi="仿宋" w:eastAsia="仿宋" w:cs="仿宋"/>
          <w:b w:val="0"/>
          <w:sz w:val="32"/>
          <w:szCs w:val="32"/>
          <w:lang w:eastAsia="zh-CN"/>
        </w:rPr>
        <w:t>部门</w:t>
      </w:r>
      <w:r>
        <w:rPr>
          <w:rFonts w:hint="eastAsia" w:ascii="仿宋" w:hAnsi="仿宋" w:eastAsia="仿宋" w:cs="仿宋"/>
          <w:b w:val="0"/>
          <w:sz w:val="32"/>
          <w:szCs w:val="32"/>
        </w:rPr>
        <w:t>在今年部门决算公开中反映“业务培训费”“党组织活动经费”等</w:t>
      </w:r>
      <w:r>
        <w:rPr>
          <w:rFonts w:hint="eastAsia" w:ascii="仿宋" w:hAnsi="仿宋" w:eastAsia="仿宋" w:cs="仿宋"/>
          <w:b w:val="0"/>
          <w:sz w:val="32"/>
          <w:szCs w:val="32"/>
          <w:lang w:val="en-US" w:eastAsia="zh-CN"/>
        </w:rPr>
        <w:t>21</w:t>
      </w:r>
      <w:r>
        <w:rPr>
          <w:rFonts w:hint="eastAsia" w:ascii="仿宋" w:hAnsi="仿宋" w:eastAsia="仿宋" w:cs="仿宋"/>
          <w:b w:val="0"/>
          <w:sz w:val="32"/>
          <w:szCs w:val="32"/>
        </w:rPr>
        <w:t>个项目绩效自评结果。</w:t>
      </w:r>
    </w:p>
    <w:p w14:paraId="0E403B6B">
      <w:pPr>
        <w:widowControl/>
        <w:spacing w:before="0" w:beforeLines="0" w:beforeAutospacing="0" w:after="0" w:afterLines="0" w:afterAutospacing="0" w:line="360" w:lineRule="auto"/>
        <w:ind w:firstLine="640" w:firstLineChars="200"/>
        <w:jc w:val="left"/>
        <w:rPr>
          <w:rFonts w:hint="eastAsia" w:ascii="仿宋" w:hAnsi="仿宋" w:eastAsia="仿宋" w:cs="仿宋"/>
          <w:b w:val="0"/>
          <w:sz w:val="32"/>
          <w:szCs w:val="32"/>
        </w:rPr>
      </w:pPr>
      <w:r>
        <w:rPr>
          <w:rFonts w:hint="eastAsia" w:ascii="仿宋" w:hAnsi="仿宋" w:eastAsia="仿宋" w:cs="仿宋"/>
          <w:b w:val="0"/>
          <w:sz w:val="32"/>
          <w:szCs w:val="32"/>
          <w:lang w:val="en-US" w:eastAsia="zh-CN"/>
        </w:rPr>
        <w:t>1、</w:t>
      </w:r>
      <w:r>
        <w:rPr>
          <w:rFonts w:hint="eastAsia" w:ascii="仿宋" w:hAnsi="仿宋" w:eastAsia="仿宋" w:cs="仿宋"/>
          <w:b w:val="0"/>
          <w:sz w:val="32"/>
          <w:szCs w:val="32"/>
        </w:rPr>
        <w:t>办公设备购置费项目绩效自评情况：根据年初设定的绩效目标，办公设备购置费项目绩效自评得分为 9</w:t>
      </w:r>
      <w:r>
        <w:rPr>
          <w:rFonts w:hint="eastAsia" w:ascii="仿宋" w:hAnsi="仿宋" w:eastAsia="仿宋" w:cs="仿宋"/>
          <w:b w:val="0"/>
          <w:sz w:val="32"/>
          <w:szCs w:val="32"/>
          <w:lang w:val="en-US" w:eastAsia="zh-CN"/>
        </w:rPr>
        <w:t>8</w:t>
      </w:r>
      <w:r>
        <w:rPr>
          <w:rFonts w:hint="eastAsia" w:ascii="仿宋" w:hAnsi="仿宋" w:eastAsia="仿宋" w:cs="仿宋"/>
          <w:b w:val="0"/>
          <w:sz w:val="32"/>
          <w:szCs w:val="32"/>
        </w:rPr>
        <w:t xml:space="preserve"> 分（绩效自评表附后）。全年预算数为</w:t>
      </w:r>
      <w:r>
        <w:rPr>
          <w:rFonts w:hint="eastAsia" w:ascii="仿宋" w:hAnsi="仿宋" w:eastAsia="仿宋" w:cs="仿宋"/>
          <w:b w:val="0"/>
          <w:sz w:val="32"/>
          <w:szCs w:val="32"/>
          <w:lang w:val="en-US" w:eastAsia="zh-CN"/>
        </w:rPr>
        <w:t>103.5</w:t>
      </w:r>
      <w:r>
        <w:rPr>
          <w:rFonts w:hint="eastAsia" w:ascii="仿宋" w:hAnsi="仿宋" w:eastAsia="仿宋" w:cs="仿宋"/>
          <w:b w:val="0"/>
          <w:sz w:val="32"/>
          <w:szCs w:val="32"/>
        </w:rPr>
        <w:t xml:space="preserve">万元，执行数为 </w:t>
      </w:r>
      <w:r>
        <w:rPr>
          <w:rFonts w:hint="eastAsia" w:ascii="仿宋" w:hAnsi="仿宋" w:eastAsia="仿宋" w:cs="仿宋"/>
          <w:b w:val="0"/>
          <w:sz w:val="32"/>
          <w:szCs w:val="32"/>
          <w:lang w:val="en-US" w:eastAsia="zh-CN"/>
        </w:rPr>
        <w:t>84.48</w:t>
      </w:r>
      <w:r>
        <w:rPr>
          <w:rFonts w:hint="eastAsia" w:ascii="仿宋" w:hAnsi="仿宋" w:eastAsia="仿宋" w:cs="仿宋"/>
          <w:b w:val="0"/>
          <w:sz w:val="32"/>
          <w:szCs w:val="32"/>
        </w:rPr>
        <w:t>万元，完成预算的</w:t>
      </w:r>
      <w:r>
        <w:rPr>
          <w:rFonts w:hint="eastAsia" w:ascii="仿宋" w:hAnsi="仿宋" w:eastAsia="仿宋" w:cs="仿宋"/>
          <w:b w:val="0"/>
          <w:sz w:val="32"/>
          <w:szCs w:val="32"/>
          <w:lang w:val="en-US" w:eastAsia="zh-CN"/>
        </w:rPr>
        <w:t>81.62</w:t>
      </w:r>
      <w:r>
        <w:rPr>
          <w:rFonts w:hint="eastAsia" w:ascii="仿宋" w:hAnsi="仿宋" w:eastAsia="仿宋" w:cs="仿宋"/>
          <w:b w:val="0"/>
          <w:sz w:val="32"/>
          <w:szCs w:val="32"/>
        </w:rPr>
        <w:t>%。通过经费的使用，完成了年初设定的各项绩效目标，新购了办公设备，达到保障干警办公环境、提高办案效率的效果</w:t>
      </w:r>
      <w:r>
        <w:rPr>
          <w:rFonts w:hint="eastAsia" w:ascii="仿宋" w:hAnsi="仿宋" w:eastAsia="仿宋" w:cs="仿宋"/>
          <w:b w:val="0"/>
          <w:sz w:val="32"/>
          <w:szCs w:val="32"/>
          <w:lang w:eastAsia="zh-CN"/>
        </w:rPr>
        <w:t>，</w:t>
      </w:r>
      <w:r>
        <w:rPr>
          <w:rFonts w:hint="eastAsia" w:ascii="仿宋" w:hAnsi="仿宋" w:eastAsia="仿宋" w:cs="仿宋"/>
          <w:b w:val="0"/>
          <w:sz w:val="32"/>
          <w:szCs w:val="32"/>
        </w:rPr>
        <w:t>为</w:t>
      </w:r>
      <w:r>
        <w:rPr>
          <w:rFonts w:hint="eastAsia" w:ascii="仿宋" w:hAnsi="仿宋" w:eastAsia="仿宋" w:cs="仿宋"/>
          <w:b w:val="0"/>
          <w:sz w:val="32"/>
          <w:szCs w:val="32"/>
          <w:lang w:val="en-US" w:eastAsia="zh-CN"/>
        </w:rPr>
        <w:t>法院审判执行工作</w:t>
      </w:r>
      <w:r>
        <w:rPr>
          <w:rFonts w:hint="eastAsia" w:ascii="仿宋" w:hAnsi="仿宋" w:eastAsia="仿宋" w:cs="仿宋"/>
          <w:b w:val="0"/>
          <w:sz w:val="32"/>
          <w:szCs w:val="32"/>
        </w:rPr>
        <w:t>开展提供有利保障。</w:t>
      </w:r>
    </w:p>
    <w:p w14:paraId="3C8F079D">
      <w:pPr>
        <w:widowControl/>
        <w:spacing w:before="0" w:beforeLines="0" w:beforeAutospacing="0" w:after="0" w:afterLines="0" w:afterAutospacing="0" w:line="360" w:lineRule="auto"/>
        <w:jc w:val="left"/>
        <w:rPr>
          <w:rFonts w:hint="eastAsia" w:ascii="Times New Roman" w:eastAsia="仿宋_GB2312"/>
          <w:b w:val="0"/>
          <w:sz w:val="32"/>
          <w:szCs w:val="32"/>
        </w:rPr>
      </w:pPr>
      <w:r>
        <w:drawing>
          <wp:inline distT="0" distB="0" distL="114300" distR="114300">
            <wp:extent cx="5528310" cy="5288280"/>
            <wp:effectExtent l="0" t="0" r="3810"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9"/>
                    <a:stretch>
                      <a:fillRect/>
                    </a:stretch>
                  </pic:blipFill>
                  <pic:spPr>
                    <a:xfrm>
                      <a:off x="0" y="0"/>
                      <a:ext cx="5528310" cy="5288280"/>
                    </a:xfrm>
                    <a:prstGeom prst="rect">
                      <a:avLst/>
                    </a:prstGeom>
                    <a:noFill/>
                    <a:ln>
                      <a:noFill/>
                    </a:ln>
                  </pic:spPr>
                </pic:pic>
              </a:graphicData>
            </a:graphic>
          </wp:inline>
        </w:drawing>
      </w:r>
    </w:p>
    <w:p w14:paraId="07A556D4">
      <w:pPr>
        <w:widowControl/>
        <w:spacing w:before="0" w:beforeLines="0" w:beforeAutospacing="0" w:after="0" w:afterLines="0" w:afterAutospacing="0" w:line="360" w:lineRule="auto"/>
        <w:ind w:firstLine="640" w:firstLineChars="200"/>
        <w:jc w:val="left"/>
        <w:rPr>
          <w:rFonts w:hint="eastAsia" w:ascii="仿宋" w:hAnsi="仿宋" w:eastAsia="仿宋" w:cs="仿宋"/>
          <w:b w:val="0"/>
          <w:sz w:val="32"/>
          <w:szCs w:val="32"/>
        </w:rPr>
      </w:pPr>
      <w:r>
        <w:rPr>
          <w:rFonts w:hint="eastAsia" w:ascii="Times New Roman" w:eastAsia="仿宋_GB2312"/>
          <w:b w:val="0"/>
          <w:sz w:val="32"/>
          <w:szCs w:val="32"/>
          <w:lang w:val="en-US" w:eastAsia="zh-CN"/>
        </w:rPr>
        <w:t>2、</w:t>
      </w:r>
      <w:r>
        <w:rPr>
          <w:rFonts w:hint="eastAsia" w:ascii="仿宋" w:hAnsi="仿宋" w:eastAsia="仿宋" w:cs="仿宋"/>
          <w:b w:val="0"/>
          <w:sz w:val="32"/>
          <w:szCs w:val="32"/>
          <w:lang w:val="en-US" w:eastAsia="zh-CN"/>
        </w:rPr>
        <w:t>单位</w:t>
      </w:r>
      <w:r>
        <w:rPr>
          <w:rFonts w:hint="eastAsia" w:ascii="仿宋" w:hAnsi="仿宋" w:eastAsia="仿宋" w:cs="仿宋"/>
          <w:b w:val="0"/>
          <w:sz w:val="32"/>
          <w:szCs w:val="32"/>
        </w:rPr>
        <w:t>运行电费等项目绩效自评情况：根据年初设定的绩效目标，</w:t>
      </w:r>
      <w:r>
        <w:rPr>
          <w:rFonts w:hint="eastAsia" w:ascii="仿宋" w:hAnsi="仿宋" w:eastAsia="仿宋" w:cs="仿宋"/>
          <w:b w:val="0"/>
          <w:sz w:val="32"/>
          <w:szCs w:val="32"/>
          <w:lang w:val="en-US" w:eastAsia="zh-CN"/>
        </w:rPr>
        <w:t>单位</w:t>
      </w:r>
      <w:r>
        <w:rPr>
          <w:rFonts w:hint="eastAsia" w:ascii="仿宋" w:hAnsi="仿宋" w:eastAsia="仿宋" w:cs="仿宋"/>
          <w:b w:val="0"/>
          <w:sz w:val="32"/>
          <w:szCs w:val="32"/>
        </w:rPr>
        <w:t xml:space="preserve">运行电费等项目绩效自评得分为 </w:t>
      </w:r>
      <w:r>
        <w:rPr>
          <w:rFonts w:hint="eastAsia" w:ascii="仿宋" w:hAnsi="仿宋" w:eastAsia="仿宋" w:cs="仿宋"/>
          <w:b w:val="0"/>
          <w:sz w:val="32"/>
          <w:szCs w:val="32"/>
          <w:lang w:val="en-US" w:eastAsia="zh-CN"/>
        </w:rPr>
        <w:t>100</w:t>
      </w:r>
      <w:r>
        <w:rPr>
          <w:rFonts w:hint="eastAsia" w:ascii="仿宋" w:hAnsi="仿宋" w:eastAsia="仿宋" w:cs="仿宋"/>
          <w:b w:val="0"/>
          <w:sz w:val="32"/>
          <w:szCs w:val="32"/>
        </w:rPr>
        <w:t>分（绩效自评表附后）。全年预算数为</w:t>
      </w:r>
      <w:r>
        <w:rPr>
          <w:rFonts w:hint="eastAsia" w:ascii="仿宋" w:hAnsi="仿宋" w:eastAsia="仿宋" w:cs="仿宋"/>
          <w:b w:val="0"/>
          <w:sz w:val="32"/>
          <w:szCs w:val="32"/>
          <w:lang w:val="en-US" w:eastAsia="zh-CN"/>
        </w:rPr>
        <w:t>135</w:t>
      </w:r>
      <w:r>
        <w:rPr>
          <w:rFonts w:hint="eastAsia" w:ascii="仿宋" w:hAnsi="仿宋" w:eastAsia="仿宋" w:cs="仿宋"/>
          <w:b w:val="0"/>
          <w:sz w:val="32"/>
          <w:szCs w:val="32"/>
        </w:rPr>
        <w:t>万元，执行数为</w:t>
      </w:r>
      <w:r>
        <w:rPr>
          <w:rFonts w:hint="eastAsia" w:ascii="仿宋" w:hAnsi="仿宋" w:eastAsia="仿宋" w:cs="仿宋"/>
          <w:b w:val="0"/>
          <w:sz w:val="32"/>
          <w:szCs w:val="32"/>
          <w:lang w:val="en-US" w:eastAsia="zh-CN"/>
        </w:rPr>
        <w:t>135</w:t>
      </w:r>
      <w:r>
        <w:rPr>
          <w:rFonts w:hint="eastAsia" w:ascii="仿宋" w:hAnsi="仿宋" w:eastAsia="仿宋" w:cs="仿宋"/>
          <w:b w:val="0"/>
          <w:sz w:val="32"/>
          <w:szCs w:val="32"/>
        </w:rPr>
        <w:t>万元，完成预算的</w:t>
      </w:r>
      <w:r>
        <w:rPr>
          <w:rFonts w:hint="eastAsia" w:ascii="仿宋" w:hAnsi="仿宋" w:eastAsia="仿宋" w:cs="仿宋"/>
          <w:b w:val="0"/>
          <w:sz w:val="32"/>
          <w:szCs w:val="32"/>
          <w:lang w:val="en-US" w:eastAsia="zh-CN"/>
        </w:rPr>
        <w:t>100</w:t>
      </w:r>
      <w:r>
        <w:rPr>
          <w:rFonts w:hint="eastAsia" w:ascii="仿宋" w:hAnsi="仿宋" w:eastAsia="仿宋" w:cs="仿宋"/>
          <w:b w:val="0"/>
          <w:sz w:val="32"/>
          <w:szCs w:val="32"/>
        </w:rPr>
        <w:t>%。通过</w:t>
      </w:r>
      <w:r>
        <w:rPr>
          <w:rFonts w:hint="eastAsia" w:ascii="仿宋" w:hAnsi="仿宋" w:eastAsia="仿宋" w:cs="仿宋"/>
          <w:b w:val="0"/>
          <w:sz w:val="32"/>
          <w:szCs w:val="32"/>
          <w:lang w:eastAsia="zh-CN"/>
        </w:rPr>
        <w:t>部门</w:t>
      </w:r>
      <w:r>
        <w:rPr>
          <w:rFonts w:hint="eastAsia" w:ascii="仿宋" w:hAnsi="仿宋" w:eastAsia="仿宋" w:cs="仿宋"/>
          <w:b w:val="0"/>
          <w:sz w:val="32"/>
          <w:szCs w:val="32"/>
        </w:rPr>
        <w:t>运行电费等项目经费</w:t>
      </w:r>
      <w:r>
        <w:rPr>
          <w:rFonts w:hint="eastAsia" w:ascii="仿宋" w:hAnsi="仿宋" w:eastAsia="仿宋" w:cs="仿宋"/>
          <w:b w:val="0"/>
          <w:sz w:val="32"/>
          <w:szCs w:val="32"/>
          <w:lang w:val="en-US" w:eastAsia="zh-CN"/>
        </w:rPr>
        <w:t>支出</w:t>
      </w:r>
      <w:r>
        <w:rPr>
          <w:rFonts w:hint="eastAsia" w:ascii="仿宋" w:hAnsi="仿宋" w:eastAsia="仿宋" w:cs="仿宋"/>
          <w:b w:val="0"/>
          <w:sz w:val="32"/>
          <w:szCs w:val="32"/>
        </w:rPr>
        <w:t>，顺利</w:t>
      </w:r>
      <w:bookmarkStart w:id="0" w:name="_GoBack"/>
      <w:bookmarkEnd w:id="0"/>
      <w:r>
        <w:rPr>
          <w:rFonts w:hint="eastAsia" w:ascii="仿宋" w:hAnsi="仿宋" w:eastAsia="仿宋" w:cs="仿宋"/>
          <w:b w:val="0"/>
          <w:sz w:val="32"/>
          <w:szCs w:val="32"/>
        </w:rPr>
        <w:t>完成年初设定的各项绩效目标，足额保障全院日常电力消耗、办公及办案场所供电需求，有效维持机关正常运转秩序，保障干警办公、庭审开庭、审判执行、档案保管等各项工作有序开展，为法院各项业务常态化平稳运行提供坚实基础保障。</w:t>
      </w:r>
    </w:p>
    <w:p w14:paraId="2E426836">
      <w:pPr>
        <w:widowControl/>
        <w:spacing w:before="0" w:beforeLines="0" w:beforeAutospacing="0" w:after="0" w:afterLines="0" w:afterAutospacing="0" w:line="360" w:lineRule="auto"/>
        <w:jc w:val="left"/>
        <w:rPr>
          <w:rFonts w:hint="eastAsia" w:ascii="Times New Roman" w:eastAsia="仿宋_GB2312"/>
          <w:b/>
          <w:sz w:val="32"/>
          <w:szCs w:val="32"/>
          <w:lang w:val="en-US" w:eastAsia="zh-CN"/>
        </w:rPr>
      </w:pPr>
      <w:r>
        <w:rPr>
          <w:rFonts w:hint="eastAsia" w:ascii="Times New Roman" w:eastAsia="仿宋_GB2312"/>
          <w:b/>
          <w:sz w:val="32"/>
          <w:szCs w:val="32"/>
          <w:lang w:val="en-US" w:eastAsia="zh-CN"/>
        </w:rPr>
        <w:drawing>
          <wp:inline distT="0" distB="0" distL="114300" distR="114300">
            <wp:extent cx="5687695" cy="6566535"/>
            <wp:effectExtent l="0" t="0" r="12065" b="1905"/>
            <wp:docPr id="3" name="图片 3" descr="3c0d8455-c86b-4ff8-ae30-ac0a2efa432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3c0d8455-c86b-4ff8-ae30-ac0a2efa432d"/>
                    <pic:cNvPicPr>
                      <a:picLocks noChangeAspect="1"/>
                    </pic:cNvPicPr>
                  </pic:nvPicPr>
                  <pic:blipFill>
                    <a:blip r:embed="rId20"/>
                    <a:stretch>
                      <a:fillRect/>
                    </a:stretch>
                  </pic:blipFill>
                  <pic:spPr>
                    <a:xfrm>
                      <a:off x="0" y="0"/>
                      <a:ext cx="5687695" cy="6566535"/>
                    </a:xfrm>
                    <a:prstGeom prst="rect">
                      <a:avLst/>
                    </a:prstGeom>
                  </pic:spPr>
                </pic:pic>
              </a:graphicData>
            </a:graphic>
          </wp:inline>
        </w:drawing>
      </w:r>
    </w:p>
    <w:p w14:paraId="4033C23F">
      <w:pPr>
        <w:widowControl/>
        <w:spacing w:before="0" w:beforeLines="0" w:beforeAutospacing="0" w:after="0" w:afterLines="0" w:afterAutospacing="0" w:line="360" w:lineRule="auto"/>
        <w:ind w:firstLine="640" w:firstLineChars="200"/>
        <w:jc w:val="left"/>
        <w:rPr>
          <w:rFonts w:hint="eastAsia" w:ascii="仿宋" w:hAnsi="仿宋" w:eastAsia="仿宋" w:cs="仿宋"/>
          <w:b w:val="0"/>
          <w:sz w:val="32"/>
          <w:szCs w:val="32"/>
        </w:rPr>
      </w:pPr>
      <w:r>
        <w:rPr>
          <w:rFonts w:hint="eastAsia" w:ascii="Times New Roman" w:eastAsia="仿宋_GB2312"/>
          <w:b w:val="0"/>
          <w:sz w:val="32"/>
          <w:szCs w:val="32"/>
          <w:lang w:val="en-US" w:eastAsia="zh-CN"/>
        </w:rPr>
        <w:t>3、</w:t>
      </w:r>
      <w:r>
        <w:rPr>
          <w:rFonts w:hint="eastAsia" w:ascii="仿宋" w:hAnsi="仿宋" w:eastAsia="仿宋" w:cs="仿宋"/>
          <w:b w:val="0"/>
          <w:sz w:val="32"/>
          <w:szCs w:val="32"/>
        </w:rPr>
        <w:t>党组织活动经费项目绩效自评情况：根据年初设定的绩效目标，党组织活动经费项目绩效自评得分为</w:t>
      </w:r>
      <w:r>
        <w:rPr>
          <w:rFonts w:hint="eastAsia" w:ascii="仿宋" w:hAnsi="仿宋" w:eastAsia="仿宋" w:cs="仿宋"/>
          <w:b w:val="0"/>
          <w:sz w:val="32"/>
          <w:szCs w:val="32"/>
          <w:lang w:val="en-US" w:eastAsia="zh-CN"/>
        </w:rPr>
        <w:t>100</w:t>
      </w:r>
      <w:r>
        <w:rPr>
          <w:rFonts w:hint="eastAsia" w:ascii="仿宋" w:hAnsi="仿宋" w:eastAsia="仿宋" w:cs="仿宋"/>
          <w:b w:val="0"/>
          <w:sz w:val="32"/>
          <w:szCs w:val="32"/>
        </w:rPr>
        <w:t>分（绩效自评表附后）。全年预算数为</w:t>
      </w:r>
      <w:r>
        <w:rPr>
          <w:rFonts w:hint="eastAsia" w:ascii="仿宋" w:hAnsi="仿宋" w:eastAsia="仿宋" w:cs="仿宋"/>
          <w:b w:val="0"/>
          <w:sz w:val="32"/>
          <w:szCs w:val="32"/>
          <w:lang w:val="en-US" w:eastAsia="zh-CN"/>
        </w:rPr>
        <w:t>42</w:t>
      </w:r>
      <w:r>
        <w:rPr>
          <w:rFonts w:hint="eastAsia" w:ascii="仿宋" w:hAnsi="仿宋" w:eastAsia="仿宋" w:cs="仿宋"/>
          <w:b w:val="0"/>
          <w:sz w:val="32"/>
          <w:szCs w:val="32"/>
        </w:rPr>
        <w:t>万元，执行数为</w:t>
      </w:r>
      <w:r>
        <w:rPr>
          <w:rFonts w:hint="eastAsia" w:ascii="仿宋" w:hAnsi="仿宋" w:eastAsia="仿宋" w:cs="仿宋"/>
          <w:b w:val="0"/>
          <w:sz w:val="32"/>
          <w:szCs w:val="32"/>
          <w:lang w:val="en-US" w:eastAsia="zh-CN"/>
        </w:rPr>
        <w:t>42</w:t>
      </w:r>
      <w:r>
        <w:rPr>
          <w:rFonts w:hint="eastAsia" w:ascii="仿宋" w:hAnsi="仿宋" w:eastAsia="仿宋" w:cs="仿宋"/>
          <w:b w:val="0"/>
          <w:sz w:val="32"/>
          <w:szCs w:val="32"/>
        </w:rPr>
        <w:t>万元，完成预算的</w:t>
      </w:r>
      <w:r>
        <w:rPr>
          <w:rFonts w:hint="eastAsia" w:ascii="仿宋" w:hAnsi="仿宋" w:eastAsia="仿宋" w:cs="仿宋"/>
          <w:b w:val="0"/>
          <w:sz w:val="32"/>
          <w:szCs w:val="32"/>
          <w:lang w:val="en-US" w:eastAsia="zh-CN"/>
        </w:rPr>
        <w:t>100</w:t>
      </w:r>
      <w:r>
        <w:rPr>
          <w:rFonts w:hint="eastAsia" w:ascii="仿宋" w:hAnsi="仿宋" w:eastAsia="仿宋" w:cs="仿宋"/>
          <w:b w:val="0"/>
          <w:sz w:val="32"/>
          <w:szCs w:val="32"/>
        </w:rPr>
        <w:t>%。通过党组织活动经费项目经费</w:t>
      </w:r>
      <w:r>
        <w:rPr>
          <w:rFonts w:hint="eastAsia" w:ascii="仿宋" w:hAnsi="仿宋" w:eastAsia="仿宋" w:cs="仿宋"/>
          <w:b w:val="0"/>
          <w:sz w:val="32"/>
          <w:szCs w:val="32"/>
          <w:lang w:val="en-US" w:eastAsia="zh-CN"/>
        </w:rPr>
        <w:t>支出</w:t>
      </w:r>
      <w:r>
        <w:rPr>
          <w:rFonts w:hint="eastAsia" w:ascii="仿宋" w:hAnsi="仿宋" w:eastAsia="仿宋" w:cs="仿宋"/>
          <w:b w:val="0"/>
          <w:sz w:val="32"/>
          <w:szCs w:val="32"/>
        </w:rPr>
        <w:t>，圆满完成年初既定各项绩效目标，持续抓实支部党员学习教育，不断强化党员思想淬炼，有效提升全院党员政治素养与综合业务能力，夯实党员队伍建设基础，推动党组织凝聚力、战斗力进一步增强。</w:t>
      </w:r>
    </w:p>
    <w:p w14:paraId="788D57C1">
      <w:pPr>
        <w:widowControl/>
        <w:spacing w:before="0" w:beforeLines="0" w:beforeAutospacing="0" w:after="0" w:afterLines="0" w:afterAutospacing="0" w:line="360" w:lineRule="auto"/>
        <w:jc w:val="left"/>
        <w:rPr>
          <w:rFonts w:hint="eastAsia" w:ascii="Times New Roman" w:eastAsia="仿宋_GB2312"/>
          <w:b/>
          <w:sz w:val="32"/>
          <w:szCs w:val="32"/>
          <w:lang w:eastAsia="zh-CN"/>
        </w:rPr>
      </w:pPr>
      <w:r>
        <w:rPr>
          <w:rFonts w:hint="eastAsia" w:ascii="Times New Roman" w:eastAsia="仿宋_GB2312"/>
          <w:b/>
          <w:sz w:val="32"/>
          <w:szCs w:val="32"/>
          <w:lang w:eastAsia="zh-CN"/>
        </w:rPr>
        <w:drawing>
          <wp:inline distT="0" distB="0" distL="114300" distR="114300">
            <wp:extent cx="5450205" cy="6371590"/>
            <wp:effectExtent l="0" t="0" r="5715" b="13970"/>
            <wp:docPr id="6" name="图片 6" descr="94122202-d45c-4eab-bddf-4979568eacc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94122202-d45c-4eab-bddf-4979568eacc7"/>
                    <pic:cNvPicPr>
                      <a:picLocks noChangeAspect="1"/>
                    </pic:cNvPicPr>
                  </pic:nvPicPr>
                  <pic:blipFill>
                    <a:blip r:embed="rId21"/>
                    <a:stretch>
                      <a:fillRect/>
                    </a:stretch>
                  </pic:blipFill>
                  <pic:spPr>
                    <a:xfrm>
                      <a:off x="0" y="0"/>
                      <a:ext cx="5450205" cy="6371590"/>
                    </a:xfrm>
                    <a:prstGeom prst="rect">
                      <a:avLst/>
                    </a:prstGeom>
                  </pic:spPr>
                </pic:pic>
              </a:graphicData>
            </a:graphic>
          </wp:inline>
        </w:drawing>
      </w:r>
    </w:p>
    <w:p w14:paraId="70C5442F">
      <w:pPr>
        <w:widowControl/>
        <w:spacing w:before="0" w:beforeLines="0" w:beforeAutospacing="0" w:after="0" w:afterLines="0" w:afterAutospacing="0" w:line="360" w:lineRule="auto"/>
        <w:ind w:firstLine="640" w:firstLineChars="200"/>
        <w:jc w:val="left"/>
        <w:rPr>
          <w:rFonts w:hint="eastAsia" w:ascii="仿宋" w:hAnsi="仿宋" w:eastAsia="仿宋" w:cs="仿宋"/>
          <w:b w:val="0"/>
          <w:sz w:val="32"/>
          <w:szCs w:val="32"/>
          <w:lang w:eastAsia="zh-CN"/>
        </w:rPr>
      </w:pPr>
      <w:r>
        <w:rPr>
          <w:rFonts w:hint="eastAsia" w:ascii="Times New Roman" w:eastAsia="仿宋_GB2312"/>
          <w:b w:val="0"/>
          <w:sz w:val="32"/>
          <w:szCs w:val="32"/>
          <w:lang w:val="en-US" w:eastAsia="zh-CN"/>
        </w:rPr>
        <w:t>4、</w:t>
      </w:r>
      <w:r>
        <w:rPr>
          <w:rFonts w:hint="eastAsia" w:ascii="仿宋" w:hAnsi="仿宋" w:eastAsia="仿宋" w:cs="仿宋"/>
          <w:b w:val="0"/>
          <w:sz w:val="32"/>
          <w:szCs w:val="32"/>
        </w:rPr>
        <w:t>物业管理费项目绩效自评情况：根据年初设定的绩效目标，物业管理费项目绩效自评得分为</w:t>
      </w:r>
      <w:r>
        <w:rPr>
          <w:rFonts w:hint="eastAsia" w:ascii="仿宋" w:hAnsi="仿宋" w:eastAsia="仿宋" w:cs="仿宋"/>
          <w:b w:val="0"/>
          <w:sz w:val="32"/>
          <w:szCs w:val="32"/>
          <w:lang w:val="en-US" w:eastAsia="zh-CN"/>
        </w:rPr>
        <w:t>99</w:t>
      </w:r>
      <w:r>
        <w:rPr>
          <w:rFonts w:hint="eastAsia" w:ascii="仿宋" w:hAnsi="仿宋" w:eastAsia="仿宋" w:cs="仿宋"/>
          <w:b w:val="0"/>
          <w:sz w:val="32"/>
          <w:szCs w:val="32"/>
        </w:rPr>
        <w:t>分（绩效自评表附后）。全年预算数为</w:t>
      </w:r>
      <w:r>
        <w:rPr>
          <w:rFonts w:hint="eastAsia" w:ascii="仿宋" w:hAnsi="仿宋" w:eastAsia="仿宋" w:cs="仿宋"/>
          <w:b w:val="0"/>
          <w:sz w:val="32"/>
          <w:szCs w:val="32"/>
          <w:lang w:val="en-US" w:eastAsia="zh-CN"/>
        </w:rPr>
        <w:t>155</w:t>
      </w:r>
      <w:r>
        <w:rPr>
          <w:rFonts w:hint="eastAsia" w:ascii="仿宋" w:hAnsi="仿宋" w:eastAsia="仿宋" w:cs="仿宋"/>
          <w:b w:val="0"/>
          <w:sz w:val="32"/>
          <w:szCs w:val="32"/>
        </w:rPr>
        <w:t>万元，执行数为</w:t>
      </w:r>
      <w:r>
        <w:rPr>
          <w:rFonts w:hint="eastAsia" w:ascii="仿宋" w:hAnsi="仿宋" w:eastAsia="仿宋" w:cs="仿宋"/>
          <w:b w:val="0"/>
          <w:sz w:val="32"/>
          <w:szCs w:val="32"/>
          <w:lang w:val="en-US" w:eastAsia="zh-CN"/>
        </w:rPr>
        <w:t>150.48</w:t>
      </w:r>
      <w:r>
        <w:rPr>
          <w:rFonts w:hint="eastAsia" w:ascii="仿宋" w:hAnsi="仿宋" w:eastAsia="仿宋" w:cs="仿宋"/>
          <w:b w:val="0"/>
          <w:sz w:val="32"/>
          <w:szCs w:val="32"/>
        </w:rPr>
        <w:t>万元，完成预算的</w:t>
      </w:r>
      <w:r>
        <w:rPr>
          <w:rFonts w:hint="eastAsia" w:ascii="仿宋" w:hAnsi="仿宋" w:eastAsia="仿宋" w:cs="仿宋"/>
          <w:b w:val="0"/>
          <w:sz w:val="32"/>
          <w:szCs w:val="32"/>
          <w:lang w:val="en-US" w:eastAsia="zh-CN"/>
        </w:rPr>
        <w:t>97.08</w:t>
      </w:r>
      <w:r>
        <w:rPr>
          <w:rFonts w:hint="eastAsia" w:ascii="仿宋" w:hAnsi="仿宋" w:eastAsia="仿宋" w:cs="仿宋"/>
          <w:b w:val="0"/>
          <w:sz w:val="32"/>
          <w:szCs w:val="32"/>
        </w:rPr>
        <w:t>%。通过物业管理费项目经费规范使用，持续维护机关办公场所整洁有序、安全稳定，为干警办公、庭审开展、群众来访接待营造良好工作环境，保障法院各项审判执行及日常行政工作平稳有序运转</w:t>
      </w:r>
      <w:r>
        <w:rPr>
          <w:rFonts w:hint="eastAsia" w:ascii="仿宋" w:hAnsi="仿宋" w:eastAsia="仿宋" w:cs="仿宋"/>
          <w:b w:val="0"/>
          <w:sz w:val="32"/>
          <w:szCs w:val="32"/>
          <w:lang w:eastAsia="zh-CN"/>
        </w:rPr>
        <w:t>。</w:t>
      </w:r>
    </w:p>
    <w:p w14:paraId="3BC01DE9">
      <w:pPr>
        <w:widowControl/>
        <w:spacing w:before="0" w:beforeLines="0" w:beforeAutospacing="0" w:after="0" w:afterLines="0" w:afterAutospacing="0" w:line="360" w:lineRule="auto"/>
        <w:jc w:val="left"/>
        <w:rPr>
          <w:rFonts w:hint="eastAsia" w:ascii="Times New Roman" w:eastAsia="仿宋_GB2312"/>
          <w:b/>
          <w:sz w:val="32"/>
          <w:szCs w:val="32"/>
          <w:lang w:eastAsia="zh-CN"/>
        </w:rPr>
      </w:pPr>
      <w:r>
        <w:rPr>
          <w:rFonts w:hint="eastAsia" w:ascii="Times New Roman" w:eastAsia="仿宋_GB2312"/>
          <w:b/>
          <w:sz w:val="32"/>
          <w:szCs w:val="32"/>
          <w:lang w:eastAsia="zh-CN"/>
        </w:rPr>
        <w:drawing>
          <wp:inline distT="0" distB="0" distL="114300" distR="114300">
            <wp:extent cx="5482590" cy="5753100"/>
            <wp:effectExtent l="0" t="0" r="3810" b="7620"/>
            <wp:docPr id="8" name="图片 8" descr="77b8c584-ad39-4bd3-b1c8-87d967f4b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77b8c584-ad39-4bd3-b1c8-87d967f4b652"/>
                    <pic:cNvPicPr>
                      <a:picLocks noChangeAspect="1"/>
                    </pic:cNvPicPr>
                  </pic:nvPicPr>
                  <pic:blipFill>
                    <a:blip r:embed="rId22"/>
                    <a:stretch>
                      <a:fillRect/>
                    </a:stretch>
                  </pic:blipFill>
                  <pic:spPr>
                    <a:xfrm>
                      <a:off x="0" y="0"/>
                      <a:ext cx="5482590" cy="5753100"/>
                    </a:xfrm>
                    <a:prstGeom prst="rect">
                      <a:avLst/>
                    </a:prstGeom>
                  </pic:spPr>
                </pic:pic>
              </a:graphicData>
            </a:graphic>
          </wp:inline>
        </w:drawing>
      </w:r>
    </w:p>
    <w:p w14:paraId="392F62CD">
      <w:pPr>
        <w:widowControl/>
        <w:numPr>
          <w:ilvl w:val="0"/>
          <w:numId w:val="0"/>
        </w:numPr>
        <w:spacing w:before="0" w:beforeLines="0" w:beforeAutospacing="0" w:after="0" w:afterLines="0" w:afterAutospacing="0" w:line="360" w:lineRule="auto"/>
        <w:ind w:firstLine="640" w:firstLineChars="200"/>
        <w:jc w:val="left"/>
        <w:rPr>
          <w:rFonts w:hint="eastAsia" w:ascii="仿宋" w:hAnsi="仿宋" w:eastAsia="仿宋" w:cs="仿宋"/>
          <w:b w:val="0"/>
          <w:sz w:val="32"/>
          <w:szCs w:val="32"/>
          <w:lang w:eastAsia="zh-CN"/>
        </w:rPr>
      </w:pPr>
      <w:r>
        <w:rPr>
          <w:rFonts w:hint="eastAsia" w:ascii="Times New Roman" w:eastAsia="仿宋_GB2312"/>
          <w:b w:val="0"/>
          <w:sz w:val="32"/>
          <w:szCs w:val="32"/>
          <w:lang w:val="en-US" w:eastAsia="zh-CN"/>
        </w:rPr>
        <w:t>5、</w:t>
      </w:r>
      <w:r>
        <w:rPr>
          <w:rFonts w:hint="eastAsia" w:ascii="仿宋" w:hAnsi="仿宋" w:eastAsia="仿宋" w:cs="仿宋"/>
          <w:b w:val="0"/>
          <w:sz w:val="32"/>
          <w:szCs w:val="32"/>
        </w:rPr>
        <w:t>物业管理费（保安服务费)项目绩效自评情况：根据年初设定的绩效目标，物业管理费（保安服务费)项目绩效自评得分为</w:t>
      </w:r>
      <w:r>
        <w:rPr>
          <w:rFonts w:hint="eastAsia" w:ascii="仿宋" w:hAnsi="仿宋" w:eastAsia="仿宋" w:cs="仿宋"/>
          <w:b w:val="0"/>
          <w:sz w:val="32"/>
          <w:szCs w:val="32"/>
          <w:lang w:val="en-US" w:eastAsia="zh-CN"/>
        </w:rPr>
        <w:t>100</w:t>
      </w:r>
      <w:r>
        <w:rPr>
          <w:rFonts w:hint="eastAsia" w:ascii="仿宋" w:hAnsi="仿宋" w:eastAsia="仿宋" w:cs="仿宋"/>
          <w:b w:val="0"/>
          <w:sz w:val="32"/>
          <w:szCs w:val="32"/>
        </w:rPr>
        <w:t>分（绩效自评表附后）。全年预算数为</w:t>
      </w:r>
      <w:r>
        <w:rPr>
          <w:rFonts w:hint="eastAsia" w:ascii="仿宋" w:hAnsi="仿宋" w:eastAsia="仿宋" w:cs="仿宋"/>
          <w:b w:val="0"/>
          <w:sz w:val="32"/>
          <w:szCs w:val="32"/>
          <w:lang w:val="en-US" w:eastAsia="zh-CN"/>
        </w:rPr>
        <w:t>139</w:t>
      </w:r>
      <w:r>
        <w:rPr>
          <w:rFonts w:hint="eastAsia" w:ascii="仿宋" w:hAnsi="仿宋" w:eastAsia="仿宋" w:cs="仿宋"/>
          <w:b w:val="0"/>
          <w:sz w:val="32"/>
          <w:szCs w:val="32"/>
        </w:rPr>
        <w:t>万元，执行数为</w:t>
      </w:r>
      <w:r>
        <w:rPr>
          <w:rFonts w:hint="eastAsia" w:ascii="仿宋" w:hAnsi="仿宋" w:eastAsia="仿宋" w:cs="仿宋"/>
          <w:b w:val="0"/>
          <w:sz w:val="32"/>
          <w:szCs w:val="32"/>
          <w:lang w:val="en-US" w:eastAsia="zh-CN"/>
        </w:rPr>
        <w:t>138.96</w:t>
      </w:r>
      <w:r>
        <w:rPr>
          <w:rFonts w:hint="eastAsia" w:ascii="仿宋" w:hAnsi="仿宋" w:eastAsia="仿宋" w:cs="仿宋"/>
          <w:b w:val="0"/>
          <w:sz w:val="32"/>
          <w:szCs w:val="32"/>
        </w:rPr>
        <w:t>万元，完成预算的</w:t>
      </w:r>
      <w:r>
        <w:rPr>
          <w:rFonts w:hint="eastAsia" w:ascii="仿宋" w:hAnsi="仿宋" w:eastAsia="仿宋" w:cs="仿宋"/>
          <w:b w:val="0"/>
          <w:sz w:val="32"/>
          <w:szCs w:val="32"/>
          <w:lang w:val="en-US" w:eastAsia="zh-CN"/>
        </w:rPr>
        <w:t>99.97</w:t>
      </w:r>
      <w:r>
        <w:rPr>
          <w:rFonts w:hint="eastAsia" w:ascii="仿宋" w:hAnsi="仿宋" w:eastAsia="仿宋" w:cs="仿宋"/>
          <w:b w:val="0"/>
          <w:sz w:val="32"/>
          <w:szCs w:val="32"/>
        </w:rPr>
        <w:t>%。</w:t>
      </w:r>
      <w:r>
        <w:rPr>
          <w:rFonts w:hint="eastAsia" w:ascii="仿宋" w:hAnsi="仿宋" w:eastAsia="仿宋" w:cs="仿宋"/>
          <w:b w:val="0"/>
          <w:sz w:val="32"/>
          <w:szCs w:val="32"/>
          <w:lang w:val="en-US" w:eastAsia="zh-CN"/>
        </w:rPr>
        <w:t>通过</w:t>
      </w:r>
      <w:r>
        <w:rPr>
          <w:rFonts w:hint="eastAsia" w:ascii="仿宋" w:hAnsi="仿宋" w:eastAsia="仿宋" w:cs="仿宋"/>
          <w:b w:val="0"/>
          <w:sz w:val="32"/>
          <w:szCs w:val="32"/>
        </w:rPr>
        <w:t>规范使用物业管理费（保安服务费）项目经费，强化机关办公区域安保值守、秩序维护、安防巡查等保障工作，压实安保岗位履职责任，筑牢机关安全防线。为干警日常办公、庭审活动开展、群众来访接待提供坚实安全保障，有力支撑法院审判执行、司法服务及各项行政业务平稳高效运行</w:t>
      </w:r>
      <w:r>
        <w:rPr>
          <w:rFonts w:hint="eastAsia" w:ascii="仿宋" w:hAnsi="仿宋" w:eastAsia="仿宋" w:cs="仿宋"/>
          <w:b w:val="0"/>
          <w:sz w:val="32"/>
          <w:szCs w:val="32"/>
          <w:lang w:eastAsia="zh-CN"/>
        </w:rPr>
        <w:t>。</w:t>
      </w:r>
    </w:p>
    <w:p w14:paraId="1B4FB678">
      <w:pPr>
        <w:widowControl/>
        <w:numPr>
          <w:ilvl w:val="0"/>
          <w:numId w:val="0"/>
        </w:numPr>
        <w:spacing w:before="0" w:beforeLines="0" w:beforeAutospacing="0" w:after="0" w:afterLines="0" w:afterAutospacing="0" w:line="360" w:lineRule="auto"/>
        <w:jc w:val="left"/>
        <w:rPr>
          <w:rFonts w:hint="eastAsia" w:ascii="Times New Roman" w:eastAsia="仿宋_GB2312"/>
          <w:b w:val="0"/>
          <w:sz w:val="32"/>
          <w:szCs w:val="32"/>
          <w:lang w:eastAsia="zh-CN"/>
        </w:rPr>
      </w:pPr>
      <w:r>
        <w:drawing>
          <wp:inline distT="0" distB="0" distL="114300" distR="114300">
            <wp:extent cx="5462270" cy="5236210"/>
            <wp:effectExtent l="0" t="0" r="8890" b="6350"/>
            <wp:docPr id="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pic:cNvPicPr>
                      <a:picLocks noChangeAspect="1"/>
                    </pic:cNvPicPr>
                  </pic:nvPicPr>
                  <pic:blipFill>
                    <a:blip r:embed="rId23"/>
                    <a:stretch>
                      <a:fillRect/>
                    </a:stretch>
                  </pic:blipFill>
                  <pic:spPr>
                    <a:xfrm>
                      <a:off x="0" y="0"/>
                      <a:ext cx="5462270" cy="5236210"/>
                    </a:xfrm>
                    <a:prstGeom prst="rect">
                      <a:avLst/>
                    </a:prstGeom>
                    <a:noFill/>
                    <a:ln>
                      <a:noFill/>
                    </a:ln>
                  </pic:spPr>
                </pic:pic>
              </a:graphicData>
            </a:graphic>
          </wp:inline>
        </w:drawing>
      </w:r>
    </w:p>
    <w:p w14:paraId="69A4FAC1">
      <w:pPr>
        <w:widowControl/>
        <w:spacing w:before="0" w:beforeLines="0" w:beforeAutospacing="0" w:after="0" w:afterLines="0" w:afterAutospacing="0" w:line="360" w:lineRule="auto"/>
        <w:ind w:firstLine="640" w:firstLineChars="200"/>
        <w:jc w:val="left"/>
        <w:rPr>
          <w:rFonts w:hint="eastAsia" w:ascii="仿宋" w:hAnsi="仿宋" w:eastAsia="仿宋" w:cs="仿宋"/>
          <w:b w:val="0"/>
          <w:sz w:val="32"/>
          <w:szCs w:val="32"/>
          <w:lang w:eastAsia="zh-CN"/>
        </w:rPr>
      </w:pPr>
      <w:r>
        <w:rPr>
          <w:rFonts w:hint="eastAsia" w:ascii="仿宋" w:hAnsi="仿宋" w:eastAsia="仿宋" w:cs="仿宋"/>
          <w:b w:val="0"/>
          <w:sz w:val="32"/>
          <w:szCs w:val="32"/>
          <w:lang w:val="en-US" w:eastAsia="zh-CN"/>
        </w:rPr>
        <w:t>6、</w:t>
      </w:r>
      <w:r>
        <w:rPr>
          <w:rFonts w:hint="eastAsia" w:ascii="仿宋" w:hAnsi="仿宋" w:eastAsia="仿宋" w:cs="仿宋"/>
          <w:b w:val="0"/>
          <w:sz w:val="32"/>
          <w:szCs w:val="32"/>
        </w:rPr>
        <w:t>业务培训费项目绩效自评情况：根据年初设定的绩效目标，业务培训费项目绩效自评得分为</w:t>
      </w:r>
      <w:r>
        <w:rPr>
          <w:rFonts w:hint="eastAsia" w:ascii="仿宋" w:hAnsi="仿宋" w:eastAsia="仿宋" w:cs="仿宋"/>
          <w:b w:val="0"/>
          <w:sz w:val="32"/>
          <w:szCs w:val="32"/>
          <w:lang w:val="en-US" w:eastAsia="zh-CN"/>
        </w:rPr>
        <w:t>97</w:t>
      </w:r>
      <w:r>
        <w:rPr>
          <w:rFonts w:hint="eastAsia" w:ascii="仿宋" w:hAnsi="仿宋" w:eastAsia="仿宋" w:cs="仿宋"/>
          <w:b w:val="0"/>
          <w:sz w:val="32"/>
          <w:szCs w:val="32"/>
        </w:rPr>
        <w:t>分（绩效自评表附后）。全年预算数为</w:t>
      </w:r>
      <w:r>
        <w:rPr>
          <w:rFonts w:hint="eastAsia" w:ascii="仿宋" w:hAnsi="仿宋" w:eastAsia="仿宋" w:cs="仿宋"/>
          <w:b w:val="0"/>
          <w:sz w:val="32"/>
          <w:szCs w:val="32"/>
          <w:lang w:val="en-US" w:eastAsia="zh-CN"/>
        </w:rPr>
        <w:t>139</w:t>
      </w:r>
      <w:r>
        <w:rPr>
          <w:rFonts w:hint="eastAsia" w:ascii="仿宋" w:hAnsi="仿宋" w:eastAsia="仿宋" w:cs="仿宋"/>
          <w:b w:val="0"/>
          <w:sz w:val="32"/>
          <w:szCs w:val="32"/>
        </w:rPr>
        <w:t>万元，执行数为</w:t>
      </w:r>
      <w:r>
        <w:rPr>
          <w:rFonts w:hint="eastAsia" w:ascii="仿宋" w:hAnsi="仿宋" w:eastAsia="仿宋" w:cs="仿宋"/>
          <w:b w:val="0"/>
          <w:sz w:val="32"/>
          <w:szCs w:val="32"/>
          <w:lang w:val="en-US" w:eastAsia="zh-CN"/>
        </w:rPr>
        <w:t>138.96</w:t>
      </w:r>
      <w:r>
        <w:rPr>
          <w:rFonts w:hint="eastAsia" w:ascii="仿宋" w:hAnsi="仿宋" w:eastAsia="仿宋" w:cs="仿宋"/>
          <w:b w:val="0"/>
          <w:sz w:val="32"/>
          <w:szCs w:val="32"/>
        </w:rPr>
        <w:t>万元，完成预算的</w:t>
      </w:r>
      <w:r>
        <w:rPr>
          <w:rFonts w:hint="eastAsia" w:ascii="仿宋" w:hAnsi="仿宋" w:eastAsia="仿宋" w:cs="仿宋"/>
          <w:b w:val="0"/>
          <w:sz w:val="32"/>
          <w:szCs w:val="32"/>
          <w:lang w:val="en-US" w:eastAsia="zh-CN"/>
        </w:rPr>
        <w:t>99.97</w:t>
      </w:r>
      <w:r>
        <w:rPr>
          <w:rFonts w:hint="eastAsia" w:ascii="仿宋" w:hAnsi="仿宋" w:eastAsia="仿宋" w:cs="仿宋"/>
          <w:b w:val="0"/>
          <w:sz w:val="32"/>
          <w:szCs w:val="32"/>
        </w:rPr>
        <w:t>%。</w:t>
      </w:r>
      <w:r>
        <w:rPr>
          <w:rFonts w:hint="eastAsia" w:ascii="仿宋" w:hAnsi="仿宋" w:eastAsia="仿宋" w:cs="仿宋"/>
          <w:b w:val="0"/>
          <w:sz w:val="32"/>
          <w:szCs w:val="32"/>
          <w:lang w:val="en-US" w:eastAsia="zh-CN"/>
        </w:rPr>
        <w:t>通过</w:t>
      </w:r>
      <w:r>
        <w:rPr>
          <w:rFonts w:hint="eastAsia" w:ascii="仿宋" w:hAnsi="仿宋" w:eastAsia="仿宋" w:cs="仿宋"/>
          <w:b w:val="0"/>
          <w:sz w:val="32"/>
          <w:szCs w:val="32"/>
        </w:rPr>
        <w:t>规范使用</w:t>
      </w:r>
      <w:r>
        <w:rPr>
          <w:rFonts w:hint="eastAsia" w:ascii="仿宋" w:hAnsi="仿宋" w:eastAsia="仿宋" w:cs="仿宋"/>
          <w:b w:val="0"/>
          <w:sz w:val="32"/>
          <w:szCs w:val="32"/>
          <w:lang w:val="en-US" w:eastAsia="zh-CN"/>
        </w:rPr>
        <w:t>业务培训费</w:t>
      </w:r>
      <w:r>
        <w:rPr>
          <w:rFonts w:hint="eastAsia" w:ascii="仿宋" w:hAnsi="仿宋" w:eastAsia="仿宋" w:cs="仿宋"/>
          <w:b w:val="0"/>
          <w:sz w:val="32"/>
          <w:szCs w:val="32"/>
        </w:rPr>
        <w:t>项目经费，围绕审判执行、业务实务开展干警业务培训，提升干警专业能力与履职水平，夯实业务工作基础，保障法院各项工作高效开展</w:t>
      </w:r>
      <w:r>
        <w:rPr>
          <w:rFonts w:hint="eastAsia" w:ascii="仿宋" w:hAnsi="仿宋" w:eastAsia="仿宋" w:cs="仿宋"/>
          <w:b w:val="0"/>
          <w:sz w:val="32"/>
          <w:szCs w:val="32"/>
          <w:lang w:eastAsia="zh-CN"/>
        </w:rPr>
        <w:t>。</w:t>
      </w:r>
    </w:p>
    <w:p w14:paraId="36EA155E">
      <w:pPr>
        <w:widowControl/>
        <w:numPr>
          <w:ilvl w:val="0"/>
          <w:numId w:val="0"/>
        </w:numPr>
        <w:spacing w:before="0" w:beforeLines="0" w:beforeAutospacing="0" w:after="0" w:afterLines="0" w:afterAutospacing="0" w:line="360" w:lineRule="auto"/>
        <w:jc w:val="left"/>
      </w:pPr>
      <w:r>
        <w:drawing>
          <wp:inline distT="0" distB="0" distL="114300" distR="114300">
            <wp:extent cx="5547360" cy="5584825"/>
            <wp:effectExtent l="0" t="0" r="0" b="8255"/>
            <wp:docPr id="1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
                    <pic:cNvPicPr>
                      <a:picLocks noChangeAspect="1"/>
                    </pic:cNvPicPr>
                  </pic:nvPicPr>
                  <pic:blipFill>
                    <a:blip r:embed="rId24"/>
                    <a:stretch>
                      <a:fillRect/>
                    </a:stretch>
                  </pic:blipFill>
                  <pic:spPr>
                    <a:xfrm>
                      <a:off x="0" y="0"/>
                      <a:ext cx="5547360" cy="5584825"/>
                    </a:xfrm>
                    <a:prstGeom prst="rect">
                      <a:avLst/>
                    </a:prstGeom>
                    <a:noFill/>
                    <a:ln>
                      <a:noFill/>
                    </a:ln>
                  </pic:spPr>
                </pic:pic>
              </a:graphicData>
            </a:graphic>
          </wp:inline>
        </w:drawing>
      </w:r>
    </w:p>
    <w:p w14:paraId="4AAEDBC8">
      <w:pPr>
        <w:widowControl/>
        <w:numPr>
          <w:ilvl w:val="0"/>
          <w:numId w:val="0"/>
        </w:numPr>
        <w:spacing w:before="0" w:beforeLines="0" w:beforeAutospacing="0" w:after="0" w:afterLines="0" w:afterAutospacing="0" w:line="360" w:lineRule="auto"/>
        <w:ind w:firstLine="640" w:firstLineChars="200"/>
        <w:jc w:val="left"/>
        <w:rPr>
          <w:rFonts w:hint="eastAsia" w:ascii="Times New Roman" w:eastAsia="仿宋_GB2312"/>
          <w:b w:val="0"/>
          <w:sz w:val="32"/>
          <w:szCs w:val="32"/>
          <w:lang w:eastAsia="zh-CN"/>
        </w:rPr>
      </w:pPr>
      <w:r>
        <w:rPr>
          <w:rFonts w:hint="eastAsia" w:ascii="Times New Roman" w:eastAsia="仿宋_GB2312"/>
          <w:b w:val="0"/>
          <w:sz w:val="32"/>
          <w:szCs w:val="32"/>
          <w:lang w:val="en-US" w:eastAsia="zh-CN"/>
        </w:rPr>
        <w:t>7、</w:t>
      </w:r>
      <w:r>
        <w:rPr>
          <w:rFonts w:hint="eastAsia" w:ascii="仿宋" w:hAnsi="仿宋" w:eastAsia="仿宋" w:cs="仿宋"/>
          <w:b w:val="0"/>
          <w:sz w:val="32"/>
          <w:szCs w:val="32"/>
        </w:rPr>
        <w:t>档案移送项目经费绩效自评情况：根据年初设定的绩效目标，档案移送项目经费绩效自评得分为</w:t>
      </w:r>
      <w:r>
        <w:rPr>
          <w:rFonts w:hint="eastAsia" w:ascii="仿宋" w:hAnsi="仿宋" w:eastAsia="仿宋" w:cs="仿宋"/>
          <w:b w:val="0"/>
          <w:sz w:val="32"/>
          <w:szCs w:val="32"/>
          <w:lang w:val="en-US" w:eastAsia="zh-CN"/>
        </w:rPr>
        <w:t>50</w:t>
      </w:r>
      <w:r>
        <w:rPr>
          <w:rFonts w:hint="eastAsia" w:ascii="仿宋" w:hAnsi="仿宋" w:eastAsia="仿宋" w:cs="仿宋"/>
          <w:b w:val="0"/>
          <w:sz w:val="32"/>
          <w:szCs w:val="32"/>
        </w:rPr>
        <w:t>分（绩效自评表附后）。全年预算数为</w:t>
      </w:r>
      <w:r>
        <w:rPr>
          <w:rFonts w:hint="eastAsia" w:ascii="仿宋" w:hAnsi="仿宋" w:eastAsia="仿宋" w:cs="仿宋"/>
          <w:b w:val="0"/>
          <w:sz w:val="32"/>
          <w:szCs w:val="32"/>
          <w:lang w:val="en-US" w:eastAsia="zh-CN"/>
        </w:rPr>
        <w:t>122</w:t>
      </w:r>
      <w:r>
        <w:rPr>
          <w:rFonts w:hint="eastAsia" w:ascii="仿宋" w:hAnsi="仿宋" w:eastAsia="仿宋" w:cs="仿宋"/>
          <w:b w:val="0"/>
          <w:sz w:val="32"/>
          <w:szCs w:val="32"/>
        </w:rPr>
        <w:t>万元，执行数为</w:t>
      </w:r>
      <w:r>
        <w:rPr>
          <w:rFonts w:hint="eastAsia" w:ascii="仿宋" w:hAnsi="仿宋" w:eastAsia="仿宋" w:cs="仿宋"/>
          <w:b w:val="0"/>
          <w:sz w:val="32"/>
          <w:szCs w:val="32"/>
          <w:lang w:val="en-US" w:eastAsia="zh-CN"/>
        </w:rPr>
        <w:t>0</w:t>
      </w:r>
      <w:r>
        <w:rPr>
          <w:rFonts w:hint="eastAsia" w:ascii="仿宋" w:hAnsi="仿宋" w:eastAsia="仿宋" w:cs="仿宋"/>
          <w:b w:val="0"/>
          <w:sz w:val="32"/>
          <w:szCs w:val="32"/>
        </w:rPr>
        <w:t>万元，完成预算的</w:t>
      </w:r>
      <w:r>
        <w:rPr>
          <w:rFonts w:hint="eastAsia" w:ascii="仿宋" w:hAnsi="仿宋" w:eastAsia="仿宋" w:cs="仿宋"/>
          <w:b w:val="0"/>
          <w:sz w:val="32"/>
          <w:szCs w:val="32"/>
          <w:lang w:val="en-US" w:eastAsia="zh-CN"/>
        </w:rPr>
        <w:t>0</w:t>
      </w:r>
      <w:r>
        <w:rPr>
          <w:rFonts w:hint="eastAsia" w:ascii="仿宋" w:hAnsi="仿宋" w:eastAsia="仿宋" w:cs="仿宋"/>
          <w:b w:val="0"/>
          <w:sz w:val="32"/>
          <w:szCs w:val="32"/>
        </w:rPr>
        <w:t>%。</w:t>
      </w:r>
      <w:r>
        <w:rPr>
          <w:rFonts w:hint="eastAsia" w:ascii="仿宋" w:hAnsi="仿宋" w:eastAsia="仿宋" w:cs="仿宋"/>
          <w:b w:val="0"/>
          <w:sz w:val="32"/>
          <w:szCs w:val="32"/>
          <w:lang w:val="en-US" w:eastAsia="zh-CN"/>
        </w:rPr>
        <w:t>未完成原因：因市档案馆正定新馆延期开馆，导致项目无法开展。下一步整改措施：已与市档案馆沟通，2026年实施完毕</w:t>
      </w:r>
      <w:r>
        <w:rPr>
          <w:rFonts w:hint="eastAsia" w:ascii="仿宋" w:hAnsi="仿宋" w:eastAsia="仿宋" w:cs="仿宋"/>
          <w:b w:val="0"/>
          <w:sz w:val="32"/>
          <w:szCs w:val="32"/>
          <w:lang w:eastAsia="zh-CN"/>
        </w:rPr>
        <w:t>。</w:t>
      </w:r>
    </w:p>
    <w:p w14:paraId="2B51B56D">
      <w:pPr>
        <w:widowControl/>
        <w:numPr>
          <w:ilvl w:val="0"/>
          <w:numId w:val="0"/>
        </w:numPr>
        <w:spacing w:before="0" w:beforeLines="0" w:beforeAutospacing="0" w:after="0" w:afterLines="0" w:afterAutospacing="0" w:line="360" w:lineRule="auto"/>
        <w:ind w:leftChars="200"/>
        <w:jc w:val="left"/>
      </w:pPr>
      <w:r>
        <w:drawing>
          <wp:inline distT="0" distB="0" distL="114300" distR="114300">
            <wp:extent cx="5348605" cy="5715000"/>
            <wp:effectExtent l="0" t="0" r="635" b="0"/>
            <wp:docPr id="1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
                    <pic:cNvPicPr>
                      <a:picLocks noChangeAspect="1"/>
                    </pic:cNvPicPr>
                  </pic:nvPicPr>
                  <pic:blipFill>
                    <a:blip r:embed="rId25"/>
                    <a:stretch>
                      <a:fillRect/>
                    </a:stretch>
                  </pic:blipFill>
                  <pic:spPr>
                    <a:xfrm>
                      <a:off x="0" y="0"/>
                      <a:ext cx="5348605" cy="5715000"/>
                    </a:xfrm>
                    <a:prstGeom prst="rect">
                      <a:avLst/>
                    </a:prstGeom>
                    <a:noFill/>
                    <a:ln>
                      <a:noFill/>
                    </a:ln>
                  </pic:spPr>
                </pic:pic>
              </a:graphicData>
            </a:graphic>
          </wp:inline>
        </w:drawing>
      </w:r>
    </w:p>
    <w:p w14:paraId="120AF11C">
      <w:pPr>
        <w:widowControl/>
        <w:numPr>
          <w:ilvl w:val="0"/>
          <w:numId w:val="0"/>
        </w:numPr>
        <w:spacing w:before="0" w:beforeLines="0" w:beforeAutospacing="0" w:after="0" w:afterLines="0" w:afterAutospacing="0" w:line="360" w:lineRule="auto"/>
        <w:ind w:firstLine="640" w:firstLineChars="200"/>
        <w:jc w:val="left"/>
        <w:rPr>
          <w:rFonts w:hint="eastAsia" w:ascii="仿宋" w:hAnsi="仿宋" w:eastAsia="仿宋" w:cs="仿宋"/>
          <w:b w:val="0"/>
          <w:sz w:val="32"/>
          <w:szCs w:val="32"/>
          <w:lang w:eastAsia="zh-CN"/>
        </w:rPr>
      </w:pPr>
      <w:r>
        <w:rPr>
          <w:rFonts w:hint="eastAsia" w:ascii="Times New Roman" w:eastAsia="仿宋_GB2312"/>
          <w:b w:val="0"/>
          <w:sz w:val="32"/>
          <w:szCs w:val="32"/>
          <w:lang w:val="en-US" w:eastAsia="zh-CN"/>
        </w:rPr>
        <w:t>8、</w:t>
      </w:r>
      <w:r>
        <w:rPr>
          <w:rFonts w:hint="eastAsia" w:ascii="仿宋" w:hAnsi="仿宋" w:eastAsia="仿宋" w:cs="仿宋"/>
          <w:b w:val="0"/>
          <w:sz w:val="32"/>
          <w:szCs w:val="32"/>
        </w:rPr>
        <w:t>法院建设补助资金办案业务补助经费绩效自评情况：根据年初设定的绩效目标，法院建设补助资金办案业务补助经费绩效自评得分为</w:t>
      </w:r>
      <w:r>
        <w:rPr>
          <w:rFonts w:hint="eastAsia" w:ascii="仿宋" w:hAnsi="仿宋" w:eastAsia="仿宋" w:cs="仿宋"/>
          <w:b w:val="0"/>
          <w:sz w:val="32"/>
          <w:szCs w:val="32"/>
          <w:lang w:val="en-US" w:eastAsia="zh-CN"/>
        </w:rPr>
        <w:t>100</w:t>
      </w:r>
      <w:r>
        <w:rPr>
          <w:rFonts w:hint="eastAsia" w:ascii="仿宋" w:hAnsi="仿宋" w:eastAsia="仿宋" w:cs="仿宋"/>
          <w:b w:val="0"/>
          <w:sz w:val="32"/>
          <w:szCs w:val="32"/>
        </w:rPr>
        <w:t>分（绩效自评表附后）。全年预算数为</w:t>
      </w:r>
      <w:r>
        <w:rPr>
          <w:rFonts w:hint="eastAsia" w:ascii="仿宋" w:hAnsi="仿宋" w:eastAsia="仿宋" w:cs="仿宋"/>
          <w:b w:val="0"/>
          <w:sz w:val="32"/>
          <w:szCs w:val="32"/>
          <w:lang w:val="en-US" w:eastAsia="zh-CN"/>
        </w:rPr>
        <w:t>214.43</w:t>
      </w:r>
      <w:r>
        <w:rPr>
          <w:rFonts w:hint="eastAsia" w:ascii="仿宋" w:hAnsi="仿宋" w:eastAsia="仿宋" w:cs="仿宋"/>
          <w:b w:val="0"/>
          <w:sz w:val="32"/>
          <w:szCs w:val="32"/>
        </w:rPr>
        <w:t>万元，执行数为</w:t>
      </w:r>
      <w:r>
        <w:rPr>
          <w:rFonts w:hint="eastAsia" w:ascii="仿宋" w:hAnsi="仿宋" w:eastAsia="仿宋" w:cs="仿宋"/>
          <w:b w:val="0"/>
          <w:sz w:val="32"/>
          <w:szCs w:val="32"/>
          <w:lang w:val="en-US" w:eastAsia="zh-CN"/>
        </w:rPr>
        <w:t>214.43</w:t>
      </w:r>
      <w:r>
        <w:rPr>
          <w:rFonts w:hint="eastAsia" w:ascii="仿宋" w:hAnsi="仿宋" w:eastAsia="仿宋" w:cs="仿宋"/>
          <w:b w:val="0"/>
          <w:sz w:val="32"/>
          <w:szCs w:val="32"/>
        </w:rPr>
        <w:t>万元，完成预算的</w:t>
      </w:r>
      <w:r>
        <w:rPr>
          <w:rFonts w:hint="eastAsia" w:ascii="仿宋" w:hAnsi="仿宋" w:eastAsia="仿宋" w:cs="仿宋"/>
          <w:b w:val="0"/>
          <w:sz w:val="32"/>
          <w:szCs w:val="32"/>
          <w:lang w:val="en-US" w:eastAsia="zh-CN"/>
        </w:rPr>
        <w:t>0</w:t>
      </w:r>
      <w:r>
        <w:rPr>
          <w:rFonts w:hint="eastAsia" w:ascii="仿宋" w:hAnsi="仿宋" w:eastAsia="仿宋" w:cs="仿宋"/>
          <w:b w:val="0"/>
          <w:sz w:val="32"/>
          <w:szCs w:val="32"/>
        </w:rPr>
        <w:t>%。</w:t>
      </w:r>
      <w:r>
        <w:rPr>
          <w:rFonts w:hint="eastAsia" w:ascii="仿宋" w:hAnsi="仿宋" w:eastAsia="仿宋" w:cs="仿宋"/>
          <w:b w:val="0"/>
          <w:sz w:val="32"/>
          <w:szCs w:val="32"/>
          <w:lang w:val="en-US" w:eastAsia="zh-CN"/>
        </w:rPr>
        <w:t>通过规范使用法院建设补助资金办案业务费，保障审判执行办案相关业务支出，支撑案件办理、司法实务运转，夯实办案工作保障基础，助力法院审判执行工作有序开展。</w:t>
      </w:r>
    </w:p>
    <w:p w14:paraId="00010EB9">
      <w:pPr>
        <w:widowControl/>
        <w:numPr>
          <w:ilvl w:val="0"/>
          <w:numId w:val="0"/>
        </w:numPr>
        <w:spacing w:before="0" w:beforeLines="0" w:beforeAutospacing="0" w:after="0" w:afterLines="0" w:afterAutospacing="0" w:line="360" w:lineRule="auto"/>
        <w:ind w:leftChars="200"/>
        <w:jc w:val="left"/>
        <w:rPr>
          <w:rFonts w:hint="eastAsia"/>
          <w:lang w:val="en-US" w:eastAsia="zh-CN"/>
        </w:rPr>
      </w:pPr>
      <w:r>
        <w:rPr>
          <w:rFonts w:hint="eastAsia"/>
          <w:lang w:val="en-US" w:eastAsia="zh-CN"/>
        </w:rPr>
        <w:drawing>
          <wp:inline distT="0" distB="0" distL="114300" distR="114300">
            <wp:extent cx="5512435" cy="6068695"/>
            <wp:effectExtent l="0" t="0" r="4445" b="12065"/>
            <wp:docPr id="14" name="图片 14" descr="1b65e9c9-e17c-4943-8cdb-1390aaa6d8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1b65e9c9-e17c-4943-8cdb-1390aaa6d8ee"/>
                    <pic:cNvPicPr>
                      <a:picLocks noChangeAspect="1"/>
                    </pic:cNvPicPr>
                  </pic:nvPicPr>
                  <pic:blipFill>
                    <a:blip r:embed="rId26"/>
                    <a:stretch>
                      <a:fillRect/>
                    </a:stretch>
                  </pic:blipFill>
                  <pic:spPr>
                    <a:xfrm>
                      <a:off x="0" y="0"/>
                      <a:ext cx="5512435" cy="6068695"/>
                    </a:xfrm>
                    <a:prstGeom prst="rect">
                      <a:avLst/>
                    </a:prstGeom>
                  </pic:spPr>
                </pic:pic>
              </a:graphicData>
            </a:graphic>
          </wp:inline>
        </w:drawing>
      </w:r>
    </w:p>
    <w:p w14:paraId="59DA2144">
      <w:pPr>
        <w:widowControl/>
        <w:numPr>
          <w:ilvl w:val="0"/>
          <w:numId w:val="0"/>
        </w:numPr>
        <w:spacing w:before="0" w:beforeLines="0" w:beforeAutospacing="0" w:after="0" w:afterLines="0" w:afterAutospacing="0" w:line="360" w:lineRule="auto"/>
        <w:ind w:firstLine="640" w:firstLineChars="200"/>
        <w:jc w:val="left"/>
        <w:rPr>
          <w:rFonts w:hint="eastAsia" w:ascii="仿宋" w:hAnsi="仿宋" w:eastAsia="仿宋" w:cs="仿宋"/>
          <w:b w:val="0"/>
          <w:sz w:val="32"/>
          <w:szCs w:val="32"/>
          <w:lang w:val="en-US" w:eastAsia="zh-CN"/>
        </w:rPr>
      </w:pPr>
      <w:r>
        <w:rPr>
          <w:rFonts w:hint="eastAsia" w:ascii="Times New Roman" w:eastAsia="仿宋_GB2312"/>
          <w:b w:val="0"/>
          <w:sz w:val="32"/>
          <w:szCs w:val="32"/>
          <w:lang w:val="en-US" w:eastAsia="zh-CN"/>
        </w:rPr>
        <w:t>9、</w:t>
      </w:r>
      <w:r>
        <w:rPr>
          <w:rFonts w:hint="eastAsia" w:ascii="仿宋" w:hAnsi="仿宋" w:eastAsia="仿宋" w:cs="仿宋"/>
          <w:b w:val="0"/>
          <w:sz w:val="32"/>
          <w:szCs w:val="32"/>
        </w:rPr>
        <w:t>公益性岗位人员经费</w:t>
      </w:r>
      <w:r>
        <w:rPr>
          <w:rFonts w:hint="eastAsia" w:ascii="仿宋" w:hAnsi="仿宋" w:eastAsia="仿宋" w:cs="仿宋"/>
          <w:b w:val="0"/>
          <w:sz w:val="32"/>
          <w:szCs w:val="32"/>
          <w:lang w:val="en-US" w:eastAsia="zh-CN"/>
        </w:rPr>
        <w:t>项目</w:t>
      </w:r>
      <w:r>
        <w:rPr>
          <w:rFonts w:hint="eastAsia" w:ascii="仿宋" w:hAnsi="仿宋" w:eastAsia="仿宋" w:cs="仿宋"/>
          <w:b w:val="0"/>
          <w:sz w:val="32"/>
          <w:szCs w:val="32"/>
        </w:rPr>
        <w:t>绩效自评情况：根据年初设定的绩效目标，公益性岗位人员经费</w:t>
      </w:r>
      <w:r>
        <w:rPr>
          <w:rFonts w:hint="eastAsia" w:ascii="仿宋" w:hAnsi="仿宋" w:eastAsia="仿宋" w:cs="仿宋"/>
          <w:b w:val="0"/>
          <w:sz w:val="32"/>
          <w:szCs w:val="32"/>
          <w:lang w:val="en-US" w:eastAsia="zh-CN"/>
        </w:rPr>
        <w:t>项目</w:t>
      </w:r>
      <w:r>
        <w:rPr>
          <w:rFonts w:hint="eastAsia" w:ascii="仿宋" w:hAnsi="仿宋" w:eastAsia="仿宋" w:cs="仿宋"/>
          <w:b w:val="0"/>
          <w:sz w:val="32"/>
          <w:szCs w:val="32"/>
        </w:rPr>
        <w:t>绩效自评得分为</w:t>
      </w:r>
      <w:r>
        <w:rPr>
          <w:rFonts w:hint="eastAsia" w:ascii="仿宋" w:hAnsi="仿宋" w:eastAsia="仿宋" w:cs="仿宋"/>
          <w:b w:val="0"/>
          <w:sz w:val="32"/>
          <w:szCs w:val="32"/>
          <w:lang w:val="en-US" w:eastAsia="zh-CN"/>
        </w:rPr>
        <w:t>99</w:t>
      </w:r>
      <w:r>
        <w:rPr>
          <w:rFonts w:hint="eastAsia" w:ascii="仿宋" w:hAnsi="仿宋" w:eastAsia="仿宋" w:cs="仿宋"/>
          <w:b w:val="0"/>
          <w:sz w:val="32"/>
          <w:szCs w:val="32"/>
        </w:rPr>
        <w:t>分（绩效自评表附后）。全年预算数为</w:t>
      </w:r>
      <w:r>
        <w:rPr>
          <w:rFonts w:hint="eastAsia" w:ascii="仿宋" w:hAnsi="仿宋" w:eastAsia="仿宋" w:cs="仿宋"/>
          <w:b w:val="0"/>
          <w:sz w:val="32"/>
          <w:szCs w:val="32"/>
          <w:lang w:val="en-US" w:eastAsia="zh-CN"/>
        </w:rPr>
        <w:t>8.3</w:t>
      </w:r>
      <w:r>
        <w:rPr>
          <w:rFonts w:hint="eastAsia" w:ascii="仿宋" w:hAnsi="仿宋" w:eastAsia="仿宋" w:cs="仿宋"/>
          <w:b w:val="0"/>
          <w:sz w:val="32"/>
          <w:szCs w:val="32"/>
        </w:rPr>
        <w:t>万元，执行数为</w:t>
      </w:r>
      <w:r>
        <w:rPr>
          <w:rFonts w:hint="eastAsia" w:ascii="仿宋" w:hAnsi="仿宋" w:eastAsia="仿宋" w:cs="仿宋"/>
          <w:b w:val="0"/>
          <w:sz w:val="32"/>
          <w:szCs w:val="32"/>
          <w:lang w:val="en-US" w:eastAsia="zh-CN"/>
        </w:rPr>
        <w:t>7.87</w:t>
      </w:r>
      <w:r>
        <w:rPr>
          <w:rFonts w:hint="eastAsia" w:ascii="仿宋" w:hAnsi="仿宋" w:eastAsia="仿宋" w:cs="仿宋"/>
          <w:b w:val="0"/>
          <w:sz w:val="32"/>
          <w:szCs w:val="32"/>
        </w:rPr>
        <w:t>万元，完成预算的</w:t>
      </w:r>
      <w:r>
        <w:rPr>
          <w:rFonts w:hint="eastAsia" w:ascii="仿宋" w:hAnsi="仿宋" w:eastAsia="仿宋" w:cs="仿宋"/>
          <w:b w:val="0"/>
          <w:sz w:val="32"/>
          <w:szCs w:val="32"/>
          <w:lang w:val="en-US" w:eastAsia="zh-CN"/>
        </w:rPr>
        <w:t>95</w:t>
      </w:r>
      <w:r>
        <w:rPr>
          <w:rFonts w:hint="eastAsia" w:ascii="仿宋" w:hAnsi="仿宋" w:eastAsia="仿宋" w:cs="仿宋"/>
          <w:b w:val="0"/>
          <w:sz w:val="32"/>
          <w:szCs w:val="32"/>
        </w:rPr>
        <w:t>%。</w:t>
      </w:r>
      <w:r>
        <w:rPr>
          <w:rFonts w:hint="eastAsia" w:ascii="仿宋" w:hAnsi="仿宋" w:eastAsia="仿宋" w:cs="仿宋"/>
          <w:b w:val="0"/>
          <w:sz w:val="32"/>
          <w:szCs w:val="32"/>
          <w:lang w:val="en-US" w:eastAsia="zh-CN"/>
        </w:rPr>
        <w:t>通过公益性岗位人员经费支出，保障岗位人员薪酬待遇发放，充分发挥辅助服务作用，做好机关事务辅助、后勤保障等相关工作，缓解用工缺口，助力法院各项工作平稳运转。</w:t>
      </w:r>
    </w:p>
    <w:p w14:paraId="79753D54">
      <w:pPr>
        <w:widowControl/>
        <w:tabs>
          <w:tab w:val="left" w:pos="300"/>
        </w:tabs>
        <w:spacing w:before="0" w:beforeLines="0" w:beforeAutospacing="0" w:after="0" w:afterLines="0" w:afterAutospacing="0" w:line="360" w:lineRule="auto"/>
        <w:jc w:val="left"/>
        <w:rPr>
          <w:rFonts w:hint="eastAsia" w:ascii="Times New Roman" w:eastAsia="仿宋_GB2312"/>
          <w:b/>
          <w:sz w:val="32"/>
          <w:szCs w:val="32"/>
          <w:lang w:eastAsia="zh-CN"/>
        </w:rPr>
      </w:pPr>
      <w:r>
        <w:rPr>
          <w:rFonts w:hint="eastAsia" w:ascii="Times New Roman" w:eastAsia="仿宋_GB2312"/>
          <w:b/>
          <w:sz w:val="32"/>
          <w:szCs w:val="32"/>
          <w:lang w:eastAsia="zh-CN"/>
        </w:rPr>
        <w:drawing>
          <wp:inline distT="0" distB="0" distL="114300" distR="114300">
            <wp:extent cx="5368925" cy="6191250"/>
            <wp:effectExtent l="0" t="0" r="10795" b="11430"/>
            <wp:docPr id="15" name="图片 15" descr="f66db16e-8d63-45de-af7b-5c7a2068db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f66db16e-8d63-45de-af7b-5c7a2068db94"/>
                    <pic:cNvPicPr>
                      <a:picLocks noChangeAspect="1"/>
                    </pic:cNvPicPr>
                  </pic:nvPicPr>
                  <pic:blipFill>
                    <a:blip r:embed="rId27"/>
                    <a:stretch>
                      <a:fillRect/>
                    </a:stretch>
                  </pic:blipFill>
                  <pic:spPr>
                    <a:xfrm>
                      <a:off x="0" y="0"/>
                      <a:ext cx="5368925" cy="6191250"/>
                    </a:xfrm>
                    <a:prstGeom prst="rect">
                      <a:avLst/>
                    </a:prstGeom>
                  </pic:spPr>
                </pic:pic>
              </a:graphicData>
            </a:graphic>
          </wp:inline>
        </w:drawing>
      </w:r>
      <w:r>
        <w:rPr>
          <w:rFonts w:hint="eastAsia" w:ascii="Times New Roman" w:eastAsia="仿宋_GB2312"/>
          <w:b/>
          <w:sz w:val="32"/>
          <w:szCs w:val="32"/>
          <w:lang w:eastAsia="zh-CN"/>
        </w:rPr>
        <w:tab/>
      </w:r>
    </w:p>
    <w:p w14:paraId="3062B562">
      <w:pPr>
        <w:widowControl/>
        <w:numPr>
          <w:ilvl w:val="0"/>
          <w:numId w:val="0"/>
        </w:numPr>
        <w:spacing w:before="0" w:beforeLines="0" w:beforeAutospacing="0" w:after="0" w:afterLines="0" w:afterAutospacing="0" w:line="360" w:lineRule="auto"/>
        <w:ind w:firstLine="640" w:firstLineChars="200"/>
        <w:jc w:val="left"/>
        <w:rPr>
          <w:rFonts w:hint="eastAsia" w:ascii="仿宋" w:hAnsi="仿宋" w:eastAsia="仿宋" w:cs="仿宋"/>
          <w:b w:val="0"/>
          <w:sz w:val="32"/>
          <w:szCs w:val="32"/>
          <w:lang w:val="en-US" w:eastAsia="zh-CN"/>
        </w:rPr>
      </w:pPr>
      <w:r>
        <w:rPr>
          <w:rFonts w:hint="eastAsia" w:ascii="Times New Roman" w:eastAsia="仿宋_GB2312"/>
          <w:b w:val="0"/>
          <w:sz w:val="32"/>
          <w:szCs w:val="32"/>
          <w:lang w:val="en-US" w:eastAsia="zh-CN"/>
        </w:rPr>
        <w:t>10、</w:t>
      </w:r>
      <w:r>
        <w:rPr>
          <w:rFonts w:hint="eastAsia" w:ascii="仿宋" w:hAnsi="仿宋" w:eastAsia="仿宋" w:cs="仿宋"/>
          <w:b w:val="0"/>
          <w:sz w:val="32"/>
          <w:szCs w:val="32"/>
        </w:rPr>
        <w:t>劳动聘用人员经费</w:t>
      </w:r>
      <w:r>
        <w:rPr>
          <w:rFonts w:hint="eastAsia" w:ascii="仿宋" w:hAnsi="仿宋" w:eastAsia="仿宋" w:cs="仿宋"/>
          <w:b w:val="0"/>
          <w:sz w:val="32"/>
          <w:szCs w:val="32"/>
          <w:lang w:val="en-US" w:eastAsia="zh-CN"/>
        </w:rPr>
        <w:t>项目</w:t>
      </w:r>
      <w:r>
        <w:rPr>
          <w:rFonts w:hint="eastAsia" w:ascii="仿宋" w:hAnsi="仿宋" w:eastAsia="仿宋" w:cs="仿宋"/>
          <w:b w:val="0"/>
          <w:sz w:val="32"/>
          <w:szCs w:val="32"/>
        </w:rPr>
        <w:t>绩效自评情况：根据年初设定的绩效目标，劳动聘用人员经费</w:t>
      </w:r>
      <w:r>
        <w:rPr>
          <w:rFonts w:hint="eastAsia" w:ascii="仿宋" w:hAnsi="仿宋" w:eastAsia="仿宋" w:cs="仿宋"/>
          <w:b w:val="0"/>
          <w:sz w:val="32"/>
          <w:szCs w:val="32"/>
          <w:lang w:val="en-US" w:eastAsia="zh-CN"/>
        </w:rPr>
        <w:t>项目</w:t>
      </w:r>
      <w:r>
        <w:rPr>
          <w:rFonts w:hint="eastAsia" w:ascii="仿宋" w:hAnsi="仿宋" w:eastAsia="仿宋" w:cs="仿宋"/>
          <w:b w:val="0"/>
          <w:sz w:val="32"/>
          <w:szCs w:val="32"/>
        </w:rPr>
        <w:t>绩效自评得分为</w:t>
      </w:r>
      <w:r>
        <w:rPr>
          <w:rFonts w:hint="eastAsia" w:ascii="仿宋" w:hAnsi="仿宋" w:eastAsia="仿宋" w:cs="仿宋"/>
          <w:b w:val="0"/>
          <w:sz w:val="32"/>
          <w:szCs w:val="32"/>
          <w:lang w:val="en-US" w:eastAsia="zh-CN"/>
        </w:rPr>
        <w:t>99</w:t>
      </w:r>
      <w:r>
        <w:rPr>
          <w:rFonts w:hint="eastAsia" w:ascii="仿宋" w:hAnsi="仿宋" w:eastAsia="仿宋" w:cs="仿宋"/>
          <w:b w:val="0"/>
          <w:sz w:val="32"/>
          <w:szCs w:val="32"/>
        </w:rPr>
        <w:t>分（绩效自评表附后）。全年预算数为</w:t>
      </w:r>
      <w:r>
        <w:rPr>
          <w:rFonts w:hint="eastAsia" w:ascii="仿宋" w:hAnsi="仿宋" w:eastAsia="仿宋" w:cs="仿宋"/>
          <w:b w:val="0"/>
          <w:sz w:val="32"/>
          <w:szCs w:val="32"/>
          <w:lang w:val="en-US" w:eastAsia="zh-CN"/>
        </w:rPr>
        <w:t>813.56</w:t>
      </w:r>
      <w:r>
        <w:rPr>
          <w:rFonts w:hint="eastAsia" w:ascii="仿宋" w:hAnsi="仿宋" w:eastAsia="仿宋" w:cs="仿宋"/>
          <w:b w:val="0"/>
          <w:sz w:val="32"/>
          <w:szCs w:val="32"/>
        </w:rPr>
        <w:t>万元，执行数为</w:t>
      </w:r>
      <w:r>
        <w:rPr>
          <w:rFonts w:hint="eastAsia" w:ascii="仿宋" w:hAnsi="仿宋" w:eastAsia="仿宋" w:cs="仿宋"/>
          <w:b w:val="0"/>
          <w:sz w:val="32"/>
          <w:szCs w:val="32"/>
          <w:lang w:val="en-US" w:eastAsia="zh-CN"/>
        </w:rPr>
        <w:t>748.75</w:t>
      </w:r>
      <w:r>
        <w:rPr>
          <w:rFonts w:hint="eastAsia" w:ascii="仿宋" w:hAnsi="仿宋" w:eastAsia="仿宋" w:cs="仿宋"/>
          <w:b w:val="0"/>
          <w:sz w:val="32"/>
          <w:szCs w:val="32"/>
        </w:rPr>
        <w:t>万元，完成预算的</w:t>
      </w:r>
      <w:r>
        <w:rPr>
          <w:rFonts w:hint="eastAsia" w:ascii="仿宋" w:hAnsi="仿宋" w:eastAsia="仿宋" w:cs="仿宋"/>
          <w:b w:val="0"/>
          <w:sz w:val="32"/>
          <w:szCs w:val="32"/>
          <w:lang w:val="en-US" w:eastAsia="zh-CN"/>
        </w:rPr>
        <w:t>92</w:t>
      </w:r>
      <w:r>
        <w:rPr>
          <w:rFonts w:hint="eastAsia" w:ascii="仿宋" w:hAnsi="仿宋" w:eastAsia="仿宋" w:cs="仿宋"/>
          <w:b w:val="0"/>
          <w:sz w:val="32"/>
          <w:szCs w:val="32"/>
        </w:rPr>
        <w:t>%。</w:t>
      </w:r>
      <w:r>
        <w:rPr>
          <w:rFonts w:hint="eastAsia" w:ascii="仿宋" w:hAnsi="仿宋" w:eastAsia="仿宋" w:cs="仿宋"/>
          <w:b w:val="0"/>
          <w:sz w:val="32"/>
          <w:szCs w:val="32"/>
          <w:lang w:val="en-US" w:eastAsia="zh-CN"/>
        </w:rPr>
        <w:t>通过劳动聘用人员经费支出，保障岗位人员薪酬待遇发放，充分发挥辅助服务作用，做好机关事务辅助、后勤保障等相关工作，缓解用工缺口，助力法院各项工作平稳运转。</w:t>
      </w:r>
    </w:p>
    <w:p w14:paraId="70875C4E">
      <w:pPr>
        <w:widowControl/>
        <w:numPr>
          <w:ilvl w:val="0"/>
          <w:numId w:val="0"/>
        </w:numPr>
        <w:spacing w:before="0" w:beforeLines="0" w:beforeAutospacing="0" w:after="0" w:afterLines="0" w:afterAutospacing="0" w:line="360" w:lineRule="auto"/>
        <w:jc w:val="left"/>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drawing>
          <wp:inline distT="0" distB="0" distL="114300" distR="114300">
            <wp:extent cx="5416550" cy="6477000"/>
            <wp:effectExtent l="0" t="0" r="8890" b="0"/>
            <wp:docPr id="16" name="图片 16" descr="ada79020-5e1c-4b92-ac72-4a89bac7af5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ada79020-5e1c-4b92-ac72-4a89bac7af5f"/>
                    <pic:cNvPicPr>
                      <a:picLocks noChangeAspect="1"/>
                    </pic:cNvPicPr>
                  </pic:nvPicPr>
                  <pic:blipFill>
                    <a:blip r:embed="rId28"/>
                    <a:stretch>
                      <a:fillRect/>
                    </a:stretch>
                  </pic:blipFill>
                  <pic:spPr>
                    <a:xfrm>
                      <a:off x="0" y="0"/>
                      <a:ext cx="5416550" cy="6477000"/>
                    </a:xfrm>
                    <a:prstGeom prst="rect">
                      <a:avLst/>
                    </a:prstGeom>
                  </pic:spPr>
                </pic:pic>
              </a:graphicData>
            </a:graphic>
          </wp:inline>
        </w:drawing>
      </w:r>
    </w:p>
    <w:p w14:paraId="61EF0247">
      <w:pPr>
        <w:widowControl/>
        <w:spacing w:before="0" w:beforeLines="0" w:beforeAutospacing="0" w:after="0" w:afterLines="0" w:afterAutospacing="0" w:line="360" w:lineRule="auto"/>
        <w:ind w:firstLine="640" w:firstLineChars="200"/>
        <w:jc w:val="left"/>
        <w:rPr>
          <w:rFonts w:hint="eastAsia" w:ascii="仿宋" w:hAnsi="仿宋" w:eastAsia="仿宋" w:cs="仿宋"/>
          <w:b w:val="0"/>
          <w:sz w:val="32"/>
          <w:szCs w:val="32"/>
          <w:lang w:val="en-US" w:eastAsia="zh-CN"/>
        </w:rPr>
      </w:pPr>
      <w:r>
        <w:rPr>
          <w:rFonts w:hint="eastAsia" w:ascii="仿宋" w:hAnsi="仿宋" w:eastAsia="仿宋" w:cs="仿宋"/>
          <w:b w:val="0"/>
          <w:sz w:val="32"/>
          <w:szCs w:val="32"/>
          <w:lang w:val="en-US" w:eastAsia="zh-CN"/>
        </w:rPr>
        <w:t>11、</w:t>
      </w:r>
      <w:r>
        <w:rPr>
          <w:rFonts w:hint="eastAsia" w:ascii="仿宋" w:hAnsi="仿宋" w:eastAsia="仿宋" w:cs="仿宋"/>
          <w:b w:val="0"/>
          <w:sz w:val="32"/>
          <w:szCs w:val="32"/>
        </w:rPr>
        <w:t>聘用制书记员人员经费</w:t>
      </w:r>
      <w:r>
        <w:rPr>
          <w:rFonts w:hint="eastAsia" w:ascii="仿宋" w:hAnsi="仿宋" w:eastAsia="仿宋" w:cs="仿宋"/>
          <w:b w:val="0"/>
          <w:sz w:val="32"/>
          <w:szCs w:val="32"/>
          <w:lang w:val="en-US" w:eastAsia="zh-CN"/>
        </w:rPr>
        <w:t>项目</w:t>
      </w:r>
      <w:r>
        <w:rPr>
          <w:rFonts w:hint="eastAsia" w:ascii="仿宋" w:hAnsi="仿宋" w:eastAsia="仿宋" w:cs="仿宋"/>
          <w:b w:val="0"/>
          <w:sz w:val="32"/>
          <w:szCs w:val="32"/>
        </w:rPr>
        <w:t>绩效自评情况：根据年初设定的绩效目标，聘用制书记员人员经费</w:t>
      </w:r>
      <w:r>
        <w:rPr>
          <w:rFonts w:hint="eastAsia" w:ascii="仿宋" w:hAnsi="仿宋" w:eastAsia="仿宋" w:cs="仿宋"/>
          <w:b w:val="0"/>
          <w:sz w:val="32"/>
          <w:szCs w:val="32"/>
          <w:lang w:val="en-US" w:eastAsia="zh-CN"/>
        </w:rPr>
        <w:t>项目</w:t>
      </w:r>
      <w:r>
        <w:rPr>
          <w:rFonts w:hint="eastAsia" w:ascii="仿宋" w:hAnsi="仿宋" w:eastAsia="仿宋" w:cs="仿宋"/>
          <w:b w:val="0"/>
          <w:sz w:val="32"/>
          <w:szCs w:val="32"/>
        </w:rPr>
        <w:t>绩效自评得分为</w:t>
      </w:r>
      <w:r>
        <w:rPr>
          <w:rFonts w:hint="eastAsia" w:ascii="仿宋" w:hAnsi="仿宋" w:eastAsia="仿宋" w:cs="仿宋"/>
          <w:b w:val="0"/>
          <w:sz w:val="32"/>
          <w:szCs w:val="32"/>
          <w:lang w:val="en-US" w:eastAsia="zh-CN"/>
        </w:rPr>
        <w:t>99</w:t>
      </w:r>
      <w:r>
        <w:rPr>
          <w:rFonts w:hint="eastAsia" w:ascii="仿宋" w:hAnsi="仿宋" w:eastAsia="仿宋" w:cs="仿宋"/>
          <w:b w:val="0"/>
          <w:sz w:val="32"/>
          <w:szCs w:val="32"/>
        </w:rPr>
        <w:t>分（绩效自评表附后）。全年预算数为</w:t>
      </w:r>
      <w:r>
        <w:rPr>
          <w:rFonts w:hint="eastAsia" w:ascii="仿宋" w:hAnsi="仿宋" w:eastAsia="仿宋" w:cs="仿宋"/>
          <w:b w:val="0"/>
          <w:sz w:val="32"/>
          <w:szCs w:val="32"/>
          <w:lang w:val="en-US" w:eastAsia="zh-CN"/>
        </w:rPr>
        <w:t>916.38</w:t>
      </w:r>
      <w:r>
        <w:rPr>
          <w:rFonts w:hint="eastAsia" w:ascii="仿宋" w:hAnsi="仿宋" w:eastAsia="仿宋" w:cs="仿宋"/>
          <w:b w:val="0"/>
          <w:sz w:val="32"/>
          <w:szCs w:val="32"/>
        </w:rPr>
        <w:t>万元，执行数为</w:t>
      </w:r>
      <w:r>
        <w:rPr>
          <w:rFonts w:hint="eastAsia" w:ascii="仿宋" w:hAnsi="仿宋" w:eastAsia="仿宋" w:cs="仿宋"/>
          <w:b w:val="0"/>
          <w:sz w:val="32"/>
          <w:szCs w:val="32"/>
          <w:lang w:val="en-US" w:eastAsia="zh-CN"/>
        </w:rPr>
        <w:t>893.61</w:t>
      </w:r>
      <w:r>
        <w:rPr>
          <w:rFonts w:hint="eastAsia" w:ascii="仿宋" w:hAnsi="仿宋" w:eastAsia="仿宋" w:cs="仿宋"/>
          <w:b w:val="0"/>
          <w:sz w:val="32"/>
          <w:szCs w:val="32"/>
        </w:rPr>
        <w:t>万元，完成预算的</w:t>
      </w:r>
      <w:r>
        <w:rPr>
          <w:rFonts w:hint="eastAsia" w:ascii="仿宋" w:hAnsi="仿宋" w:eastAsia="仿宋" w:cs="仿宋"/>
          <w:b w:val="0"/>
          <w:sz w:val="32"/>
          <w:szCs w:val="32"/>
          <w:lang w:val="en-US" w:eastAsia="zh-CN"/>
        </w:rPr>
        <w:t>98</w:t>
      </w:r>
      <w:r>
        <w:rPr>
          <w:rFonts w:hint="eastAsia" w:ascii="仿宋" w:hAnsi="仿宋" w:eastAsia="仿宋" w:cs="仿宋"/>
          <w:b w:val="0"/>
          <w:sz w:val="32"/>
          <w:szCs w:val="32"/>
        </w:rPr>
        <w:t>%。</w:t>
      </w:r>
      <w:r>
        <w:rPr>
          <w:rFonts w:hint="eastAsia" w:ascii="仿宋" w:hAnsi="仿宋" w:eastAsia="仿宋" w:cs="仿宋"/>
          <w:b w:val="0"/>
          <w:sz w:val="32"/>
          <w:szCs w:val="32"/>
          <w:lang w:val="en-US" w:eastAsia="zh-CN"/>
        </w:rPr>
        <w:t>通过规范聘用制书记员人员经费使用，保障书记员薪酬待遇落实，支撑案件记录、卷宗整理、司法辅助等业务工作，充实审判辅助力量，保障审判执行工作有序运转。</w:t>
      </w:r>
    </w:p>
    <w:p w14:paraId="368E030D">
      <w:pPr>
        <w:widowControl/>
        <w:numPr>
          <w:ilvl w:val="0"/>
          <w:numId w:val="0"/>
        </w:numPr>
        <w:spacing w:before="0" w:beforeLines="0" w:beforeAutospacing="0" w:after="0" w:afterLines="0" w:afterAutospacing="0" w:line="360" w:lineRule="auto"/>
        <w:jc w:val="left"/>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drawing>
          <wp:inline distT="0" distB="0" distL="114300" distR="114300">
            <wp:extent cx="5384800" cy="6514465"/>
            <wp:effectExtent l="0" t="0" r="10160" b="8255"/>
            <wp:docPr id="17" name="图片 17" descr="650a1929-5523-4524-b48e-6e849ab41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650a1929-5523-4524-b48e-6e849ab41272"/>
                    <pic:cNvPicPr>
                      <a:picLocks noChangeAspect="1"/>
                    </pic:cNvPicPr>
                  </pic:nvPicPr>
                  <pic:blipFill>
                    <a:blip r:embed="rId29"/>
                    <a:stretch>
                      <a:fillRect/>
                    </a:stretch>
                  </pic:blipFill>
                  <pic:spPr>
                    <a:xfrm>
                      <a:off x="0" y="0"/>
                      <a:ext cx="5384800" cy="6514465"/>
                    </a:xfrm>
                    <a:prstGeom prst="rect">
                      <a:avLst/>
                    </a:prstGeom>
                  </pic:spPr>
                </pic:pic>
              </a:graphicData>
            </a:graphic>
          </wp:inline>
        </w:drawing>
      </w:r>
    </w:p>
    <w:p w14:paraId="363D8150">
      <w:pPr>
        <w:widowControl/>
        <w:tabs>
          <w:tab w:val="left" w:pos="300"/>
        </w:tabs>
        <w:spacing w:before="0" w:beforeLines="0" w:beforeAutospacing="0" w:after="0" w:afterLines="0" w:afterAutospacing="0" w:line="360" w:lineRule="auto"/>
        <w:ind w:firstLine="640" w:firstLineChars="200"/>
        <w:jc w:val="left"/>
        <w:rPr>
          <w:rFonts w:hint="eastAsia" w:ascii="仿宋" w:hAnsi="仿宋" w:eastAsia="仿宋" w:cs="仿宋"/>
          <w:b w:val="0"/>
          <w:sz w:val="32"/>
          <w:szCs w:val="32"/>
          <w:lang w:eastAsia="zh-CN"/>
        </w:rPr>
      </w:pPr>
      <w:r>
        <w:rPr>
          <w:rFonts w:hint="eastAsia" w:ascii="Times New Roman" w:eastAsia="仿宋_GB2312"/>
          <w:b w:val="0"/>
          <w:sz w:val="32"/>
          <w:szCs w:val="32"/>
          <w:lang w:val="en-US" w:eastAsia="zh-CN"/>
        </w:rPr>
        <w:t>12、</w:t>
      </w:r>
      <w:r>
        <w:rPr>
          <w:rFonts w:hint="eastAsia" w:ascii="仿宋" w:hAnsi="仿宋" w:eastAsia="仿宋" w:cs="仿宋"/>
          <w:b w:val="0"/>
          <w:sz w:val="32"/>
          <w:szCs w:val="32"/>
        </w:rPr>
        <w:t>破产专项基金经费</w:t>
      </w:r>
      <w:r>
        <w:rPr>
          <w:rFonts w:hint="eastAsia" w:ascii="仿宋" w:hAnsi="仿宋" w:eastAsia="仿宋" w:cs="仿宋"/>
          <w:b w:val="0"/>
          <w:sz w:val="32"/>
          <w:szCs w:val="32"/>
          <w:lang w:val="en-US" w:eastAsia="zh-CN"/>
        </w:rPr>
        <w:t>项目</w:t>
      </w:r>
      <w:r>
        <w:rPr>
          <w:rFonts w:hint="eastAsia" w:ascii="仿宋" w:hAnsi="仿宋" w:eastAsia="仿宋" w:cs="仿宋"/>
          <w:b w:val="0"/>
          <w:sz w:val="32"/>
          <w:szCs w:val="32"/>
        </w:rPr>
        <w:t>绩效自评情况：根据年初设定的绩效目标，破产专项基金经费</w:t>
      </w:r>
      <w:r>
        <w:rPr>
          <w:rFonts w:hint="eastAsia" w:ascii="仿宋" w:hAnsi="仿宋" w:eastAsia="仿宋" w:cs="仿宋"/>
          <w:b w:val="0"/>
          <w:sz w:val="32"/>
          <w:szCs w:val="32"/>
          <w:lang w:val="en-US" w:eastAsia="zh-CN"/>
        </w:rPr>
        <w:t>项目</w:t>
      </w:r>
      <w:r>
        <w:rPr>
          <w:rFonts w:hint="eastAsia" w:ascii="仿宋" w:hAnsi="仿宋" w:eastAsia="仿宋" w:cs="仿宋"/>
          <w:b w:val="0"/>
          <w:sz w:val="32"/>
          <w:szCs w:val="32"/>
        </w:rPr>
        <w:t>绩效自评得分为</w:t>
      </w:r>
      <w:r>
        <w:rPr>
          <w:rFonts w:hint="eastAsia" w:ascii="仿宋" w:hAnsi="仿宋" w:eastAsia="仿宋" w:cs="仿宋"/>
          <w:b w:val="0"/>
          <w:sz w:val="32"/>
          <w:szCs w:val="32"/>
          <w:lang w:val="en-US" w:eastAsia="zh-CN"/>
        </w:rPr>
        <w:t>100</w:t>
      </w:r>
      <w:r>
        <w:rPr>
          <w:rFonts w:hint="eastAsia" w:ascii="仿宋" w:hAnsi="仿宋" w:eastAsia="仿宋" w:cs="仿宋"/>
          <w:b w:val="0"/>
          <w:sz w:val="32"/>
          <w:szCs w:val="32"/>
        </w:rPr>
        <w:t>分（绩效自评表附后）。全年预算数为</w:t>
      </w:r>
      <w:r>
        <w:rPr>
          <w:rFonts w:hint="eastAsia" w:ascii="仿宋" w:hAnsi="仿宋" w:eastAsia="仿宋" w:cs="仿宋"/>
          <w:b w:val="0"/>
          <w:sz w:val="32"/>
          <w:szCs w:val="32"/>
          <w:lang w:val="en-US" w:eastAsia="zh-CN"/>
        </w:rPr>
        <w:t>4</w:t>
      </w:r>
      <w:r>
        <w:rPr>
          <w:rFonts w:hint="eastAsia" w:ascii="仿宋" w:hAnsi="仿宋" w:eastAsia="仿宋" w:cs="仿宋"/>
          <w:b w:val="0"/>
          <w:sz w:val="32"/>
          <w:szCs w:val="32"/>
        </w:rPr>
        <w:t>万元，执行数为</w:t>
      </w:r>
      <w:r>
        <w:rPr>
          <w:rFonts w:hint="eastAsia" w:ascii="仿宋" w:hAnsi="仿宋" w:eastAsia="仿宋" w:cs="仿宋"/>
          <w:b w:val="0"/>
          <w:sz w:val="32"/>
          <w:szCs w:val="32"/>
          <w:lang w:val="en-US" w:eastAsia="zh-CN"/>
        </w:rPr>
        <w:t>4</w:t>
      </w:r>
      <w:r>
        <w:rPr>
          <w:rFonts w:hint="eastAsia" w:ascii="仿宋" w:hAnsi="仿宋" w:eastAsia="仿宋" w:cs="仿宋"/>
          <w:b w:val="0"/>
          <w:sz w:val="32"/>
          <w:szCs w:val="32"/>
        </w:rPr>
        <w:t>万元，完成预算的</w:t>
      </w:r>
      <w:r>
        <w:rPr>
          <w:rFonts w:hint="eastAsia" w:ascii="仿宋" w:hAnsi="仿宋" w:eastAsia="仿宋" w:cs="仿宋"/>
          <w:b w:val="0"/>
          <w:sz w:val="32"/>
          <w:szCs w:val="32"/>
          <w:lang w:val="en-US" w:eastAsia="zh-CN"/>
        </w:rPr>
        <w:t>100</w:t>
      </w:r>
      <w:r>
        <w:rPr>
          <w:rFonts w:hint="eastAsia" w:ascii="仿宋" w:hAnsi="仿宋" w:eastAsia="仿宋" w:cs="仿宋"/>
          <w:b w:val="0"/>
          <w:sz w:val="32"/>
          <w:szCs w:val="32"/>
        </w:rPr>
        <w:t>%。</w:t>
      </w:r>
      <w:r>
        <w:rPr>
          <w:rFonts w:hint="eastAsia" w:ascii="仿宋" w:hAnsi="仿宋" w:eastAsia="仿宋" w:cs="仿宋"/>
          <w:b w:val="0"/>
          <w:sz w:val="32"/>
          <w:szCs w:val="32"/>
          <w:lang w:val="en-US" w:eastAsia="zh-CN"/>
        </w:rPr>
        <w:t>通过规范破产专项基金使用，保障无产可破破产案件管理人报酬及相关办案支出，推动破产案件有序审理，助力市场主体依法退出，服务优化营商环境。</w:t>
      </w:r>
    </w:p>
    <w:p w14:paraId="1A8A0082">
      <w:pPr>
        <w:widowControl/>
        <w:tabs>
          <w:tab w:val="left" w:pos="300"/>
        </w:tabs>
        <w:spacing w:before="0" w:beforeLines="0" w:beforeAutospacing="0" w:after="0" w:afterLines="0" w:afterAutospacing="0" w:line="360" w:lineRule="auto"/>
        <w:jc w:val="left"/>
        <w:rPr>
          <w:rFonts w:hint="eastAsia" w:ascii="Times New Roman" w:eastAsia="仿宋_GB2312"/>
          <w:b/>
          <w:sz w:val="32"/>
          <w:szCs w:val="32"/>
          <w:lang w:eastAsia="zh-CN"/>
        </w:rPr>
      </w:pPr>
      <w:r>
        <w:rPr>
          <w:rFonts w:hint="eastAsia" w:ascii="Times New Roman" w:eastAsia="仿宋_GB2312"/>
          <w:b/>
          <w:sz w:val="32"/>
          <w:szCs w:val="32"/>
          <w:lang w:eastAsia="zh-CN"/>
        </w:rPr>
        <w:drawing>
          <wp:inline distT="0" distB="0" distL="114300" distR="114300">
            <wp:extent cx="5450205" cy="6139180"/>
            <wp:effectExtent l="0" t="0" r="5715" b="2540"/>
            <wp:docPr id="18" name="图片 18" descr="9ce3fe11-0293-42ab-a670-114e047fc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9ce3fe11-0293-42ab-a670-114e047fc372"/>
                    <pic:cNvPicPr>
                      <a:picLocks noChangeAspect="1"/>
                    </pic:cNvPicPr>
                  </pic:nvPicPr>
                  <pic:blipFill>
                    <a:blip r:embed="rId30"/>
                    <a:stretch>
                      <a:fillRect/>
                    </a:stretch>
                  </pic:blipFill>
                  <pic:spPr>
                    <a:xfrm>
                      <a:off x="0" y="0"/>
                      <a:ext cx="5450205" cy="6139180"/>
                    </a:xfrm>
                    <a:prstGeom prst="rect">
                      <a:avLst/>
                    </a:prstGeom>
                  </pic:spPr>
                </pic:pic>
              </a:graphicData>
            </a:graphic>
          </wp:inline>
        </w:drawing>
      </w:r>
    </w:p>
    <w:p w14:paraId="6CF8A842">
      <w:pPr>
        <w:widowControl/>
        <w:tabs>
          <w:tab w:val="left" w:pos="300"/>
        </w:tabs>
        <w:spacing w:before="0" w:beforeLines="0" w:beforeAutospacing="0" w:after="0" w:afterLines="0" w:afterAutospacing="0" w:line="360" w:lineRule="auto"/>
        <w:ind w:firstLine="640" w:firstLineChars="200"/>
        <w:jc w:val="left"/>
        <w:rPr>
          <w:rFonts w:hint="eastAsia" w:ascii="仿宋" w:hAnsi="仿宋" w:eastAsia="仿宋" w:cs="仿宋"/>
          <w:b w:val="0"/>
          <w:sz w:val="32"/>
          <w:szCs w:val="32"/>
          <w:lang w:eastAsia="zh-CN"/>
        </w:rPr>
      </w:pPr>
      <w:r>
        <w:rPr>
          <w:rFonts w:hint="eastAsia" w:ascii="Times New Roman" w:eastAsia="仿宋_GB2312"/>
          <w:b w:val="0"/>
          <w:sz w:val="32"/>
          <w:szCs w:val="32"/>
          <w:lang w:val="en-US" w:eastAsia="zh-CN"/>
        </w:rPr>
        <w:t>13、</w:t>
      </w:r>
      <w:r>
        <w:rPr>
          <w:rFonts w:hint="eastAsia" w:ascii="仿宋" w:hAnsi="仿宋" w:eastAsia="仿宋" w:cs="仿宋"/>
          <w:b w:val="0"/>
          <w:sz w:val="32"/>
          <w:szCs w:val="32"/>
        </w:rPr>
        <w:t>人民陪审经费</w:t>
      </w:r>
      <w:r>
        <w:rPr>
          <w:rFonts w:hint="eastAsia" w:ascii="仿宋" w:hAnsi="仿宋" w:eastAsia="仿宋" w:cs="仿宋"/>
          <w:b w:val="0"/>
          <w:sz w:val="32"/>
          <w:szCs w:val="32"/>
          <w:lang w:val="en-US" w:eastAsia="zh-CN"/>
        </w:rPr>
        <w:t>项目</w:t>
      </w:r>
      <w:r>
        <w:rPr>
          <w:rFonts w:hint="eastAsia" w:ascii="仿宋" w:hAnsi="仿宋" w:eastAsia="仿宋" w:cs="仿宋"/>
          <w:b w:val="0"/>
          <w:sz w:val="32"/>
          <w:szCs w:val="32"/>
        </w:rPr>
        <w:t>绩效自评情况：根据年初设定的绩效目标，人民陪审经费</w:t>
      </w:r>
      <w:r>
        <w:rPr>
          <w:rFonts w:hint="eastAsia" w:ascii="仿宋" w:hAnsi="仿宋" w:eastAsia="仿宋" w:cs="仿宋"/>
          <w:b w:val="0"/>
          <w:sz w:val="32"/>
          <w:szCs w:val="32"/>
          <w:lang w:val="en-US" w:eastAsia="zh-CN"/>
        </w:rPr>
        <w:t>项目</w:t>
      </w:r>
      <w:r>
        <w:rPr>
          <w:rFonts w:hint="eastAsia" w:ascii="仿宋" w:hAnsi="仿宋" w:eastAsia="仿宋" w:cs="仿宋"/>
          <w:b w:val="0"/>
          <w:sz w:val="32"/>
          <w:szCs w:val="32"/>
        </w:rPr>
        <w:t>绩效自评得分为</w:t>
      </w:r>
      <w:r>
        <w:rPr>
          <w:rFonts w:hint="eastAsia" w:ascii="仿宋" w:hAnsi="仿宋" w:eastAsia="仿宋" w:cs="仿宋"/>
          <w:b w:val="0"/>
          <w:sz w:val="32"/>
          <w:szCs w:val="32"/>
          <w:lang w:val="en-US" w:eastAsia="zh-CN"/>
        </w:rPr>
        <w:t>100</w:t>
      </w:r>
      <w:r>
        <w:rPr>
          <w:rFonts w:hint="eastAsia" w:ascii="仿宋" w:hAnsi="仿宋" w:eastAsia="仿宋" w:cs="仿宋"/>
          <w:b w:val="0"/>
          <w:sz w:val="32"/>
          <w:szCs w:val="32"/>
        </w:rPr>
        <w:t>分（绩效自评表附后）。全年预算数为</w:t>
      </w:r>
      <w:r>
        <w:rPr>
          <w:rFonts w:hint="eastAsia" w:ascii="仿宋" w:hAnsi="仿宋" w:eastAsia="仿宋" w:cs="仿宋"/>
          <w:b w:val="0"/>
          <w:sz w:val="32"/>
          <w:szCs w:val="32"/>
          <w:lang w:val="en-US" w:eastAsia="zh-CN"/>
        </w:rPr>
        <w:t>14</w:t>
      </w:r>
      <w:r>
        <w:rPr>
          <w:rFonts w:hint="eastAsia" w:ascii="仿宋" w:hAnsi="仿宋" w:eastAsia="仿宋" w:cs="仿宋"/>
          <w:b w:val="0"/>
          <w:sz w:val="32"/>
          <w:szCs w:val="32"/>
        </w:rPr>
        <w:t>万元，执行数为</w:t>
      </w:r>
      <w:r>
        <w:rPr>
          <w:rFonts w:hint="eastAsia" w:ascii="仿宋" w:hAnsi="仿宋" w:eastAsia="仿宋" w:cs="仿宋"/>
          <w:b w:val="0"/>
          <w:sz w:val="32"/>
          <w:szCs w:val="32"/>
          <w:lang w:val="en-US" w:eastAsia="zh-CN"/>
        </w:rPr>
        <w:t>14</w:t>
      </w:r>
      <w:r>
        <w:rPr>
          <w:rFonts w:hint="eastAsia" w:ascii="仿宋" w:hAnsi="仿宋" w:eastAsia="仿宋" w:cs="仿宋"/>
          <w:b w:val="0"/>
          <w:sz w:val="32"/>
          <w:szCs w:val="32"/>
        </w:rPr>
        <w:t>万元，完成预算的</w:t>
      </w:r>
      <w:r>
        <w:rPr>
          <w:rFonts w:hint="eastAsia" w:ascii="仿宋" w:hAnsi="仿宋" w:eastAsia="仿宋" w:cs="仿宋"/>
          <w:b w:val="0"/>
          <w:sz w:val="32"/>
          <w:szCs w:val="32"/>
          <w:lang w:val="en-US" w:eastAsia="zh-CN"/>
        </w:rPr>
        <w:t>100</w:t>
      </w:r>
      <w:r>
        <w:rPr>
          <w:rFonts w:hint="eastAsia" w:ascii="仿宋" w:hAnsi="仿宋" w:eastAsia="仿宋" w:cs="仿宋"/>
          <w:b w:val="0"/>
          <w:sz w:val="32"/>
          <w:szCs w:val="32"/>
        </w:rPr>
        <w:t>%。</w:t>
      </w:r>
      <w:r>
        <w:rPr>
          <w:rFonts w:hint="eastAsia" w:ascii="仿宋" w:hAnsi="仿宋" w:eastAsia="仿宋" w:cs="仿宋"/>
          <w:b w:val="0"/>
          <w:sz w:val="32"/>
          <w:szCs w:val="32"/>
          <w:lang w:val="en-US" w:eastAsia="zh-CN"/>
        </w:rPr>
        <w:t>通过规范人民陪审员经费管理使用，足额保障人民陪审员参审补助、误工补贴及相关履职开支，充分保障人民陪审员依法履职、参与案件审理工作，夯实司法民主建设基础，助力司法公正高效推进。</w:t>
      </w:r>
    </w:p>
    <w:p w14:paraId="1533DB37">
      <w:pPr>
        <w:widowControl/>
        <w:tabs>
          <w:tab w:val="left" w:pos="300"/>
        </w:tabs>
        <w:spacing w:before="0" w:beforeLines="0" w:beforeAutospacing="0" w:after="0" w:afterLines="0" w:afterAutospacing="0" w:line="360" w:lineRule="auto"/>
        <w:jc w:val="left"/>
        <w:rPr>
          <w:rFonts w:hint="eastAsia" w:ascii="Times New Roman" w:eastAsia="仿宋_GB2312"/>
          <w:b/>
          <w:sz w:val="32"/>
          <w:szCs w:val="32"/>
          <w:lang w:eastAsia="zh-CN"/>
        </w:rPr>
      </w:pPr>
      <w:r>
        <w:drawing>
          <wp:inline distT="0" distB="0" distL="114300" distR="114300">
            <wp:extent cx="5617210" cy="5769610"/>
            <wp:effectExtent l="0" t="0" r="6350" b="6350"/>
            <wp:docPr id="2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4"/>
                    <pic:cNvPicPr>
                      <a:picLocks noChangeAspect="1"/>
                    </pic:cNvPicPr>
                  </pic:nvPicPr>
                  <pic:blipFill>
                    <a:blip r:embed="rId31"/>
                    <a:stretch>
                      <a:fillRect/>
                    </a:stretch>
                  </pic:blipFill>
                  <pic:spPr>
                    <a:xfrm>
                      <a:off x="0" y="0"/>
                      <a:ext cx="5617210" cy="5769610"/>
                    </a:xfrm>
                    <a:prstGeom prst="rect">
                      <a:avLst/>
                    </a:prstGeom>
                    <a:noFill/>
                    <a:ln>
                      <a:noFill/>
                    </a:ln>
                  </pic:spPr>
                </pic:pic>
              </a:graphicData>
            </a:graphic>
          </wp:inline>
        </w:drawing>
      </w:r>
    </w:p>
    <w:p w14:paraId="172E22F0">
      <w:pPr>
        <w:widowControl/>
        <w:tabs>
          <w:tab w:val="left" w:pos="300"/>
        </w:tabs>
        <w:spacing w:before="0" w:beforeLines="0" w:beforeAutospacing="0" w:after="0" w:afterLines="0" w:afterAutospacing="0" w:line="360" w:lineRule="auto"/>
        <w:ind w:firstLine="640" w:firstLineChars="200"/>
        <w:jc w:val="left"/>
        <w:rPr>
          <w:rFonts w:hint="eastAsia" w:ascii="仿宋" w:hAnsi="仿宋" w:eastAsia="仿宋" w:cs="仿宋"/>
          <w:b w:val="0"/>
          <w:sz w:val="32"/>
          <w:szCs w:val="32"/>
          <w:lang w:eastAsia="zh-CN"/>
        </w:rPr>
      </w:pPr>
      <w:r>
        <w:rPr>
          <w:rFonts w:hint="eastAsia" w:ascii="Times New Roman" w:eastAsia="仿宋_GB2312"/>
          <w:b w:val="0"/>
          <w:sz w:val="32"/>
          <w:szCs w:val="32"/>
          <w:lang w:val="en-US" w:eastAsia="zh-CN"/>
        </w:rPr>
        <w:t>14、</w:t>
      </w:r>
      <w:r>
        <w:rPr>
          <w:rFonts w:hint="eastAsia" w:ascii="仿宋" w:hAnsi="仿宋" w:eastAsia="仿宋" w:cs="仿宋"/>
          <w:b w:val="0"/>
          <w:sz w:val="32"/>
          <w:szCs w:val="32"/>
        </w:rPr>
        <w:t>审判辅助事务性工作社会化服务经费绩效自评情况：根据年初设定的绩效目标，审判辅助事务性工作社会化服务经费</w:t>
      </w:r>
      <w:r>
        <w:rPr>
          <w:rFonts w:hint="eastAsia" w:ascii="仿宋" w:hAnsi="仿宋" w:eastAsia="仿宋" w:cs="仿宋"/>
          <w:b w:val="0"/>
          <w:sz w:val="32"/>
          <w:szCs w:val="32"/>
          <w:lang w:val="en-US" w:eastAsia="zh-CN"/>
        </w:rPr>
        <w:t>项目</w:t>
      </w:r>
      <w:r>
        <w:rPr>
          <w:rFonts w:hint="eastAsia" w:ascii="仿宋" w:hAnsi="仿宋" w:eastAsia="仿宋" w:cs="仿宋"/>
          <w:b w:val="0"/>
          <w:sz w:val="32"/>
          <w:szCs w:val="32"/>
        </w:rPr>
        <w:t>绩效自评得分为</w:t>
      </w:r>
      <w:r>
        <w:rPr>
          <w:rFonts w:hint="eastAsia" w:ascii="仿宋" w:hAnsi="仿宋" w:eastAsia="仿宋" w:cs="仿宋"/>
          <w:b w:val="0"/>
          <w:sz w:val="32"/>
          <w:szCs w:val="32"/>
          <w:lang w:val="en-US" w:eastAsia="zh-CN"/>
        </w:rPr>
        <w:t>100</w:t>
      </w:r>
      <w:r>
        <w:rPr>
          <w:rFonts w:hint="eastAsia" w:ascii="仿宋" w:hAnsi="仿宋" w:eastAsia="仿宋" w:cs="仿宋"/>
          <w:b w:val="0"/>
          <w:sz w:val="32"/>
          <w:szCs w:val="32"/>
        </w:rPr>
        <w:t>分（绩效自评表附后）。全年预算数为</w:t>
      </w:r>
      <w:r>
        <w:rPr>
          <w:rFonts w:hint="eastAsia" w:ascii="仿宋" w:hAnsi="仿宋" w:eastAsia="仿宋" w:cs="仿宋"/>
          <w:b w:val="0"/>
          <w:sz w:val="32"/>
          <w:szCs w:val="32"/>
          <w:lang w:val="en-US" w:eastAsia="zh-CN"/>
        </w:rPr>
        <w:t>320</w:t>
      </w:r>
      <w:r>
        <w:rPr>
          <w:rFonts w:hint="eastAsia" w:ascii="仿宋" w:hAnsi="仿宋" w:eastAsia="仿宋" w:cs="仿宋"/>
          <w:b w:val="0"/>
          <w:sz w:val="32"/>
          <w:szCs w:val="32"/>
        </w:rPr>
        <w:t>万元，执行数为</w:t>
      </w:r>
      <w:r>
        <w:rPr>
          <w:rFonts w:hint="eastAsia" w:ascii="仿宋" w:hAnsi="仿宋" w:eastAsia="仿宋" w:cs="仿宋"/>
          <w:b w:val="0"/>
          <w:sz w:val="32"/>
          <w:szCs w:val="32"/>
          <w:lang w:val="en-US" w:eastAsia="zh-CN"/>
        </w:rPr>
        <w:t>318.89</w:t>
      </w:r>
      <w:r>
        <w:rPr>
          <w:rFonts w:hint="eastAsia" w:ascii="仿宋" w:hAnsi="仿宋" w:eastAsia="仿宋" w:cs="仿宋"/>
          <w:b w:val="0"/>
          <w:sz w:val="32"/>
          <w:szCs w:val="32"/>
        </w:rPr>
        <w:t>万元，完成预算的</w:t>
      </w:r>
      <w:r>
        <w:rPr>
          <w:rFonts w:hint="eastAsia" w:ascii="仿宋" w:hAnsi="仿宋" w:eastAsia="仿宋" w:cs="仿宋"/>
          <w:b w:val="0"/>
          <w:sz w:val="32"/>
          <w:szCs w:val="32"/>
          <w:lang w:val="en-US" w:eastAsia="zh-CN"/>
        </w:rPr>
        <w:t>99.65</w:t>
      </w:r>
      <w:r>
        <w:rPr>
          <w:rFonts w:hint="eastAsia" w:ascii="仿宋" w:hAnsi="仿宋" w:eastAsia="仿宋" w:cs="仿宋"/>
          <w:b w:val="0"/>
          <w:sz w:val="32"/>
          <w:szCs w:val="32"/>
        </w:rPr>
        <w:t>%。</w:t>
      </w:r>
      <w:r>
        <w:rPr>
          <w:rFonts w:hint="eastAsia" w:ascii="仿宋" w:hAnsi="仿宋" w:eastAsia="仿宋" w:cs="仿宋"/>
          <w:b w:val="0"/>
          <w:sz w:val="32"/>
          <w:szCs w:val="32"/>
          <w:lang w:val="en-US" w:eastAsia="zh-CN"/>
        </w:rPr>
        <w:t>通过规范审判辅助事务性工作社会化服务经费使用，保障文书扫描、卷宗归档、数据录入、流程辅助等外包服务开支，有效分流非核心审判事务，提升审判辅助工作质效，保障审判执行工作高效有序运转。</w:t>
      </w:r>
    </w:p>
    <w:p w14:paraId="61C21B33">
      <w:pPr>
        <w:widowControl/>
        <w:tabs>
          <w:tab w:val="left" w:pos="300"/>
        </w:tabs>
        <w:spacing w:before="0" w:beforeLines="0" w:beforeAutospacing="0" w:after="0" w:afterLines="0" w:afterAutospacing="0" w:line="360" w:lineRule="auto"/>
        <w:jc w:val="left"/>
        <w:rPr>
          <w:rFonts w:hint="eastAsia" w:ascii="Times New Roman" w:eastAsia="仿宋_GB2312"/>
          <w:b/>
          <w:sz w:val="32"/>
          <w:szCs w:val="32"/>
          <w:lang w:eastAsia="zh-CN"/>
        </w:rPr>
      </w:pPr>
      <w:r>
        <w:drawing>
          <wp:inline distT="0" distB="0" distL="114300" distR="114300">
            <wp:extent cx="5557520" cy="5586095"/>
            <wp:effectExtent l="0" t="0" r="5080" b="6985"/>
            <wp:docPr id="2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5"/>
                    <pic:cNvPicPr>
                      <a:picLocks noChangeAspect="1"/>
                    </pic:cNvPicPr>
                  </pic:nvPicPr>
                  <pic:blipFill>
                    <a:blip r:embed="rId32"/>
                    <a:stretch>
                      <a:fillRect/>
                    </a:stretch>
                  </pic:blipFill>
                  <pic:spPr>
                    <a:xfrm>
                      <a:off x="0" y="0"/>
                      <a:ext cx="5557520" cy="5586095"/>
                    </a:xfrm>
                    <a:prstGeom prst="rect">
                      <a:avLst/>
                    </a:prstGeom>
                    <a:noFill/>
                    <a:ln>
                      <a:noFill/>
                    </a:ln>
                  </pic:spPr>
                </pic:pic>
              </a:graphicData>
            </a:graphic>
          </wp:inline>
        </w:drawing>
      </w:r>
    </w:p>
    <w:p w14:paraId="689B5BEE">
      <w:pPr>
        <w:widowControl/>
        <w:tabs>
          <w:tab w:val="left" w:pos="300"/>
        </w:tabs>
        <w:spacing w:before="0" w:beforeLines="0" w:beforeAutospacing="0" w:after="0" w:afterLines="0" w:afterAutospacing="0" w:line="360" w:lineRule="auto"/>
        <w:ind w:firstLine="640" w:firstLineChars="200"/>
        <w:jc w:val="left"/>
        <w:rPr>
          <w:rFonts w:hint="eastAsia" w:ascii="仿宋" w:hAnsi="仿宋" w:eastAsia="仿宋" w:cs="仿宋"/>
          <w:b w:val="0"/>
          <w:sz w:val="32"/>
          <w:szCs w:val="32"/>
          <w:lang w:eastAsia="zh-CN"/>
        </w:rPr>
      </w:pPr>
      <w:r>
        <w:rPr>
          <w:rFonts w:hint="eastAsia" w:ascii="Times New Roman" w:eastAsia="仿宋_GB2312"/>
          <w:b w:val="0"/>
          <w:sz w:val="32"/>
          <w:szCs w:val="32"/>
          <w:lang w:val="en-US" w:eastAsia="zh-CN"/>
        </w:rPr>
        <w:t>15、</w:t>
      </w:r>
      <w:r>
        <w:rPr>
          <w:rFonts w:hint="eastAsia" w:ascii="仿宋" w:hAnsi="仿宋" w:eastAsia="仿宋" w:cs="仿宋"/>
          <w:b w:val="0"/>
          <w:sz w:val="32"/>
          <w:szCs w:val="32"/>
        </w:rPr>
        <w:t>新闻宣传工作经费绩效自评情况：根据年初设定的绩效目标，新闻宣传工作经费</w:t>
      </w:r>
      <w:r>
        <w:rPr>
          <w:rFonts w:hint="eastAsia" w:ascii="仿宋" w:hAnsi="仿宋" w:eastAsia="仿宋" w:cs="仿宋"/>
          <w:b w:val="0"/>
          <w:sz w:val="32"/>
          <w:szCs w:val="32"/>
          <w:lang w:val="en-US" w:eastAsia="zh-CN"/>
        </w:rPr>
        <w:t>项目</w:t>
      </w:r>
      <w:r>
        <w:rPr>
          <w:rFonts w:hint="eastAsia" w:ascii="仿宋" w:hAnsi="仿宋" w:eastAsia="仿宋" w:cs="仿宋"/>
          <w:b w:val="0"/>
          <w:sz w:val="32"/>
          <w:szCs w:val="32"/>
        </w:rPr>
        <w:t>绩效自评得分为</w:t>
      </w:r>
      <w:r>
        <w:rPr>
          <w:rFonts w:hint="eastAsia" w:ascii="仿宋" w:hAnsi="仿宋" w:eastAsia="仿宋" w:cs="仿宋"/>
          <w:b w:val="0"/>
          <w:sz w:val="32"/>
          <w:szCs w:val="32"/>
          <w:lang w:val="en-US" w:eastAsia="zh-CN"/>
        </w:rPr>
        <w:t>100</w:t>
      </w:r>
      <w:r>
        <w:rPr>
          <w:rFonts w:hint="eastAsia" w:ascii="仿宋" w:hAnsi="仿宋" w:eastAsia="仿宋" w:cs="仿宋"/>
          <w:b w:val="0"/>
          <w:sz w:val="32"/>
          <w:szCs w:val="32"/>
        </w:rPr>
        <w:t>分（绩效自评表附后）。全年预算数为</w:t>
      </w:r>
      <w:r>
        <w:rPr>
          <w:rFonts w:hint="eastAsia" w:ascii="仿宋" w:hAnsi="仿宋" w:eastAsia="仿宋" w:cs="仿宋"/>
          <w:b w:val="0"/>
          <w:sz w:val="32"/>
          <w:szCs w:val="32"/>
          <w:lang w:val="en-US" w:eastAsia="zh-CN"/>
        </w:rPr>
        <w:t>20</w:t>
      </w:r>
      <w:r>
        <w:rPr>
          <w:rFonts w:hint="eastAsia" w:ascii="仿宋" w:hAnsi="仿宋" w:eastAsia="仿宋" w:cs="仿宋"/>
          <w:b w:val="0"/>
          <w:sz w:val="32"/>
          <w:szCs w:val="32"/>
        </w:rPr>
        <w:t>万元，执行数为</w:t>
      </w:r>
      <w:r>
        <w:rPr>
          <w:rFonts w:hint="eastAsia" w:ascii="仿宋" w:hAnsi="仿宋" w:eastAsia="仿宋" w:cs="仿宋"/>
          <w:b w:val="0"/>
          <w:sz w:val="32"/>
          <w:szCs w:val="32"/>
          <w:lang w:val="en-US" w:eastAsia="zh-CN"/>
        </w:rPr>
        <w:t>20</w:t>
      </w:r>
      <w:r>
        <w:rPr>
          <w:rFonts w:hint="eastAsia" w:ascii="仿宋" w:hAnsi="仿宋" w:eastAsia="仿宋" w:cs="仿宋"/>
          <w:b w:val="0"/>
          <w:sz w:val="32"/>
          <w:szCs w:val="32"/>
        </w:rPr>
        <w:t>万元，完成预算的</w:t>
      </w:r>
      <w:r>
        <w:rPr>
          <w:rFonts w:hint="eastAsia" w:ascii="仿宋" w:hAnsi="仿宋" w:eastAsia="仿宋" w:cs="仿宋"/>
          <w:b w:val="0"/>
          <w:sz w:val="32"/>
          <w:szCs w:val="32"/>
          <w:lang w:val="en-US" w:eastAsia="zh-CN"/>
        </w:rPr>
        <w:t>100</w:t>
      </w:r>
      <w:r>
        <w:rPr>
          <w:rFonts w:hint="eastAsia" w:ascii="仿宋" w:hAnsi="仿宋" w:eastAsia="仿宋" w:cs="仿宋"/>
          <w:b w:val="0"/>
          <w:sz w:val="32"/>
          <w:szCs w:val="32"/>
        </w:rPr>
        <w:t>%。</w:t>
      </w:r>
      <w:r>
        <w:rPr>
          <w:rFonts w:hint="eastAsia" w:ascii="仿宋" w:hAnsi="仿宋" w:eastAsia="仿宋" w:cs="仿宋"/>
          <w:b w:val="0"/>
          <w:sz w:val="32"/>
          <w:szCs w:val="32"/>
          <w:lang w:val="en-US" w:eastAsia="zh-CN"/>
        </w:rPr>
        <w:t>通过规范新闻宣传工作经费使用，保障法院司法宣传、舆论引导、典型推广、普法科普等工作开展，全方位展示司法形象、弘扬法治精神，助力营造良好司法舆论氛围。</w:t>
      </w:r>
    </w:p>
    <w:p w14:paraId="7D3FF099">
      <w:pPr>
        <w:widowControl/>
        <w:tabs>
          <w:tab w:val="left" w:pos="300"/>
        </w:tabs>
        <w:spacing w:before="0" w:beforeLines="0" w:beforeAutospacing="0" w:after="0" w:afterLines="0" w:afterAutospacing="0" w:line="360" w:lineRule="auto"/>
        <w:jc w:val="left"/>
      </w:pPr>
      <w:r>
        <w:drawing>
          <wp:inline distT="0" distB="0" distL="114300" distR="114300">
            <wp:extent cx="5455920" cy="6137275"/>
            <wp:effectExtent l="0" t="0" r="0" b="4445"/>
            <wp:docPr id="2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6"/>
                    <pic:cNvPicPr>
                      <a:picLocks noChangeAspect="1"/>
                    </pic:cNvPicPr>
                  </pic:nvPicPr>
                  <pic:blipFill>
                    <a:blip r:embed="rId33"/>
                    <a:stretch>
                      <a:fillRect/>
                    </a:stretch>
                  </pic:blipFill>
                  <pic:spPr>
                    <a:xfrm>
                      <a:off x="0" y="0"/>
                      <a:ext cx="5455920" cy="6137275"/>
                    </a:xfrm>
                    <a:prstGeom prst="rect">
                      <a:avLst/>
                    </a:prstGeom>
                    <a:noFill/>
                    <a:ln>
                      <a:noFill/>
                    </a:ln>
                  </pic:spPr>
                </pic:pic>
              </a:graphicData>
            </a:graphic>
          </wp:inline>
        </w:drawing>
      </w:r>
    </w:p>
    <w:p w14:paraId="55863BCE">
      <w:pPr>
        <w:widowControl/>
        <w:numPr>
          <w:ilvl w:val="0"/>
          <w:numId w:val="0"/>
        </w:numPr>
        <w:tabs>
          <w:tab w:val="left" w:pos="300"/>
        </w:tabs>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t>16、</w:t>
      </w:r>
      <w:r>
        <w:rPr>
          <w:rFonts w:hint="eastAsia" w:ascii="仿宋" w:hAnsi="仿宋" w:eastAsia="仿宋" w:cs="仿宋"/>
          <w:b w:val="0"/>
          <w:sz w:val="32"/>
          <w:szCs w:val="32"/>
        </w:rPr>
        <w:t>信访工作专项经费绩效自评情况：根据年初设定的绩效目标，信访工作专项经费</w:t>
      </w:r>
      <w:r>
        <w:rPr>
          <w:rFonts w:hint="eastAsia" w:ascii="仿宋" w:hAnsi="仿宋" w:eastAsia="仿宋" w:cs="仿宋"/>
          <w:b w:val="0"/>
          <w:sz w:val="32"/>
          <w:szCs w:val="32"/>
          <w:lang w:val="en-US" w:eastAsia="zh-CN"/>
        </w:rPr>
        <w:t>项目</w:t>
      </w:r>
      <w:r>
        <w:rPr>
          <w:rFonts w:hint="eastAsia" w:ascii="仿宋" w:hAnsi="仿宋" w:eastAsia="仿宋" w:cs="仿宋"/>
          <w:b w:val="0"/>
          <w:sz w:val="32"/>
          <w:szCs w:val="32"/>
        </w:rPr>
        <w:t>绩效自评得分为</w:t>
      </w:r>
      <w:r>
        <w:rPr>
          <w:rFonts w:hint="eastAsia" w:ascii="仿宋" w:hAnsi="仿宋" w:eastAsia="仿宋" w:cs="仿宋"/>
          <w:b w:val="0"/>
          <w:sz w:val="32"/>
          <w:szCs w:val="32"/>
          <w:lang w:val="en-US" w:eastAsia="zh-CN"/>
        </w:rPr>
        <w:t>99</w:t>
      </w:r>
      <w:r>
        <w:rPr>
          <w:rFonts w:hint="eastAsia" w:ascii="仿宋" w:hAnsi="仿宋" w:eastAsia="仿宋" w:cs="仿宋"/>
          <w:b w:val="0"/>
          <w:sz w:val="32"/>
          <w:szCs w:val="32"/>
        </w:rPr>
        <w:t>分（绩效自评表附后）。全年预算数为</w:t>
      </w:r>
      <w:r>
        <w:rPr>
          <w:rFonts w:hint="eastAsia" w:ascii="仿宋" w:hAnsi="仿宋" w:eastAsia="仿宋" w:cs="仿宋"/>
          <w:b w:val="0"/>
          <w:sz w:val="32"/>
          <w:szCs w:val="32"/>
          <w:lang w:val="en-US" w:eastAsia="zh-CN"/>
        </w:rPr>
        <w:t>14</w:t>
      </w:r>
      <w:r>
        <w:rPr>
          <w:rFonts w:hint="eastAsia" w:ascii="仿宋" w:hAnsi="仿宋" w:eastAsia="仿宋" w:cs="仿宋"/>
          <w:b w:val="0"/>
          <w:sz w:val="32"/>
          <w:szCs w:val="32"/>
        </w:rPr>
        <w:t>万元，执行数为</w:t>
      </w:r>
      <w:r>
        <w:rPr>
          <w:rFonts w:hint="eastAsia" w:ascii="仿宋" w:hAnsi="仿宋" w:eastAsia="仿宋" w:cs="仿宋"/>
          <w:b w:val="0"/>
          <w:sz w:val="32"/>
          <w:szCs w:val="32"/>
          <w:lang w:val="en-US" w:eastAsia="zh-CN"/>
        </w:rPr>
        <w:t>13.98</w:t>
      </w:r>
      <w:r>
        <w:rPr>
          <w:rFonts w:hint="eastAsia" w:ascii="仿宋" w:hAnsi="仿宋" w:eastAsia="仿宋" w:cs="仿宋"/>
          <w:b w:val="0"/>
          <w:sz w:val="32"/>
          <w:szCs w:val="32"/>
        </w:rPr>
        <w:t>万元，完成预算的</w:t>
      </w:r>
      <w:r>
        <w:rPr>
          <w:rFonts w:hint="eastAsia" w:ascii="仿宋" w:hAnsi="仿宋" w:eastAsia="仿宋" w:cs="仿宋"/>
          <w:b w:val="0"/>
          <w:sz w:val="32"/>
          <w:szCs w:val="32"/>
          <w:lang w:val="en-US" w:eastAsia="zh-CN"/>
        </w:rPr>
        <w:t>99.86</w:t>
      </w:r>
      <w:r>
        <w:rPr>
          <w:rFonts w:hint="eastAsia" w:ascii="仿宋" w:hAnsi="仿宋" w:eastAsia="仿宋" w:cs="仿宋"/>
          <w:b w:val="0"/>
          <w:sz w:val="32"/>
          <w:szCs w:val="32"/>
        </w:rPr>
        <w:t>%。</w:t>
      </w:r>
      <w:r>
        <w:rPr>
          <w:rFonts w:hint="eastAsia" w:ascii="仿宋" w:hAnsi="仿宋" w:eastAsia="仿宋" w:cs="仿宋"/>
          <w:b w:val="0"/>
          <w:sz w:val="32"/>
          <w:szCs w:val="32"/>
          <w:lang w:val="en-US" w:eastAsia="zh-CN"/>
        </w:rPr>
        <w:t>通过规范信访工作专项经费使用，保障信访接待、矛盾化解、诉求处置、隐患排查等工作开展，妥善化解涉诉信访矛盾，维护群众合法权益，筑牢法院安全稳定工作根基。</w:t>
      </w:r>
    </w:p>
    <w:p w14:paraId="0441E43A">
      <w:pPr>
        <w:widowControl/>
        <w:numPr>
          <w:ilvl w:val="0"/>
          <w:numId w:val="0"/>
        </w:numPr>
        <w:tabs>
          <w:tab w:val="left" w:pos="300"/>
        </w:tabs>
        <w:spacing w:before="0" w:beforeLines="0" w:beforeAutospacing="0" w:after="0" w:afterLines="0" w:afterAutospacing="0" w:line="360" w:lineRule="auto"/>
        <w:jc w:val="left"/>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drawing>
          <wp:inline distT="0" distB="0" distL="114300" distR="114300">
            <wp:extent cx="5624195" cy="6209030"/>
            <wp:effectExtent l="0" t="0" r="14605" b="8890"/>
            <wp:docPr id="23" name="图片 23" descr="3f575862-ed91-4867-9381-28c17c207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3f575862-ed91-4867-9381-28c17c207387"/>
                    <pic:cNvPicPr>
                      <a:picLocks noChangeAspect="1"/>
                    </pic:cNvPicPr>
                  </pic:nvPicPr>
                  <pic:blipFill>
                    <a:blip r:embed="rId34"/>
                    <a:stretch>
                      <a:fillRect/>
                    </a:stretch>
                  </pic:blipFill>
                  <pic:spPr>
                    <a:xfrm>
                      <a:off x="0" y="0"/>
                      <a:ext cx="5624195" cy="6209030"/>
                    </a:xfrm>
                    <a:prstGeom prst="rect">
                      <a:avLst/>
                    </a:prstGeom>
                  </pic:spPr>
                </pic:pic>
              </a:graphicData>
            </a:graphic>
          </wp:inline>
        </w:drawing>
      </w:r>
    </w:p>
    <w:p w14:paraId="7E389106">
      <w:pPr>
        <w:widowControl/>
        <w:numPr>
          <w:ilvl w:val="0"/>
          <w:numId w:val="0"/>
        </w:numPr>
        <w:tabs>
          <w:tab w:val="left" w:pos="300"/>
        </w:tabs>
        <w:spacing w:before="0" w:beforeLines="0" w:beforeAutospacing="0" w:after="0" w:afterLines="0" w:afterAutospacing="0" w:line="360" w:lineRule="auto"/>
        <w:ind w:firstLine="640" w:firstLineChars="200"/>
        <w:jc w:val="left"/>
        <w:rPr>
          <w:rFonts w:hint="eastAsia" w:ascii="仿宋" w:hAnsi="仿宋" w:eastAsia="仿宋" w:cs="仿宋"/>
          <w:b w:val="0"/>
          <w:sz w:val="32"/>
          <w:szCs w:val="32"/>
          <w:lang w:val="en-US" w:eastAsia="zh-CN"/>
        </w:rPr>
      </w:pPr>
      <w:r>
        <w:rPr>
          <w:rFonts w:hint="eastAsia" w:ascii="Times New Roman" w:eastAsia="仿宋_GB2312"/>
          <w:b w:val="0"/>
          <w:sz w:val="32"/>
          <w:szCs w:val="32"/>
          <w:lang w:val="en-US" w:eastAsia="zh-CN"/>
        </w:rPr>
        <w:t>17、</w:t>
      </w:r>
      <w:r>
        <w:rPr>
          <w:rFonts w:hint="eastAsia" w:ascii="仿宋" w:hAnsi="仿宋" w:eastAsia="仿宋" w:cs="仿宋"/>
          <w:b w:val="0"/>
          <w:sz w:val="32"/>
          <w:szCs w:val="32"/>
        </w:rPr>
        <w:t>中国法律应用数字(法信)服务平台经费绩效自评情况：根据年初设定的绩效目标，中国法律应用数字(法信)服务平台经费</w:t>
      </w:r>
      <w:r>
        <w:rPr>
          <w:rFonts w:hint="eastAsia" w:ascii="仿宋" w:hAnsi="仿宋" w:eastAsia="仿宋" w:cs="仿宋"/>
          <w:b w:val="0"/>
          <w:sz w:val="32"/>
          <w:szCs w:val="32"/>
          <w:lang w:val="en-US" w:eastAsia="zh-CN"/>
        </w:rPr>
        <w:t>项目</w:t>
      </w:r>
      <w:r>
        <w:rPr>
          <w:rFonts w:hint="eastAsia" w:ascii="仿宋" w:hAnsi="仿宋" w:eastAsia="仿宋" w:cs="仿宋"/>
          <w:b w:val="0"/>
          <w:sz w:val="32"/>
          <w:szCs w:val="32"/>
        </w:rPr>
        <w:t>绩效自评得分为</w:t>
      </w:r>
      <w:r>
        <w:rPr>
          <w:rFonts w:hint="eastAsia" w:ascii="仿宋" w:hAnsi="仿宋" w:eastAsia="仿宋" w:cs="仿宋"/>
          <w:b w:val="0"/>
          <w:sz w:val="32"/>
          <w:szCs w:val="32"/>
          <w:lang w:val="en-US" w:eastAsia="zh-CN"/>
        </w:rPr>
        <w:t>99</w:t>
      </w:r>
      <w:r>
        <w:rPr>
          <w:rFonts w:hint="eastAsia" w:ascii="仿宋" w:hAnsi="仿宋" w:eastAsia="仿宋" w:cs="仿宋"/>
          <w:b w:val="0"/>
          <w:sz w:val="32"/>
          <w:szCs w:val="32"/>
        </w:rPr>
        <w:t>分（绩效自评表附后）。全年预算数为</w:t>
      </w:r>
      <w:r>
        <w:rPr>
          <w:rFonts w:hint="eastAsia" w:ascii="仿宋" w:hAnsi="仿宋" w:eastAsia="仿宋" w:cs="仿宋"/>
          <w:b w:val="0"/>
          <w:sz w:val="32"/>
          <w:szCs w:val="32"/>
          <w:lang w:val="en-US" w:eastAsia="zh-CN"/>
        </w:rPr>
        <w:t>80.5</w:t>
      </w:r>
      <w:r>
        <w:rPr>
          <w:rFonts w:hint="eastAsia" w:ascii="仿宋" w:hAnsi="仿宋" w:eastAsia="仿宋" w:cs="仿宋"/>
          <w:b w:val="0"/>
          <w:sz w:val="32"/>
          <w:szCs w:val="32"/>
        </w:rPr>
        <w:t>万元，执行数为</w:t>
      </w:r>
      <w:r>
        <w:rPr>
          <w:rFonts w:hint="eastAsia" w:ascii="仿宋" w:hAnsi="仿宋" w:eastAsia="仿宋" w:cs="仿宋"/>
          <w:b w:val="0"/>
          <w:sz w:val="32"/>
          <w:szCs w:val="32"/>
          <w:lang w:val="en-US" w:eastAsia="zh-CN"/>
        </w:rPr>
        <w:t>80</w:t>
      </w:r>
      <w:r>
        <w:rPr>
          <w:rFonts w:hint="eastAsia" w:ascii="仿宋" w:hAnsi="仿宋" w:eastAsia="仿宋" w:cs="仿宋"/>
          <w:b w:val="0"/>
          <w:sz w:val="32"/>
          <w:szCs w:val="32"/>
        </w:rPr>
        <w:t>万元，完成预算的</w:t>
      </w:r>
      <w:r>
        <w:rPr>
          <w:rFonts w:hint="eastAsia" w:ascii="仿宋" w:hAnsi="仿宋" w:eastAsia="仿宋" w:cs="仿宋"/>
          <w:b w:val="0"/>
          <w:sz w:val="32"/>
          <w:szCs w:val="32"/>
          <w:lang w:val="en-US" w:eastAsia="zh-CN"/>
        </w:rPr>
        <w:t>99</w:t>
      </w:r>
      <w:r>
        <w:rPr>
          <w:rFonts w:hint="eastAsia" w:ascii="仿宋" w:hAnsi="仿宋" w:eastAsia="仿宋" w:cs="仿宋"/>
          <w:b w:val="0"/>
          <w:sz w:val="32"/>
          <w:szCs w:val="32"/>
        </w:rPr>
        <w:t>%。</w:t>
      </w:r>
      <w:r>
        <w:rPr>
          <w:rFonts w:hint="eastAsia" w:ascii="仿宋" w:hAnsi="仿宋" w:eastAsia="仿宋" w:cs="仿宋"/>
          <w:b w:val="0"/>
          <w:sz w:val="32"/>
          <w:szCs w:val="32"/>
          <w:lang w:val="en-US" w:eastAsia="zh-CN"/>
        </w:rPr>
        <w:t>通过规范法信服务平台经费使用，保障平台运维、数据检索、类案查询、法律资源更新等服务开支，赋能干警精准办案、规范裁判，提升审判工作专业化、数字化水平。</w:t>
      </w:r>
    </w:p>
    <w:p w14:paraId="3C708347">
      <w:pPr>
        <w:widowControl/>
        <w:numPr>
          <w:ilvl w:val="0"/>
          <w:numId w:val="0"/>
        </w:numPr>
        <w:tabs>
          <w:tab w:val="left" w:pos="300"/>
        </w:tabs>
        <w:spacing w:before="0" w:beforeLines="0" w:beforeAutospacing="0" w:after="0" w:afterLines="0" w:afterAutospacing="0" w:line="360" w:lineRule="auto"/>
        <w:jc w:val="left"/>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drawing>
          <wp:inline distT="0" distB="0" distL="114300" distR="114300">
            <wp:extent cx="5725160" cy="5791835"/>
            <wp:effectExtent l="0" t="0" r="5080" b="14605"/>
            <wp:docPr id="24" name="图片 24" descr="034cfca8-b383-4b34-b829-e8d6f537ce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034cfca8-b383-4b34-b829-e8d6f537ceab"/>
                    <pic:cNvPicPr>
                      <a:picLocks noChangeAspect="1"/>
                    </pic:cNvPicPr>
                  </pic:nvPicPr>
                  <pic:blipFill>
                    <a:blip r:embed="rId35"/>
                    <a:stretch>
                      <a:fillRect/>
                    </a:stretch>
                  </pic:blipFill>
                  <pic:spPr>
                    <a:xfrm>
                      <a:off x="0" y="0"/>
                      <a:ext cx="5725160" cy="5791835"/>
                    </a:xfrm>
                    <a:prstGeom prst="rect">
                      <a:avLst/>
                    </a:prstGeom>
                  </pic:spPr>
                </pic:pic>
              </a:graphicData>
            </a:graphic>
          </wp:inline>
        </w:drawing>
      </w:r>
    </w:p>
    <w:p w14:paraId="67F468C4">
      <w:pPr>
        <w:widowControl/>
        <w:numPr>
          <w:ilvl w:val="0"/>
          <w:numId w:val="0"/>
        </w:numPr>
        <w:tabs>
          <w:tab w:val="left" w:pos="300"/>
        </w:tabs>
        <w:spacing w:before="0" w:beforeLines="0" w:beforeAutospacing="0" w:after="0" w:afterLines="0" w:afterAutospacing="0" w:line="360" w:lineRule="auto"/>
        <w:ind w:firstLine="640" w:firstLineChars="200"/>
        <w:jc w:val="left"/>
        <w:rPr>
          <w:rFonts w:hint="eastAsia" w:ascii="仿宋" w:hAnsi="仿宋" w:eastAsia="仿宋" w:cs="仿宋"/>
          <w:b w:val="0"/>
          <w:sz w:val="32"/>
          <w:szCs w:val="32"/>
          <w:lang w:val="en-US" w:eastAsia="zh-CN"/>
        </w:rPr>
      </w:pPr>
      <w:r>
        <w:rPr>
          <w:rFonts w:hint="eastAsia" w:ascii="Times New Roman" w:eastAsia="仿宋_GB2312"/>
          <w:b w:val="0"/>
          <w:sz w:val="32"/>
          <w:szCs w:val="32"/>
          <w:lang w:val="en-US" w:eastAsia="zh-CN"/>
        </w:rPr>
        <w:t>18、</w:t>
      </w:r>
      <w:r>
        <w:rPr>
          <w:rFonts w:hint="eastAsia" w:ascii="仿宋" w:hAnsi="仿宋" w:eastAsia="仿宋" w:cs="仿宋"/>
          <w:b w:val="0"/>
          <w:sz w:val="32"/>
          <w:szCs w:val="32"/>
        </w:rPr>
        <w:t>办案业务经费绩效自评情况：根据年初设定的绩效目标，办案业务经费</w:t>
      </w:r>
      <w:r>
        <w:rPr>
          <w:rFonts w:hint="eastAsia" w:ascii="仿宋" w:hAnsi="仿宋" w:eastAsia="仿宋" w:cs="仿宋"/>
          <w:b w:val="0"/>
          <w:sz w:val="32"/>
          <w:szCs w:val="32"/>
          <w:lang w:val="en-US" w:eastAsia="zh-CN"/>
        </w:rPr>
        <w:t>项目</w:t>
      </w:r>
      <w:r>
        <w:rPr>
          <w:rFonts w:hint="eastAsia" w:ascii="仿宋" w:hAnsi="仿宋" w:eastAsia="仿宋" w:cs="仿宋"/>
          <w:b w:val="0"/>
          <w:sz w:val="32"/>
          <w:szCs w:val="32"/>
        </w:rPr>
        <w:t>绩效自评得分为</w:t>
      </w:r>
      <w:r>
        <w:rPr>
          <w:rFonts w:hint="eastAsia" w:ascii="仿宋" w:hAnsi="仿宋" w:eastAsia="仿宋" w:cs="仿宋"/>
          <w:b w:val="0"/>
          <w:sz w:val="32"/>
          <w:szCs w:val="32"/>
          <w:lang w:val="en-US" w:eastAsia="zh-CN"/>
        </w:rPr>
        <w:t>100</w:t>
      </w:r>
      <w:r>
        <w:rPr>
          <w:rFonts w:hint="eastAsia" w:ascii="仿宋" w:hAnsi="仿宋" w:eastAsia="仿宋" w:cs="仿宋"/>
          <w:b w:val="0"/>
          <w:sz w:val="32"/>
          <w:szCs w:val="32"/>
        </w:rPr>
        <w:t>分（绩效自评表附后）。全年预算数为</w:t>
      </w:r>
      <w:r>
        <w:rPr>
          <w:rFonts w:hint="eastAsia" w:ascii="仿宋" w:hAnsi="仿宋" w:eastAsia="仿宋" w:cs="仿宋"/>
          <w:b w:val="0"/>
          <w:sz w:val="32"/>
          <w:szCs w:val="32"/>
          <w:lang w:val="en-US" w:eastAsia="zh-CN"/>
        </w:rPr>
        <w:t>780</w:t>
      </w:r>
      <w:r>
        <w:rPr>
          <w:rFonts w:hint="eastAsia" w:ascii="仿宋" w:hAnsi="仿宋" w:eastAsia="仿宋" w:cs="仿宋"/>
          <w:b w:val="0"/>
          <w:sz w:val="32"/>
          <w:szCs w:val="32"/>
        </w:rPr>
        <w:t>万元，执行数为</w:t>
      </w:r>
      <w:r>
        <w:rPr>
          <w:rFonts w:hint="eastAsia" w:ascii="仿宋" w:hAnsi="仿宋" w:eastAsia="仿宋" w:cs="仿宋"/>
          <w:b w:val="0"/>
          <w:sz w:val="32"/>
          <w:szCs w:val="32"/>
          <w:lang w:val="en-US" w:eastAsia="zh-CN"/>
        </w:rPr>
        <w:t>780</w:t>
      </w:r>
      <w:r>
        <w:rPr>
          <w:rFonts w:hint="eastAsia" w:ascii="仿宋" w:hAnsi="仿宋" w:eastAsia="仿宋" w:cs="仿宋"/>
          <w:b w:val="0"/>
          <w:sz w:val="32"/>
          <w:szCs w:val="32"/>
        </w:rPr>
        <w:t>万元，完成预算的</w:t>
      </w:r>
      <w:r>
        <w:rPr>
          <w:rFonts w:hint="eastAsia" w:ascii="仿宋" w:hAnsi="仿宋" w:eastAsia="仿宋" w:cs="仿宋"/>
          <w:b w:val="0"/>
          <w:sz w:val="32"/>
          <w:szCs w:val="32"/>
          <w:lang w:val="en-US" w:eastAsia="zh-CN"/>
        </w:rPr>
        <w:t>100</w:t>
      </w:r>
      <w:r>
        <w:rPr>
          <w:rFonts w:hint="eastAsia" w:ascii="仿宋" w:hAnsi="仿宋" w:eastAsia="仿宋" w:cs="仿宋"/>
          <w:b w:val="0"/>
          <w:sz w:val="32"/>
          <w:szCs w:val="32"/>
        </w:rPr>
        <w:t>%。</w:t>
      </w:r>
      <w:r>
        <w:rPr>
          <w:rFonts w:hint="eastAsia" w:ascii="仿宋" w:hAnsi="仿宋" w:eastAsia="仿宋" w:cs="仿宋"/>
          <w:b w:val="0"/>
          <w:sz w:val="32"/>
          <w:szCs w:val="32"/>
          <w:lang w:val="en-US" w:eastAsia="zh-CN"/>
        </w:rPr>
        <w:t>通过规范办案业务经费管理使用，保障案件审理、执行实施、司法调研、业务保障等日常办案支出，夯实审判执行工作保障，助推法院各项司法业务规范高效开展。</w:t>
      </w:r>
    </w:p>
    <w:p w14:paraId="51DD2D06">
      <w:pPr>
        <w:widowControl/>
        <w:numPr>
          <w:ilvl w:val="0"/>
          <w:numId w:val="0"/>
        </w:numPr>
        <w:tabs>
          <w:tab w:val="left" w:pos="300"/>
        </w:tabs>
        <w:spacing w:before="0" w:beforeLines="0" w:beforeAutospacing="0" w:after="0" w:afterLines="0" w:afterAutospacing="0" w:line="360" w:lineRule="auto"/>
        <w:jc w:val="left"/>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drawing>
          <wp:inline distT="0" distB="0" distL="114300" distR="114300">
            <wp:extent cx="5659755" cy="6179185"/>
            <wp:effectExtent l="0" t="0" r="9525" b="8255"/>
            <wp:docPr id="25" name="图片 25" descr="2b6d9eb6-4f7a-4ce9-9b12-c92eb3abc8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2b6d9eb6-4f7a-4ce9-9b12-c92eb3abc8eb"/>
                    <pic:cNvPicPr>
                      <a:picLocks noChangeAspect="1"/>
                    </pic:cNvPicPr>
                  </pic:nvPicPr>
                  <pic:blipFill>
                    <a:blip r:embed="rId36"/>
                    <a:stretch>
                      <a:fillRect/>
                    </a:stretch>
                  </pic:blipFill>
                  <pic:spPr>
                    <a:xfrm>
                      <a:off x="0" y="0"/>
                      <a:ext cx="5659755" cy="6179185"/>
                    </a:xfrm>
                    <a:prstGeom prst="rect">
                      <a:avLst/>
                    </a:prstGeom>
                  </pic:spPr>
                </pic:pic>
              </a:graphicData>
            </a:graphic>
          </wp:inline>
        </w:drawing>
      </w:r>
    </w:p>
    <w:p w14:paraId="31423567">
      <w:pPr>
        <w:widowControl/>
        <w:numPr>
          <w:ilvl w:val="0"/>
          <w:numId w:val="0"/>
        </w:numPr>
        <w:tabs>
          <w:tab w:val="left" w:pos="300"/>
        </w:tabs>
        <w:spacing w:before="0" w:beforeLines="0" w:beforeAutospacing="0" w:after="0" w:afterLines="0" w:afterAutospacing="0" w:line="360" w:lineRule="auto"/>
        <w:ind w:firstLine="640" w:firstLineChars="200"/>
        <w:jc w:val="left"/>
        <w:rPr>
          <w:rFonts w:hint="eastAsia" w:ascii="仿宋" w:hAnsi="仿宋" w:eastAsia="仿宋" w:cs="仿宋"/>
          <w:b w:val="0"/>
          <w:sz w:val="32"/>
          <w:szCs w:val="32"/>
          <w:lang w:val="en-US" w:eastAsia="zh-CN"/>
        </w:rPr>
      </w:pPr>
      <w:r>
        <w:rPr>
          <w:rFonts w:hint="eastAsia" w:ascii="Times New Roman" w:eastAsia="仿宋_GB2312"/>
          <w:b w:val="0"/>
          <w:sz w:val="32"/>
          <w:szCs w:val="32"/>
          <w:lang w:val="en-US" w:eastAsia="zh-CN"/>
        </w:rPr>
        <w:t>19、</w:t>
      </w:r>
      <w:r>
        <w:rPr>
          <w:rFonts w:hint="eastAsia" w:ascii="仿宋" w:hAnsi="仿宋" w:eastAsia="仿宋" w:cs="仿宋"/>
          <w:b w:val="0"/>
          <w:sz w:val="32"/>
          <w:szCs w:val="32"/>
          <w:lang w:val="en-US" w:eastAsia="zh-CN"/>
        </w:rPr>
        <w:t>张振华国家赔偿资金</w:t>
      </w:r>
      <w:r>
        <w:rPr>
          <w:rFonts w:hint="eastAsia" w:ascii="仿宋" w:hAnsi="仿宋" w:eastAsia="仿宋" w:cs="仿宋"/>
          <w:b w:val="0"/>
          <w:sz w:val="32"/>
          <w:szCs w:val="32"/>
        </w:rPr>
        <w:t>经费绩效自评情况：根据年初设定的绩效目标，办案业务经费</w:t>
      </w:r>
      <w:r>
        <w:rPr>
          <w:rFonts w:hint="eastAsia" w:ascii="仿宋" w:hAnsi="仿宋" w:eastAsia="仿宋" w:cs="仿宋"/>
          <w:b w:val="0"/>
          <w:sz w:val="32"/>
          <w:szCs w:val="32"/>
          <w:lang w:val="en-US" w:eastAsia="zh-CN"/>
        </w:rPr>
        <w:t>项目</w:t>
      </w:r>
      <w:r>
        <w:rPr>
          <w:rFonts w:hint="eastAsia" w:ascii="仿宋" w:hAnsi="仿宋" w:eastAsia="仿宋" w:cs="仿宋"/>
          <w:b w:val="0"/>
          <w:sz w:val="32"/>
          <w:szCs w:val="32"/>
        </w:rPr>
        <w:t>绩效自评得分为</w:t>
      </w:r>
      <w:r>
        <w:rPr>
          <w:rFonts w:hint="eastAsia" w:ascii="仿宋" w:hAnsi="仿宋" w:eastAsia="仿宋" w:cs="仿宋"/>
          <w:b w:val="0"/>
          <w:sz w:val="32"/>
          <w:szCs w:val="32"/>
          <w:lang w:val="en-US" w:eastAsia="zh-CN"/>
        </w:rPr>
        <w:t>100</w:t>
      </w:r>
      <w:r>
        <w:rPr>
          <w:rFonts w:hint="eastAsia" w:ascii="仿宋" w:hAnsi="仿宋" w:eastAsia="仿宋" w:cs="仿宋"/>
          <w:b w:val="0"/>
          <w:sz w:val="32"/>
          <w:szCs w:val="32"/>
        </w:rPr>
        <w:t>分（绩效自评表附后）。全年预算数为</w:t>
      </w:r>
      <w:r>
        <w:rPr>
          <w:rFonts w:hint="eastAsia" w:ascii="仿宋" w:hAnsi="仿宋" w:eastAsia="仿宋" w:cs="仿宋"/>
          <w:b w:val="0"/>
          <w:sz w:val="32"/>
          <w:szCs w:val="32"/>
          <w:lang w:val="en-US" w:eastAsia="zh-CN"/>
        </w:rPr>
        <w:t>28.34</w:t>
      </w:r>
      <w:r>
        <w:rPr>
          <w:rFonts w:hint="eastAsia" w:ascii="仿宋" w:hAnsi="仿宋" w:eastAsia="仿宋" w:cs="仿宋"/>
          <w:b w:val="0"/>
          <w:sz w:val="32"/>
          <w:szCs w:val="32"/>
        </w:rPr>
        <w:t>万元，执行数为</w:t>
      </w:r>
      <w:r>
        <w:rPr>
          <w:rFonts w:hint="eastAsia" w:ascii="仿宋" w:hAnsi="仿宋" w:eastAsia="仿宋" w:cs="仿宋"/>
          <w:b w:val="0"/>
          <w:sz w:val="32"/>
          <w:szCs w:val="32"/>
          <w:lang w:val="en-US" w:eastAsia="zh-CN"/>
        </w:rPr>
        <w:t>28.34</w:t>
      </w:r>
      <w:r>
        <w:rPr>
          <w:rFonts w:hint="eastAsia" w:ascii="仿宋" w:hAnsi="仿宋" w:eastAsia="仿宋" w:cs="仿宋"/>
          <w:b w:val="0"/>
          <w:sz w:val="32"/>
          <w:szCs w:val="32"/>
        </w:rPr>
        <w:t>万元，完成预算的</w:t>
      </w:r>
      <w:r>
        <w:rPr>
          <w:rFonts w:hint="eastAsia" w:ascii="仿宋" w:hAnsi="仿宋" w:eastAsia="仿宋" w:cs="仿宋"/>
          <w:b w:val="0"/>
          <w:sz w:val="32"/>
          <w:szCs w:val="32"/>
          <w:lang w:val="en-US" w:eastAsia="zh-CN"/>
        </w:rPr>
        <w:t>100</w:t>
      </w:r>
      <w:r>
        <w:rPr>
          <w:rFonts w:hint="eastAsia" w:ascii="仿宋" w:hAnsi="仿宋" w:eastAsia="仿宋" w:cs="仿宋"/>
          <w:b w:val="0"/>
          <w:sz w:val="32"/>
          <w:szCs w:val="32"/>
        </w:rPr>
        <w:t>%。</w:t>
      </w:r>
      <w:r>
        <w:rPr>
          <w:rFonts w:hint="eastAsia" w:ascii="仿宋" w:hAnsi="仿宋" w:eastAsia="仿宋" w:cs="仿宋"/>
          <w:b w:val="0"/>
          <w:sz w:val="32"/>
          <w:szCs w:val="32"/>
          <w:lang w:val="en-US" w:eastAsia="zh-CN"/>
        </w:rPr>
        <w:t>通过严格规范国家赔偿经费管理使用，落实专款专用管理要求，高效足额兑付赔偿资金，依法保障群众合法权益，提升司法公信力，助力司法公正与社会和谐稳定。</w:t>
      </w:r>
    </w:p>
    <w:p w14:paraId="4DFEB4D6">
      <w:pPr>
        <w:widowControl/>
        <w:numPr>
          <w:ilvl w:val="0"/>
          <w:numId w:val="0"/>
        </w:numPr>
        <w:tabs>
          <w:tab w:val="left" w:pos="300"/>
        </w:tabs>
        <w:spacing w:before="0" w:beforeLines="0" w:beforeAutospacing="0" w:after="0" w:afterLines="0" w:afterAutospacing="0" w:line="360" w:lineRule="auto"/>
        <w:jc w:val="left"/>
        <w:rPr>
          <w:rFonts w:hint="default" w:ascii="Times New Roman" w:eastAsia="仿宋_GB2312"/>
          <w:b w:val="0"/>
          <w:sz w:val="32"/>
          <w:szCs w:val="32"/>
          <w:lang w:val="en-US" w:eastAsia="zh-CN"/>
        </w:rPr>
      </w:pPr>
      <w:r>
        <w:rPr>
          <w:rFonts w:hint="default" w:ascii="Times New Roman" w:eastAsia="仿宋_GB2312"/>
          <w:b w:val="0"/>
          <w:sz w:val="32"/>
          <w:szCs w:val="32"/>
          <w:lang w:val="en-US" w:eastAsia="zh-CN"/>
        </w:rPr>
        <w:drawing>
          <wp:inline distT="0" distB="0" distL="114300" distR="114300">
            <wp:extent cx="5571490" cy="6259195"/>
            <wp:effectExtent l="0" t="0" r="6350" b="4445"/>
            <wp:docPr id="26" name="图片 26" descr="f447eb33-3de2-4021-82a1-fc99e1bf88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f447eb33-3de2-4021-82a1-fc99e1bf88ba"/>
                    <pic:cNvPicPr>
                      <a:picLocks noChangeAspect="1"/>
                    </pic:cNvPicPr>
                  </pic:nvPicPr>
                  <pic:blipFill>
                    <a:blip r:embed="rId37"/>
                    <a:stretch>
                      <a:fillRect/>
                    </a:stretch>
                  </pic:blipFill>
                  <pic:spPr>
                    <a:xfrm>
                      <a:off x="0" y="0"/>
                      <a:ext cx="5571490" cy="6259195"/>
                    </a:xfrm>
                    <a:prstGeom prst="rect">
                      <a:avLst/>
                    </a:prstGeom>
                  </pic:spPr>
                </pic:pic>
              </a:graphicData>
            </a:graphic>
          </wp:inline>
        </w:drawing>
      </w:r>
    </w:p>
    <w:p w14:paraId="60D514F0">
      <w:pPr>
        <w:widowControl/>
        <w:numPr>
          <w:ilvl w:val="0"/>
          <w:numId w:val="0"/>
        </w:numPr>
        <w:tabs>
          <w:tab w:val="left" w:pos="300"/>
        </w:tabs>
        <w:spacing w:before="0" w:beforeLines="0" w:beforeAutospacing="0" w:after="0" w:afterLines="0" w:afterAutospacing="0" w:line="360" w:lineRule="auto"/>
        <w:ind w:firstLine="640" w:firstLineChars="200"/>
        <w:jc w:val="left"/>
        <w:rPr>
          <w:rFonts w:hint="eastAsia" w:ascii="仿宋" w:hAnsi="仿宋" w:eastAsia="仿宋" w:cs="仿宋"/>
          <w:b w:val="0"/>
          <w:sz w:val="32"/>
          <w:szCs w:val="32"/>
          <w:lang w:val="en-US" w:eastAsia="zh-CN"/>
        </w:rPr>
      </w:pPr>
      <w:r>
        <w:rPr>
          <w:rFonts w:hint="eastAsia" w:ascii="Times New Roman" w:eastAsia="仿宋_GB2312"/>
          <w:b w:val="0"/>
          <w:sz w:val="32"/>
          <w:szCs w:val="32"/>
          <w:lang w:val="en-US" w:eastAsia="zh-CN"/>
        </w:rPr>
        <w:t>20、</w:t>
      </w:r>
      <w:r>
        <w:rPr>
          <w:rFonts w:hint="eastAsia" w:ascii="仿宋" w:hAnsi="仿宋" w:eastAsia="仿宋" w:cs="仿宋"/>
          <w:b w:val="0"/>
          <w:sz w:val="32"/>
          <w:szCs w:val="32"/>
          <w:lang w:val="en-US" w:eastAsia="zh-CN"/>
        </w:rPr>
        <w:t>国家赔偿资金</w:t>
      </w:r>
      <w:r>
        <w:rPr>
          <w:rFonts w:hint="eastAsia" w:ascii="仿宋" w:hAnsi="仿宋" w:eastAsia="仿宋" w:cs="仿宋"/>
          <w:b w:val="0"/>
          <w:sz w:val="32"/>
          <w:szCs w:val="32"/>
        </w:rPr>
        <w:t>经费绩效自评情况：根据年初设定的绩效目标，办案业务经费</w:t>
      </w:r>
      <w:r>
        <w:rPr>
          <w:rFonts w:hint="eastAsia" w:ascii="仿宋" w:hAnsi="仿宋" w:eastAsia="仿宋" w:cs="仿宋"/>
          <w:b w:val="0"/>
          <w:sz w:val="32"/>
          <w:szCs w:val="32"/>
          <w:lang w:val="en-US" w:eastAsia="zh-CN"/>
        </w:rPr>
        <w:t>项目</w:t>
      </w:r>
      <w:r>
        <w:rPr>
          <w:rFonts w:hint="eastAsia" w:ascii="仿宋" w:hAnsi="仿宋" w:eastAsia="仿宋" w:cs="仿宋"/>
          <w:b w:val="0"/>
          <w:sz w:val="32"/>
          <w:szCs w:val="32"/>
        </w:rPr>
        <w:t>绩效自评得分为</w:t>
      </w:r>
      <w:r>
        <w:rPr>
          <w:rFonts w:hint="eastAsia" w:ascii="仿宋" w:hAnsi="仿宋" w:eastAsia="仿宋" w:cs="仿宋"/>
          <w:b w:val="0"/>
          <w:sz w:val="32"/>
          <w:szCs w:val="32"/>
          <w:lang w:val="en-US" w:eastAsia="zh-CN"/>
        </w:rPr>
        <w:t>100</w:t>
      </w:r>
      <w:r>
        <w:rPr>
          <w:rFonts w:hint="eastAsia" w:ascii="仿宋" w:hAnsi="仿宋" w:eastAsia="仿宋" w:cs="仿宋"/>
          <w:b w:val="0"/>
          <w:sz w:val="32"/>
          <w:szCs w:val="32"/>
        </w:rPr>
        <w:t>分（绩效自评表附后）。全年预算数为</w:t>
      </w:r>
      <w:r>
        <w:rPr>
          <w:rFonts w:hint="eastAsia" w:ascii="仿宋" w:hAnsi="仿宋" w:eastAsia="仿宋" w:cs="仿宋"/>
          <w:b w:val="0"/>
          <w:sz w:val="32"/>
          <w:szCs w:val="32"/>
          <w:lang w:val="en-US" w:eastAsia="zh-CN"/>
        </w:rPr>
        <w:t>115.83</w:t>
      </w:r>
      <w:r>
        <w:rPr>
          <w:rFonts w:hint="eastAsia" w:ascii="仿宋" w:hAnsi="仿宋" w:eastAsia="仿宋" w:cs="仿宋"/>
          <w:b w:val="0"/>
          <w:sz w:val="32"/>
          <w:szCs w:val="32"/>
        </w:rPr>
        <w:t>万元，执行数为</w:t>
      </w:r>
      <w:r>
        <w:rPr>
          <w:rFonts w:hint="eastAsia" w:ascii="仿宋" w:hAnsi="仿宋" w:eastAsia="仿宋" w:cs="仿宋"/>
          <w:b w:val="0"/>
          <w:sz w:val="32"/>
          <w:szCs w:val="32"/>
          <w:lang w:val="en-US" w:eastAsia="zh-CN"/>
        </w:rPr>
        <w:t>115.83</w:t>
      </w:r>
      <w:r>
        <w:rPr>
          <w:rFonts w:hint="eastAsia" w:ascii="仿宋" w:hAnsi="仿宋" w:eastAsia="仿宋" w:cs="仿宋"/>
          <w:b w:val="0"/>
          <w:sz w:val="32"/>
          <w:szCs w:val="32"/>
        </w:rPr>
        <w:t>万元，完成预算的</w:t>
      </w:r>
      <w:r>
        <w:rPr>
          <w:rFonts w:hint="eastAsia" w:ascii="仿宋" w:hAnsi="仿宋" w:eastAsia="仿宋" w:cs="仿宋"/>
          <w:b w:val="0"/>
          <w:sz w:val="32"/>
          <w:szCs w:val="32"/>
          <w:lang w:val="en-US" w:eastAsia="zh-CN"/>
        </w:rPr>
        <w:t>100</w:t>
      </w:r>
      <w:r>
        <w:rPr>
          <w:rFonts w:hint="eastAsia" w:ascii="仿宋" w:hAnsi="仿宋" w:eastAsia="仿宋" w:cs="仿宋"/>
          <w:b w:val="0"/>
          <w:sz w:val="32"/>
          <w:szCs w:val="32"/>
        </w:rPr>
        <w:t>%。</w:t>
      </w:r>
      <w:r>
        <w:rPr>
          <w:rFonts w:hint="eastAsia" w:ascii="仿宋" w:hAnsi="仿宋" w:eastAsia="仿宋" w:cs="仿宋"/>
          <w:b w:val="0"/>
          <w:sz w:val="32"/>
          <w:szCs w:val="32"/>
          <w:lang w:val="en-US" w:eastAsia="zh-CN"/>
        </w:rPr>
        <w:t>通过严格规范国家赔偿经费管理使用，落实专款专用管理要求，高效足额兑付赔偿资金，依法保障群众合法权益，提升司法公信力，助力司法公正与社会和谐稳定。</w:t>
      </w:r>
    </w:p>
    <w:p w14:paraId="1916A9D8">
      <w:pPr>
        <w:widowControl/>
        <w:numPr>
          <w:ilvl w:val="0"/>
          <w:numId w:val="0"/>
        </w:numPr>
        <w:tabs>
          <w:tab w:val="left" w:pos="300"/>
        </w:tabs>
        <w:spacing w:before="0" w:beforeLines="0" w:beforeAutospacing="0" w:after="0" w:afterLines="0" w:afterAutospacing="0" w:line="360" w:lineRule="auto"/>
        <w:jc w:val="left"/>
        <w:rPr>
          <w:rFonts w:hint="default" w:ascii="Times New Roman" w:eastAsia="仿宋_GB2312"/>
          <w:b w:val="0"/>
          <w:sz w:val="32"/>
          <w:szCs w:val="32"/>
          <w:lang w:val="en-US" w:eastAsia="zh-CN"/>
        </w:rPr>
      </w:pPr>
      <w:r>
        <w:rPr>
          <w:rFonts w:hint="default" w:ascii="Times New Roman" w:eastAsia="仿宋_GB2312"/>
          <w:b w:val="0"/>
          <w:sz w:val="32"/>
          <w:szCs w:val="32"/>
          <w:lang w:val="en-US" w:eastAsia="zh-CN"/>
        </w:rPr>
        <w:drawing>
          <wp:inline distT="0" distB="0" distL="114300" distR="114300">
            <wp:extent cx="5606415" cy="6044565"/>
            <wp:effectExtent l="0" t="0" r="1905" b="5715"/>
            <wp:docPr id="27" name="图片 27" descr="f62f04c9-fc96-4141-80f9-b2283bfe7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f62f04c9-fc96-4141-80f9-b2283bfe7914"/>
                    <pic:cNvPicPr>
                      <a:picLocks noChangeAspect="1"/>
                    </pic:cNvPicPr>
                  </pic:nvPicPr>
                  <pic:blipFill>
                    <a:blip r:embed="rId38"/>
                    <a:stretch>
                      <a:fillRect/>
                    </a:stretch>
                  </pic:blipFill>
                  <pic:spPr>
                    <a:xfrm>
                      <a:off x="0" y="0"/>
                      <a:ext cx="5606415" cy="6044565"/>
                    </a:xfrm>
                    <a:prstGeom prst="rect">
                      <a:avLst/>
                    </a:prstGeom>
                  </pic:spPr>
                </pic:pic>
              </a:graphicData>
            </a:graphic>
          </wp:inline>
        </w:drawing>
      </w:r>
    </w:p>
    <w:p w14:paraId="11E1E86D">
      <w:pPr>
        <w:widowControl/>
        <w:numPr>
          <w:ilvl w:val="0"/>
          <w:numId w:val="0"/>
        </w:numPr>
        <w:tabs>
          <w:tab w:val="left" w:pos="300"/>
        </w:tabs>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t>21、</w:t>
      </w:r>
      <w:r>
        <w:rPr>
          <w:rFonts w:hint="eastAsia" w:ascii="仿宋" w:hAnsi="仿宋" w:eastAsia="仿宋" w:cs="仿宋"/>
          <w:b w:val="0"/>
          <w:sz w:val="32"/>
          <w:szCs w:val="32"/>
          <w:lang w:val="en-US" w:eastAsia="zh-CN"/>
        </w:rPr>
        <w:t>国家赔偿金国家赔偿资金</w:t>
      </w:r>
      <w:r>
        <w:rPr>
          <w:rFonts w:hint="eastAsia" w:ascii="仿宋" w:hAnsi="仿宋" w:eastAsia="仿宋" w:cs="仿宋"/>
          <w:b w:val="0"/>
          <w:sz w:val="32"/>
          <w:szCs w:val="32"/>
        </w:rPr>
        <w:t>经费绩效自评情况：根据年初设定的绩效目标，办案业务经费</w:t>
      </w:r>
      <w:r>
        <w:rPr>
          <w:rFonts w:hint="eastAsia" w:ascii="仿宋" w:hAnsi="仿宋" w:eastAsia="仿宋" w:cs="仿宋"/>
          <w:b w:val="0"/>
          <w:sz w:val="32"/>
          <w:szCs w:val="32"/>
          <w:lang w:val="en-US" w:eastAsia="zh-CN"/>
        </w:rPr>
        <w:t>项目</w:t>
      </w:r>
      <w:r>
        <w:rPr>
          <w:rFonts w:hint="eastAsia" w:ascii="仿宋" w:hAnsi="仿宋" w:eastAsia="仿宋" w:cs="仿宋"/>
          <w:b w:val="0"/>
          <w:sz w:val="32"/>
          <w:szCs w:val="32"/>
        </w:rPr>
        <w:t>绩效自评得分为</w:t>
      </w:r>
      <w:r>
        <w:rPr>
          <w:rFonts w:hint="eastAsia" w:ascii="仿宋" w:hAnsi="仿宋" w:eastAsia="仿宋" w:cs="仿宋"/>
          <w:b w:val="0"/>
          <w:sz w:val="32"/>
          <w:szCs w:val="32"/>
          <w:lang w:val="en-US" w:eastAsia="zh-CN"/>
        </w:rPr>
        <w:t>100</w:t>
      </w:r>
      <w:r>
        <w:rPr>
          <w:rFonts w:hint="eastAsia" w:ascii="仿宋" w:hAnsi="仿宋" w:eastAsia="仿宋" w:cs="仿宋"/>
          <w:b w:val="0"/>
          <w:sz w:val="32"/>
          <w:szCs w:val="32"/>
        </w:rPr>
        <w:t>分（绩效自评表附后）。全年预算数为</w:t>
      </w:r>
      <w:r>
        <w:rPr>
          <w:rFonts w:hint="eastAsia" w:ascii="仿宋" w:hAnsi="仿宋" w:eastAsia="仿宋" w:cs="仿宋"/>
          <w:b w:val="0"/>
          <w:sz w:val="32"/>
          <w:szCs w:val="32"/>
          <w:lang w:val="en-US" w:eastAsia="zh-CN"/>
        </w:rPr>
        <w:t>762.27</w:t>
      </w:r>
      <w:r>
        <w:rPr>
          <w:rFonts w:hint="eastAsia" w:ascii="仿宋" w:hAnsi="仿宋" w:eastAsia="仿宋" w:cs="仿宋"/>
          <w:b w:val="0"/>
          <w:sz w:val="32"/>
          <w:szCs w:val="32"/>
        </w:rPr>
        <w:t>万元，执行数为</w:t>
      </w:r>
      <w:r>
        <w:rPr>
          <w:rFonts w:hint="eastAsia" w:ascii="仿宋" w:hAnsi="仿宋" w:eastAsia="仿宋" w:cs="仿宋"/>
          <w:b w:val="0"/>
          <w:sz w:val="32"/>
          <w:szCs w:val="32"/>
          <w:lang w:val="en-US" w:eastAsia="zh-CN"/>
        </w:rPr>
        <w:t>762.27</w:t>
      </w:r>
      <w:r>
        <w:rPr>
          <w:rFonts w:hint="eastAsia" w:ascii="仿宋" w:hAnsi="仿宋" w:eastAsia="仿宋" w:cs="仿宋"/>
          <w:b w:val="0"/>
          <w:sz w:val="32"/>
          <w:szCs w:val="32"/>
        </w:rPr>
        <w:t>万元，完成预算的</w:t>
      </w:r>
      <w:r>
        <w:rPr>
          <w:rFonts w:hint="eastAsia" w:ascii="仿宋" w:hAnsi="仿宋" w:eastAsia="仿宋" w:cs="仿宋"/>
          <w:b w:val="0"/>
          <w:sz w:val="32"/>
          <w:szCs w:val="32"/>
          <w:lang w:val="en-US" w:eastAsia="zh-CN"/>
        </w:rPr>
        <w:t>100</w:t>
      </w:r>
      <w:r>
        <w:rPr>
          <w:rFonts w:hint="eastAsia" w:ascii="仿宋" w:hAnsi="仿宋" w:eastAsia="仿宋" w:cs="仿宋"/>
          <w:b w:val="0"/>
          <w:sz w:val="32"/>
          <w:szCs w:val="32"/>
        </w:rPr>
        <w:t>%。</w:t>
      </w:r>
      <w:r>
        <w:rPr>
          <w:rFonts w:hint="eastAsia" w:ascii="仿宋" w:hAnsi="仿宋" w:eastAsia="仿宋" w:cs="仿宋"/>
          <w:b w:val="0"/>
          <w:sz w:val="32"/>
          <w:szCs w:val="32"/>
          <w:lang w:val="en-US" w:eastAsia="zh-CN"/>
        </w:rPr>
        <w:t>通过严格规范国家赔偿经费管理使用，落实专款专用管理要求，高效足额兑付赔偿资金，依法保障群众合法权益，提升司法公信力，助力司法公正与社会和谐稳定。</w:t>
      </w:r>
    </w:p>
    <w:p w14:paraId="323469C0">
      <w:pPr>
        <w:widowControl/>
        <w:numPr>
          <w:ilvl w:val="0"/>
          <w:numId w:val="0"/>
        </w:numPr>
        <w:tabs>
          <w:tab w:val="left" w:pos="300"/>
        </w:tabs>
        <w:spacing w:before="0" w:beforeLines="0" w:beforeAutospacing="0" w:after="0" w:afterLines="0" w:afterAutospacing="0" w:line="360" w:lineRule="auto"/>
        <w:jc w:val="left"/>
        <w:rPr>
          <w:rFonts w:hint="default" w:ascii="Times New Roman" w:eastAsia="仿宋_GB2312"/>
          <w:b w:val="0"/>
          <w:sz w:val="32"/>
          <w:szCs w:val="32"/>
          <w:lang w:val="en-US" w:eastAsia="zh-CN"/>
        </w:rPr>
      </w:pPr>
      <w:r>
        <w:rPr>
          <w:rFonts w:hint="default" w:ascii="Times New Roman" w:eastAsia="仿宋_GB2312"/>
          <w:b w:val="0"/>
          <w:sz w:val="32"/>
          <w:szCs w:val="32"/>
          <w:lang w:val="en-US" w:eastAsia="zh-CN"/>
        </w:rPr>
        <w:drawing>
          <wp:inline distT="0" distB="0" distL="114300" distR="114300">
            <wp:extent cx="5483225" cy="6075680"/>
            <wp:effectExtent l="0" t="0" r="3175" b="5080"/>
            <wp:docPr id="28" name="图片 28" descr="ec5b2151-9c04-4ec5-81f4-2babe42486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ec5b2151-9c04-4ec5-81f4-2babe424868b"/>
                    <pic:cNvPicPr>
                      <a:picLocks noChangeAspect="1"/>
                    </pic:cNvPicPr>
                  </pic:nvPicPr>
                  <pic:blipFill>
                    <a:blip r:embed="rId39"/>
                    <a:stretch>
                      <a:fillRect/>
                    </a:stretch>
                  </pic:blipFill>
                  <pic:spPr>
                    <a:xfrm>
                      <a:off x="0" y="0"/>
                      <a:ext cx="5483225" cy="6075680"/>
                    </a:xfrm>
                    <a:prstGeom prst="rect">
                      <a:avLst/>
                    </a:prstGeom>
                  </pic:spPr>
                </pic:pic>
              </a:graphicData>
            </a:graphic>
          </wp:inline>
        </w:drawing>
      </w:r>
    </w:p>
    <w:p w14:paraId="0530C592">
      <w:pPr>
        <w:widowControl/>
        <w:numPr>
          <w:ilvl w:val="0"/>
          <w:numId w:val="0"/>
        </w:numPr>
        <w:tabs>
          <w:tab w:val="left" w:pos="300"/>
        </w:tabs>
        <w:spacing w:before="0" w:beforeLines="0" w:beforeAutospacing="0" w:after="0" w:afterLines="0" w:afterAutospacing="0" w:line="360" w:lineRule="auto"/>
        <w:jc w:val="left"/>
        <w:rPr>
          <w:rFonts w:hint="default" w:ascii="Times New Roman" w:eastAsia="仿宋_GB2312"/>
          <w:b w:val="0"/>
          <w:sz w:val="32"/>
          <w:szCs w:val="32"/>
          <w:lang w:val="en-US" w:eastAsia="zh-CN"/>
        </w:rPr>
      </w:pPr>
    </w:p>
    <w:p w14:paraId="76C9B266">
      <w:pPr>
        <w:widowControl/>
        <w:tabs>
          <w:tab w:val="left" w:pos="300"/>
        </w:tabs>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（三）部门评价项目绩效评价结果（如有）</w:t>
      </w:r>
    </w:p>
    <w:p w14:paraId="6BCC045A">
      <w:pPr>
        <w:widowControl/>
        <w:numPr>
          <w:ilvl w:val="0"/>
          <w:numId w:val="0"/>
        </w:numPr>
        <w:tabs>
          <w:tab w:val="left" w:pos="300"/>
        </w:tabs>
        <w:spacing w:before="0" w:beforeLines="0" w:beforeAutospacing="0" w:after="0" w:afterLines="0" w:afterAutospacing="0" w:line="360" w:lineRule="auto"/>
        <w:ind w:firstLine="640" w:firstLineChars="200"/>
        <w:jc w:val="left"/>
        <w:rPr>
          <w:rFonts w:hint="eastAsia" w:ascii="仿宋" w:hAnsi="仿宋" w:eastAsia="仿宋" w:cs="仿宋"/>
          <w:b w:val="0"/>
          <w:sz w:val="32"/>
          <w:szCs w:val="32"/>
          <w:lang w:val="en-US" w:eastAsia="zh-CN"/>
        </w:rPr>
      </w:pPr>
      <w:r>
        <w:rPr>
          <w:rFonts w:hint="eastAsia" w:ascii="仿宋" w:hAnsi="仿宋" w:eastAsia="仿宋" w:cs="仿宋"/>
          <w:b w:val="0"/>
          <w:sz w:val="32"/>
          <w:szCs w:val="32"/>
          <w:lang w:val="en-US" w:eastAsia="zh-CN"/>
        </w:rPr>
        <w:t>无</w:t>
      </w:r>
    </w:p>
    <w:p w14:paraId="1691AD24">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14:paraId="25267F06">
      <w:pPr>
        <w:widowControl/>
        <w:numPr>
          <w:ilvl w:val="0"/>
          <w:numId w:val="0"/>
        </w:numPr>
        <w:tabs>
          <w:tab w:val="left" w:pos="300"/>
        </w:tabs>
        <w:spacing w:before="0" w:beforeLines="0" w:beforeAutospacing="0" w:after="0" w:afterLines="0" w:afterAutospacing="0" w:line="360" w:lineRule="auto"/>
        <w:ind w:firstLine="640" w:firstLineChars="200"/>
        <w:jc w:val="left"/>
        <w:rPr>
          <w:rFonts w:hint="eastAsia" w:ascii="仿宋" w:hAnsi="仿宋" w:eastAsia="仿宋" w:cs="仿宋"/>
          <w:b w:val="0"/>
          <w:sz w:val="32"/>
          <w:szCs w:val="32"/>
          <w:lang w:val="en-US" w:eastAsia="zh-CN"/>
        </w:rPr>
      </w:pPr>
      <w:r>
        <w:rPr>
          <w:rFonts w:hint="eastAsia" w:ascii="仿宋" w:hAnsi="仿宋" w:eastAsia="仿宋" w:cs="仿宋"/>
          <w:b w:val="0"/>
          <w:sz w:val="32"/>
          <w:szCs w:val="32"/>
          <w:lang w:val="en-US" w:eastAsia="zh-CN"/>
        </w:rPr>
        <w:t>1.本部门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14:paraId="5388CBB1">
      <w:pPr>
        <w:widowControl/>
        <w:numPr>
          <w:ilvl w:val="0"/>
          <w:numId w:val="0"/>
        </w:numPr>
        <w:tabs>
          <w:tab w:val="left" w:pos="300"/>
        </w:tabs>
        <w:spacing w:before="0" w:beforeLines="0" w:beforeAutospacing="0" w:after="0" w:afterLines="0" w:afterAutospacing="0" w:line="360" w:lineRule="auto"/>
        <w:ind w:firstLine="640" w:firstLineChars="200"/>
        <w:jc w:val="left"/>
        <w:rPr>
          <w:rFonts w:hint="eastAsia" w:ascii="仿宋" w:hAnsi="仿宋" w:eastAsia="仿宋" w:cs="仿宋"/>
          <w:b w:val="0"/>
          <w:sz w:val="32"/>
          <w:szCs w:val="32"/>
          <w:lang w:val="en-US" w:eastAsia="zh-CN"/>
        </w:rPr>
      </w:pPr>
      <w:r>
        <w:rPr>
          <w:rFonts w:hint="eastAsia" w:ascii="仿宋" w:hAnsi="仿宋" w:eastAsia="仿宋" w:cs="仿宋"/>
          <w:b w:val="0"/>
          <w:sz w:val="32"/>
          <w:szCs w:val="32"/>
          <w:lang w:val="en-US" w:eastAsia="zh-CN"/>
        </w:rPr>
        <w:t>2. 由于决算公开表格中金额数值应当保留两位小数，公开数据为四舍五入计算结果，个别数据合计项与分项之和存在小数点后差额，特此说明。</w:t>
      </w:r>
    </w:p>
    <w:p w14:paraId="03399B5C">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14:paraId="4827883C">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488BA4F">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A85A919">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782DEE6">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2FA6F8A">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0A1710D">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14:paraId="6D6F10C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7F616B0">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32D4D43">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458986E">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377B9C0">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105202F">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829D9D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795DCC0">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6E6E1BC">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444B1CC">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D9C8FEC">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CB2CCA3">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EF98329">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6FE1F20">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45681FF">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0278D26">
      <w:pPr>
        <w:widowControl/>
        <w:spacing w:before="0" w:beforeLines="0" w:beforeAutospacing="0" w:after="0" w:afterLines="0" w:afterAutospacing="0" w:line="360" w:lineRule="auto"/>
        <w:ind w:firstLine="643" w:firstLineChars="200"/>
        <w:jc w:val="left"/>
        <w:rPr>
          <w:rFonts w:hint="eastAsia" w:ascii="仿宋" w:hAnsi="仿宋" w:eastAsia="仿宋" w:cs="仿宋"/>
          <w:b w:val="0"/>
          <w:sz w:val="32"/>
          <w:szCs w:val="32"/>
          <w:lang w:val="en-US" w:eastAsia="zh-CN"/>
        </w:rPr>
      </w:pPr>
      <w:r>
        <w:rPr>
          <w:rFonts w:ascii="Times New Roman" w:eastAsia="仿宋_GB2312"/>
          <w:b/>
          <w:sz w:val="32"/>
          <w:szCs w:val="32"/>
        </w:rPr>
        <w:t>一、财政拨款收入：</w:t>
      </w:r>
      <w:r>
        <w:rPr>
          <w:rFonts w:hint="eastAsia" w:ascii="仿宋" w:hAnsi="仿宋" w:eastAsia="仿宋" w:cs="仿宋"/>
          <w:b w:val="0"/>
          <w:sz w:val="32"/>
          <w:szCs w:val="32"/>
          <w:lang w:val="en-US" w:eastAsia="zh-CN"/>
        </w:rPr>
        <w:t>指部门从同级财政部门取得的财政预算资金。</w:t>
      </w:r>
    </w:p>
    <w:p w14:paraId="7C99A919">
      <w:pPr>
        <w:widowControl/>
        <w:spacing w:before="0" w:beforeLines="0" w:beforeAutospacing="0" w:after="0" w:afterLines="0" w:afterAutospacing="0" w:line="360" w:lineRule="auto"/>
        <w:ind w:firstLine="643" w:firstLineChars="200"/>
        <w:jc w:val="left"/>
        <w:rPr>
          <w:rFonts w:hint="eastAsia" w:ascii="仿宋" w:hAnsi="仿宋" w:eastAsia="仿宋" w:cs="仿宋"/>
          <w:b w:val="0"/>
          <w:sz w:val="32"/>
          <w:szCs w:val="32"/>
          <w:lang w:val="en-US" w:eastAsia="zh-CN"/>
        </w:rPr>
      </w:pPr>
      <w:r>
        <w:rPr>
          <w:rFonts w:ascii="Times New Roman" w:eastAsia="仿宋_GB2312"/>
          <w:b/>
          <w:sz w:val="32"/>
          <w:szCs w:val="32"/>
        </w:rPr>
        <w:t>二、事业收入：</w:t>
      </w:r>
      <w:r>
        <w:rPr>
          <w:rFonts w:hint="eastAsia" w:ascii="仿宋" w:hAnsi="仿宋" w:eastAsia="仿宋" w:cs="仿宋"/>
          <w:b w:val="0"/>
          <w:sz w:val="32"/>
          <w:szCs w:val="32"/>
          <w:lang w:val="en-US" w:eastAsia="zh-CN"/>
        </w:rPr>
        <w:t>指事业部门开展专业业务活动及辅助活动取得的收入。</w:t>
      </w:r>
    </w:p>
    <w:p w14:paraId="4B80D6F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hint="eastAsia" w:ascii="仿宋" w:hAnsi="仿宋" w:eastAsia="仿宋" w:cs="仿宋"/>
          <w:b w:val="0"/>
          <w:sz w:val="32"/>
          <w:szCs w:val="32"/>
          <w:lang w:val="en-US" w:eastAsia="zh-CN"/>
        </w:rPr>
        <w:t>指事业部门在专业业务活动及其辅助活动之外开展非独立核算经营活动取得的收入。</w:t>
      </w:r>
    </w:p>
    <w:p w14:paraId="0E6D2D2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hint="eastAsia" w:ascii="仿宋" w:hAnsi="仿宋" w:eastAsia="仿宋" w:cs="仿宋"/>
          <w:b w:val="0"/>
          <w:sz w:val="32"/>
          <w:szCs w:val="32"/>
          <w:lang w:val="en-US" w:eastAsia="zh-CN"/>
        </w:rPr>
        <w:t>指部门取得的除上述收入以外的各项收入。主要是事业部门固定资产出租收入、存款利息收入等。</w:t>
      </w:r>
    </w:p>
    <w:p w14:paraId="5BE141C3">
      <w:pPr>
        <w:widowControl/>
        <w:spacing w:before="0" w:beforeLines="0" w:beforeAutospacing="0" w:after="0" w:afterLines="0" w:afterAutospacing="0" w:line="360" w:lineRule="auto"/>
        <w:ind w:firstLine="643" w:firstLineChars="200"/>
        <w:jc w:val="left"/>
        <w:rPr>
          <w:rFonts w:hint="eastAsia" w:ascii="仿宋" w:hAnsi="仿宋" w:eastAsia="仿宋" w:cs="仿宋"/>
          <w:b w:val="0"/>
          <w:sz w:val="32"/>
          <w:szCs w:val="32"/>
          <w:lang w:val="en-US" w:eastAsia="zh-CN"/>
        </w:rPr>
      </w:pPr>
      <w:r>
        <w:rPr>
          <w:rFonts w:ascii="Times New Roman" w:eastAsia="仿宋_GB2312"/>
          <w:b/>
          <w:sz w:val="32"/>
          <w:szCs w:val="32"/>
        </w:rPr>
        <w:t>五、使用非财政拨款结余（含专用结余）：</w:t>
      </w:r>
      <w:r>
        <w:rPr>
          <w:rFonts w:hint="eastAsia" w:ascii="仿宋" w:hAnsi="仿宋" w:eastAsia="仿宋" w:cs="仿宋"/>
          <w:b w:val="0"/>
          <w:sz w:val="32"/>
          <w:szCs w:val="32"/>
          <w:lang w:val="en-US" w:eastAsia="zh-CN"/>
        </w:rPr>
        <w:t>指事业部门按照预算管理要求使用非财政拨款结余弥补收支差额的金额，以及使用专用结余安排支出的金额。</w:t>
      </w:r>
    </w:p>
    <w:p w14:paraId="14771CDF">
      <w:pPr>
        <w:widowControl/>
        <w:spacing w:before="0" w:beforeLines="0" w:beforeAutospacing="0" w:after="0" w:afterLines="0" w:afterAutospacing="0" w:line="360" w:lineRule="auto"/>
        <w:ind w:firstLine="643" w:firstLineChars="200"/>
        <w:jc w:val="left"/>
        <w:rPr>
          <w:rFonts w:hint="eastAsia" w:ascii="仿宋" w:hAnsi="仿宋" w:eastAsia="仿宋" w:cs="仿宋"/>
          <w:b w:val="0"/>
          <w:sz w:val="32"/>
          <w:szCs w:val="32"/>
          <w:lang w:val="en-US" w:eastAsia="zh-CN"/>
        </w:rPr>
      </w:pPr>
      <w:r>
        <w:rPr>
          <w:rFonts w:ascii="Times New Roman" w:eastAsia="仿宋_GB2312"/>
          <w:b/>
          <w:sz w:val="32"/>
          <w:szCs w:val="32"/>
        </w:rPr>
        <w:t>六、年初结转和结余：</w:t>
      </w:r>
      <w:r>
        <w:rPr>
          <w:rFonts w:hint="eastAsia" w:ascii="仿宋" w:hAnsi="仿宋" w:eastAsia="仿宋" w:cs="仿宋"/>
          <w:b w:val="0"/>
          <w:sz w:val="32"/>
          <w:szCs w:val="32"/>
          <w:lang w:val="en-US" w:eastAsia="zh-CN"/>
        </w:rPr>
        <w:t>指部门以前年度尚未完成、结转到本年仍按原规定用途继续使用的资金，或项目已完成等产生的结余资金。</w:t>
      </w:r>
    </w:p>
    <w:p w14:paraId="787E77A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hint="eastAsia" w:ascii="仿宋" w:hAnsi="仿宋" w:eastAsia="仿宋" w:cs="仿宋"/>
          <w:b w:val="0"/>
          <w:sz w:val="32"/>
          <w:szCs w:val="32"/>
          <w:lang w:val="en-US" w:eastAsia="zh-CN"/>
        </w:rPr>
        <w:t>指事业部门按照会计制度规定缴纳的所得税、提取的专用结余以及转入非财政拨款结余的金额等。</w:t>
      </w:r>
    </w:p>
    <w:p w14:paraId="0BFB638F">
      <w:pPr>
        <w:widowControl/>
        <w:spacing w:before="0" w:beforeLines="0" w:beforeAutospacing="0" w:after="0" w:afterLines="0" w:afterAutospacing="0" w:line="360" w:lineRule="auto"/>
        <w:ind w:firstLine="643" w:firstLineChars="200"/>
        <w:jc w:val="left"/>
        <w:rPr>
          <w:rFonts w:hint="eastAsia" w:ascii="仿宋" w:hAnsi="仿宋" w:eastAsia="仿宋" w:cs="仿宋"/>
          <w:b w:val="0"/>
          <w:sz w:val="32"/>
          <w:szCs w:val="32"/>
          <w:lang w:val="en-US" w:eastAsia="zh-CN"/>
        </w:rPr>
      </w:pPr>
      <w:r>
        <w:rPr>
          <w:rFonts w:ascii="Times New Roman" w:eastAsia="仿宋_GB2312"/>
          <w:b/>
          <w:sz w:val="32"/>
          <w:szCs w:val="32"/>
        </w:rPr>
        <w:t>八、年末结转和结余：</w:t>
      </w:r>
      <w:r>
        <w:rPr>
          <w:rFonts w:hint="eastAsia" w:ascii="仿宋" w:hAnsi="仿宋" w:eastAsia="仿宋" w:cs="仿宋"/>
          <w:b w:val="0"/>
          <w:sz w:val="32"/>
          <w:szCs w:val="32"/>
          <w:lang w:val="en-US" w:eastAsia="zh-CN"/>
        </w:rPr>
        <w:t>指部门按有关规定结转到下年或以后年度继续使用的资金，或项目已完成等产生的结余资金。</w:t>
      </w:r>
    </w:p>
    <w:p w14:paraId="705C45BE">
      <w:pPr>
        <w:widowControl/>
        <w:spacing w:before="0" w:beforeLines="0" w:beforeAutospacing="0" w:after="0" w:afterLines="0" w:afterAutospacing="0" w:line="360" w:lineRule="auto"/>
        <w:ind w:firstLine="643" w:firstLineChars="200"/>
        <w:jc w:val="left"/>
        <w:rPr>
          <w:rFonts w:hint="eastAsia" w:ascii="仿宋" w:hAnsi="仿宋" w:eastAsia="仿宋" w:cs="仿宋"/>
          <w:b w:val="0"/>
          <w:sz w:val="32"/>
          <w:szCs w:val="32"/>
          <w:lang w:val="en-US" w:eastAsia="zh-CN"/>
        </w:rPr>
      </w:pPr>
      <w:r>
        <w:rPr>
          <w:rFonts w:ascii="Times New Roman" w:eastAsia="仿宋_GB2312"/>
          <w:b/>
          <w:sz w:val="32"/>
          <w:szCs w:val="32"/>
        </w:rPr>
        <w:t>九、基本支出：</w:t>
      </w:r>
      <w:r>
        <w:rPr>
          <w:rFonts w:hint="eastAsia" w:ascii="仿宋" w:hAnsi="仿宋" w:eastAsia="仿宋" w:cs="仿宋"/>
          <w:b w:val="0"/>
          <w:sz w:val="32"/>
          <w:szCs w:val="32"/>
          <w:lang w:val="en-US" w:eastAsia="zh-CN"/>
        </w:rPr>
        <w:t>指为保障机构正常运转、完成日常工作任务而发生的人员支出和公用支出。</w:t>
      </w:r>
    </w:p>
    <w:p w14:paraId="305ABDC1">
      <w:pPr>
        <w:widowControl/>
        <w:spacing w:before="0" w:beforeLines="0" w:beforeAutospacing="0" w:after="0" w:afterLines="0" w:afterAutospacing="0" w:line="360" w:lineRule="auto"/>
        <w:ind w:firstLine="643" w:firstLineChars="200"/>
        <w:jc w:val="left"/>
        <w:rPr>
          <w:rFonts w:hint="eastAsia" w:ascii="仿宋" w:hAnsi="仿宋" w:eastAsia="仿宋" w:cs="仿宋"/>
          <w:b w:val="0"/>
          <w:sz w:val="32"/>
          <w:szCs w:val="32"/>
          <w:lang w:val="en-US" w:eastAsia="zh-CN"/>
        </w:rPr>
      </w:pPr>
      <w:r>
        <w:rPr>
          <w:rFonts w:ascii="Times New Roman" w:eastAsia="仿宋_GB2312"/>
          <w:b/>
          <w:sz w:val="32"/>
          <w:szCs w:val="32"/>
        </w:rPr>
        <w:t>十、项目支出：</w:t>
      </w:r>
      <w:r>
        <w:rPr>
          <w:rFonts w:hint="eastAsia" w:ascii="仿宋" w:hAnsi="仿宋" w:eastAsia="仿宋" w:cs="仿宋"/>
          <w:b w:val="0"/>
          <w:sz w:val="32"/>
          <w:szCs w:val="32"/>
          <w:lang w:val="en-US" w:eastAsia="zh-CN"/>
        </w:rPr>
        <w:t>指在基本支出之外为完成特定行政任务和事业发展目标所发生的支出。</w:t>
      </w:r>
    </w:p>
    <w:p w14:paraId="6795BEB5">
      <w:pPr>
        <w:widowControl/>
        <w:spacing w:before="0" w:beforeLines="0" w:beforeAutospacing="0" w:after="0" w:afterLines="0" w:afterAutospacing="0" w:line="360" w:lineRule="auto"/>
        <w:ind w:firstLine="643" w:firstLineChars="200"/>
        <w:jc w:val="left"/>
        <w:rPr>
          <w:rFonts w:hint="eastAsia" w:ascii="仿宋" w:hAnsi="仿宋" w:eastAsia="仿宋" w:cs="仿宋"/>
          <w:b w:val="0"/>
          <w:sz w:val="32"/>
          <w:szCs w:val="32"/>
          <w:lang w:val="en-US" w:eastAsia="zh-CN"/>
        </w:rPr>
      </w:pPr>
      <w:r>
        <w:rPr>
          <w:rFonts w:ascii="Times New Roman" w:eastAsia="仿宋_GB2312"/>
          <w:b/>
          <w:sz w:val="32"/>
          <w:szCs w:val="32"/>
        </w:rPr>
        <w:t>十一、经营支出 ：</w:t>
      </w:r>
      <w:r>
        <w:rPr>
          <w:rFonts w:hint="eastAsia" w:ascii="仿宋" w:hAnsi="仿宋" w:eastAsia="仿宋" w:cs="仿宋"/>
          <w:b w:val="0"/>
          <w:sz w:val="32"/>
          <w:szCs w:val="32"/>
          <w:lang w:val="en-US" w:eastAsia="zh-CN"/>
        </w:rPr>
        <w:t>指事业部门在专业业务活动及其辅助活动之外开展非独立核算经营活动发生的支出。</w:t>
      </w:r>
    </w:p>
    <w:p w14:paraId="2DC57B7D">
      <w:pPr>
        <w:widowControl/>
        <w:spacing w:before="0" w:beforeLines="0" w:beforeAutospacing="0" w:after="0" w:afterLines="0" w:afterAutospacing="0" w:line="360" w:lineRule="auto"/>
        <w:ind w:firstLine="643" w:firstLineChars="200"/>
        <w:jc w:val="left"/>
        <w:rPr>
          <w:rFonts w:hint="eastAsia" w:ascii="仿宋" w:hAnsi="仿宋" w:eastAsia="仿宋" w:cs="仿宋"/>
          <w:b w:val="0"/>
          <w:sz w:val="32"/>
          <w:szCs w:val="32"/>
          <w:lang w:val="en-US" w:eastAsia="zh-CN"/>
        </w:rPr>
      </w:pPr>
      <w:r>
        <w:rPr>
          <w:rFonts w:ascii="Times New Roman" w:eastAsia="仿宋_GB2312"/>
          <w:b/>
          <w:sz w:val="32"/>
          <w:szCs w:val="32"/>
        </w:rPr>
        <w:t>十二、基本建设支出：</w:t>
      </w:r>
      <w:r>
        <w:rPr>
          <w:rFonts w:hint="eastAsia" w:ascii="仿宋" w:hAnsi="仿宋" w:eastAsia="仿宋" w:cs="仿宋"/>
          <w:b w:val="0"/>
          <w:sz w:val="32"/>
          <w:szCs w:val="32"/>
          <w:lang w:val="en-US" w:eastAsia="zh-CN"/>
        </w:rPr>
        <w:t>填列由部门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0C2B0DB6">
      <w:pPr>
        <w:widowControl/>
        <w:spacing w:before="0" w:beforeLines="0" w:beforeAutospacing="0" w:after="0" w:afterLines="0" w:afterAutospacing="0" w:line="360" w:lineRule="auto"/>
        <w:ind w:firstLine="643" w:firstLineChars="200"/>
        <w:jc w:val="left"/>
        <w:rPr>
          <w:rFonts w:hint="eastAsia" w:ascii="仿宋" w:hAnsi="仿宋" w:eastAsia="仿宋" w:cs="仿宋"/>
          <w:b w:val="0"/>
          <w:sz w:val="32"/>
          <w:szCs w:val="32"/>
          <w:lang w:val="en-US" w:eastAsia="zh-CN"/>
        </w:rPr>
      </w:pPr>
      <w:r>
        <w:rPr>
          <w:rFonts w:ascii="Times New Roman" w:eastAsia="仿宋_GB2312"/>
          <w:b/>
          <w:sz w:val="32"/>
          <w:szCs w:val="32"/>
        </w:rPr>
        <w:t>十三、其他资本性支出：</w:t>
      </w:r>
      <w:r>
        <w:rPr>
          <w:rFonts w:hint="eastAsia" w:ascii="仿宋" w:hAnsi="仿宋" w:eastAsia="仿宋" w:cs="仿宋"/>
          <w:b w:val="0"/>
          <w:sz w:val="32"/>
          <w:szCs w:val="32"/>
          <w:lang w:val="en-US" w:eastAsia="zh-CN"/>
        </w:rPr>
        <w:t>填列由各级非发展与改革部门集中安排的用于购置固定资产、战备性和应急性储备、土地和无形资产，以及购建基础设施、大型修缮和财政支持企业更新改造所发生的支出。</w:t>
      </w:r>
    </w:p>
    <w:p w14:paraId="3DA73E0D">
      <w:pPr>
        <w:widowControl/>
        <w:spacing w:before="0" w:beforeLines="0" w:beforeAutospacing="0" w:after="0" w:afterLines="0" w:afterAutospacing="0" w:line="360" w:lineRule="auto"/>
        <w:ind w:firstLine="643" w:firstLineChars="200"/>
        <w:jc w:val="left"/>
        <w:rPr>
          <w:rFonts w:hint="eastAsia" w:ascii="仿宋" w:hAnsi="仿宋" w:eastAsia="仿宋" w:cs="仿宋"/>
          <w:b w:val="0"/>
          <w:sz w:val="32"/>
          <w:szCs w:val="32"/>
          <w:lang w:val="en-US" w:eastAsia="zh-CN"/>
        </w:rPr>
      </w:pPr>
      <w:r>
        <w:rPr>
          <w:rFonts w:ascii="Times New Roman" w:eastAsia="仿宋_GB2312"/>
          <w:b/>
          <w:sz w:val="32"/>
          <w:szCs w:val="32"/>
        </w:rPr>
        <w:t>十四、“三公”经费：</w:t>
      </w:r>
      <w:r>
        <w:rPr>
          <w:rFonts w:hint="eastAsia" w:ascii="仿宋" w:hAnsi="仿宋" w:eastAsia="仿宋" w:cs="仿宋"/>
          <w:b w:val="0"/>
          <w:sz w:val="32"/>
          <w:szCs w:val="32"/>
          <w:lang w:val="en-US" w:eastAsia="zh-CN"/>
        </w:rPr>
        <w:t>指部门用财政拨款安排的因公出国（境）费、公务用车购置及运行费和公务接待费。其中，因公出国（境）费反映部门公务出国（境）的国际旅费、国外城市间交通费、住宿费、伙食费、培训费、公杂费等支出；公务用车购置及运行费反映部门公务用车购置支出（含车辆购置税、牌照费）及按规定保留的公务用车燃料费、维修费、过桥过路费、保险费、安全奖励费用等支出；公务接待费反映部门按规定开支的各类公务接待（含外宾接待）支出。</w:t>
      </w:r>
    </w:p>
    <w:p w14:paraId="00438EE9">
      <w:pPr>
        <w:widowControl/>
        <w:spacing w:before="0" w:beforeLines="0" w:beforeAutospacing="0" w:after="0" w:afterLines="0" w:afterAutospacing="0" w:line="360" w:lineRule="auto"/>
        <w:ind w:firstLine="643" w:firstLineChars="200"/>
        <w:jc w:val="left"/>
        <w:rPr>
          <w:rFonts w:hint="eastAsia" w:ascii="仿宋" w:hAnsi="仿宋" w:eastAsia="仿宋" w:cs="仿宋"/>
          <w:b w:val="0"/>
          <w:sz w:val="32"/>
          <w:szCs w:val="32"/>
          <w:lang w:val="en-US" w:eastAsia="zh-CN"/>
        </w:rPr>
      </w:pPr>
      <w:r>
        <w:rPr>
          <w:rFonts w:ascii="Times New Roman" w:eastAsia="仿宋_GB2312"/>
          <w:b/>
          <w:sz w:val="32"/>
          <w:szCs w:val="32"/>
        </w:rPr>
        <w:t>十五、其他交通费用：</w:t>
      </w:r>
      <w:r>
        <w:rPr>
          <w:rFonts w:hint="eastAsia" w:ascii="仿宋" w:hAnsi="仿宋" w:eastAsia="仿宋" w:cs="仿宋"/>
          <w:b w:val="0"/>
          <w:sz w:val="32"/>
          <w:szCs w:val="32"/>
          <w:lang w:val="en-US" w:eastAsia="zh-CN"/>
        </w:rPr>
        <w:t>填列部门除公务用车运行维护费以外的其他交通费用。如公务交通补贴、租车费用、出租车费用，飞机、船舶等燃料费、维修费、保险费等。</w:t>
      </w:r>
    </w:p>
    <w:p w14:paraId="33DA3012">
      <w:pPr>
        <w:widowControl/>
        <w:spacing w:before="0" w:beforeLines="0" w:beforeAutospacing="0" w:after="0" w:afterLines="0" w:afterAutospacing="0" w:line="360" w:lineRule="auto"/>
        <w:ind w:firstLine="643" w:firstLineChars="200"/>
        <w:jc w:val="left"/>
        <w:rPr>
          <w:rFonts w:hint="eastAsia" w:ascii="仿宋" w:hAnsi="仿宋" w:eastAsia="仿宋" w:cs="仿宋"/>
          <w:b w:val="0"/>
          <w:sz w:val="32"/>
          <w:szCs w:val="32"/>
          <w:lang w:val="en-US" w:eastAsia="zh-CN"/>
        </w:rPr>
      </w:pPr>
      <w:r>
        <w:rPr>
          <w:rFonts w:ascii="Times New Roman" w:eastAsia="仿宋_GB2312"/>
          <w:b/>
          <w:sz w:val="32"/>
          <w:szCs w:val="32"/>
        </w:rPr>
        <w:t>十六、公务用车购置：</w:t>
      </w:r>
      <w:r>
        <w:rPr>
          <w:rFonts w:hint="eastAsia" w:ascii="仿宋" w:hAnsi="仿宋" w:eastAsia="仿宋" w:cs="仿宋"/>
          <w:b w:val="0"/>
          <w:sz w:val="32"/>
          <w:szCs w:val="32"/>
          <w:lang w:val="en-US" w:eastAsia="zh-CN"/>
        </w:rPr>
        <w:t>填列部门公务用车车辆购置支出（含车辆购置税、牌照费）。</w:t>
      </w:r>
    </w:p>
    <w:p w14:paraId="07438456">
      <w:pPr>
        <w:widowControl/>
        <w:spacing w:before="0" w:beforeLines="0" w:beforeAutospacing="0" w:after="0" w:afterLines="0" w:afterAutospacing="0" w:line="360" w:lineRule="auto"/>
        <w:ind w:firstLine="643" w:firstLineChars="200"/>
        <w:jc w:val="left"/>
        <w:rPr>
          <w:rFonts w:hint="eastAsia" w:ascii="仿宋" w:hAnsi="仿宋" w:eastAsia="仿宋" w:cs="仿宋"/>
          <w:b w:val="0"/>
          <w:sz w:val="32"/>
          <w:szCs w:val="32"/>
          <w:lang w:val="en-US" w:eastAsia="zh-CN"/>
        </w:rPr>
      </w:pPr>
      <w:r>
        <w:rPr>
          <w:rFonts w:ascii="Times New Roman" w:eastAsia="仿宋_GB2312"/>
          <w:b/>
          <w:sz w:val="32"/>
          <w:szCs w:val="32"/>
        </w:rPr>
        <w:t>十七、其他交通工具购置：</w:t>
      </w:r>
      <w:r>
        <w:rPr>
          <w:rFonts w:hint="eastAsia" w:ascii="仿宋" w:hAnsi="仿宋" w:eastAsia="仿宋" w:cs="仿宋"/>
          <w:b w:val="0"/>
          <w:sz w:val="32"/>
          <w:szCs w:val="32"/>
          <w:lang w:val="en-US" w:eastAsia="zh-CN"/>
        </w:rPr>
        <w:t>填列部门除公务用车外的其他各类交通工具（如船舶、飞机等）购置支出（含车辆购置税、牌照费）。</w:t>
      </w:r>
    </w:p>
    <w:p w14:paraId="2ADCF66B">
      <w:pPr>
        <w:widowControl/>
        <w:spacing w:before="0" w:beforeLines="0" w:beforeAutospacing="0" w:after="0" w:afterLines="0" w:afterAutospacing="0" w:line="360" w:lineRule="auto"/>
        <w:ind w:firstLine="643" w:firstLineChars="200"/>
        <w:jc w:val="left"/>
        <w:rPr>
          <w:rFonts w:hint="eastAsia" w:ascii="仿宋" w:hAnsi="仿宋" w:eastAsia="仿宋" w:cs="仿宋"/>
          <w:b w:val="0"/>
          <w:sz w:val="32"/>
          <w:szCs w:val="32"/>
          <w:lang w:val="en-US" w:eastAsia="zh-CN"/>
        </w:rPr>
      </w:pPr>
      <w:r>
        <w:rPr>
          <w:rFonts w:ascii="Times New Roman" w:eastAsia="仿宋_GB2312"/>
          <w:b/>
          <w:sz w:val="32"/>
          <w:szCs w:val="32"/>
        </w:rPr>
        <w:t>十八、机关运行经费：</w:t>
      </w:r>
      <w:r>
        <w:rPr>
          <w:rFonts w:hint="eastAsia" w:ascii="仿宋" w:hAnsi="仿宋" w:eastAsia="仿宋" w:cs="仿宋"/>
          <w:b w:val="0"/>
          <w:sz w:val="32"/>
          <w:szCs w:val="32"/>
          <w:lang w:val="en-US" w:eastAsia="zh-CN"/>
        </w:rPr>
        <w:t>指为保障行政部门（包括参照公务员法管理的事业部门）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1474" w:right="1474" w:bottom="1474" w:left="1474"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C42EB2E9-6FC7-4472-86B1-72B7DE2D2FE8}"/>
  </w:font>
  <w:font w:name="黑体">
    <w:panose1 w:val="02010609060101010101"/>
    <w:charset w:val="86"/>
    <w:family w:val="auto"/>
    <w:pitch w:val="default"/>
    <w:sig w:usb0="800002BF" w:usb1="38CF7CFA" w:usb2="00000016" w:usb3="00000000" w:csb0="00040001" w:csb1="00000000"/>
    <w:embedRegular r:id="rId2" w:fontKey="{3599106C-0E1C-492B-90CB-438040A6E6F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439D45AF-EF63-41DE-B420-0E891E1B8659}"/>
  </w:font>
  <w:font w:name="仿宋">
    <w:panose1 w:val="02010609060101010101"/>
    <w:charset w:val="86"/>
    <w:family w:val="modern"/>
    <w:pitch w:val="default"/>
    <w:sig w:usb0="800002BF" w:usb1="38CF7CFA" w:usb2="00000016" w:usb3="00000000" w:csb0="00040001" w:csb1="00000000"/>
    <w:embedRegular r:id="rId4" w:fontKey="{B41DDAB8-160C-4F2E-961C-4A8631D9D241}"/>
  </w:font>
  <w:font w:name="Calibri Light">
    <w:panose1 w:val="020F0302020204030204"/>
    <w:charset w:val="00"/>
    <w:family w:val="auto"/>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方正仿宋_GB2312">
    <w:panose1 w:val="02000000000000000000"/>
    <w:charset w:val="86"/>
    <w:family w:val="auto"/>
    <w:pitch w:val="default"/>
    <w:sig w:usb0="A00002BF" w:usb1="184F6CFA" w:usb2="00000012" w:usb3="00000000" w:csb0="00040001" w:csb1="00000000"/>
    <w:embedRegular r:id="rId5" w:fontKey="{EC496E0D-6FE9-4229-B2A0-8DE697D8A3A3}"/>
  </w:font>
  <w:font w:name="楷体_GB2312">
    <w:panose1 w:val="02010609030101010101"/>
    <w:charset w:val="86"/>
    <w:family w:val="auto"/>
    <w:pitch w:val="default"/>
    <w:sig w:usb0="00000001" w:usb1="080E0000" w:usb2="00000000" w:usb3="00000000" w:csb0="00040000" w:csb1="00000000"/>
    <w:embedRegular r:id="rId6" w:fontKey="{3E21C901-184E-4E80-BD98-84F4A8EB92FF}"/>
  </w:font>
  <w:font w:name="微软雅黑">
    <w:panose1 w:val="020B0503020204020204"/>
    <w:charset w:val="86"/>
    <w:family w:val="auto"/>
    <w:pitch w:val="default"/>
    <w:sig w:usb0="80000287" w:usb1="2ACF3C50" w:usb2="00000016" w:usb3="00000000" w:csb0="0004001F" w:csb1="00000000"/>
    <w:embedRegular r:id="rId7" w:fontKey="{919F486A-1F87-40E5-88F3-D94A670D1D2F}"/>
  </w:font>
  <w:font w:name="方正小标宋_GBK">
    <w:altName w:val="微软雅黑"/>
    <w:panose1 w:val="02000000000000000000"/>
    <w:charset w:val="86"/>
    <w:family w:val="script"/>
    <w:pitch w:val="default"/>
    <w:sig w:usb0="00000000" w:usb1="00000000" w:usb2="00000000" w:usb3="00000000" w:csb0="00000000" w:csb1="00000000"/>
    <w:embedRegular r:id="rId8" w:fontKey="{5AC74E4E-E0DC-44DF-9EB9-2C6DA6DD450A}"/>
  </w:font>
  <w:font w:name="仿宋_GB2312">
    <w:panose1 w:val="02010609030101010101"/>
    <w:charset w:val="86"/>
    <w:family w:val="auto"/>
    <w:pitch w:val="default"/>
    <w:sig w:usb0="00000001" w:usb1="080E0000" w:usb2="00000000" w:usb3="00000000" w:csb0="00040000" w:csb1="00000000"/>
    <w:embedRegular r:id="rId9" w:fontKey="{7AAC8EF8-44FD-45E5-AEF2-8F4E0E08252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FD1632">
    <w:pPr>
      <w:pStyle w:val="8"/>
      <w:jc w:val="center"/>
    </w:pPr>
  </w:p>
  <w:p w14:paraId="0AF40B96">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FC7735"/>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4F4477"/>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8D9BB2">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BA82C8"/>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BB97EE"/>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A0CEE3">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FF6C27">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15773A">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179546C"/>
    <w:rsid w:val="01A03C5A"/>
    <w:rsid w:val="01A5267D"/>
    <w:rsid w:val="01AE3368"/>
    <w:rsid w:val="01AF6A8D"/>
    <w:rsid w:val="024808A2"/>
    <w:rsid w:val="025C3821"/>
    <w:rsid w:val="02CB1CF7"/>
    <w:rsid w:val="02DA3B1B"/>
    <w:rsid w:val="02E57B4D"/>
    <w:rsid w:val="03450B90"/>
    <w:rsid w:val="037B12D4"/>
    <w:rsid w:val="03804D63"/>
    <w:rsid w:val="03F5128D"/>
    <w:rsid w:val="03FB73B0"/>
    <w:rsid w:val="04642795"/>
    <w:rsid w:val="046F5BD2"/>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145734"/>
    <w:rsid w:val="07533AFE"/>
    <w:rsid w:val="07AC18F2"/>
    <w:rsid w:val="07B3657A"/>
    <w:rsid w:val="07C857D0"/>
    <w:rsid w:val="081163FE"/>
    <w:rsid w:val="083F3A0A"/>
    <w:rsid w:val="08595DF4"/>
    <w:rsid w:val="08AB5AAF"/>
    <w:rsid w:val="08C65EBD"/>
    <w:rsid w:val="08D24C32"/>
    <w:rsid w:val="09012C64"/>
    <w:rsid w:val="093B2E99"/>
    <w:rsid w:val="095D7943"/>
    <w:rsid w:val="09C006C6"/>
    <w:rsid w:val="0A10621F"/>
    <w:rsid w:val="0A243616"/>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191346"/>
    <w:rsid w:val="102A01A6"/>
    <w:rsid w:val="1032785A"/>
    <w:rsid w:val="1053332C"/>
    <w:rsid w:val="105A290D"/>
    <w:rsid w:val="10754A6C"/>
    <w:rsid w:val="108B537D"/>
    <w:rsid w:val="10B11DB1"/>
    <w:rsid w:val="11177F57"/>
    <w:rsid w:val="11217C97"/>
    <w:rsid w:val="113076C2"/>
    <w:rsid w:val="11365128"/>
    <w:rsid w:val="11464C20"/>
    <w:rsid w:val="115E4926"/>
    <w:rsid w:val="118A1FFA"/>
    <w:rsid w:val="119876D3"/>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C19E2"/>
    <w:rsid w:val="15CF053D"/>
    <w:rsid w:val="15E0131A"/>
    <w:rsid w:val="15E11DC0"/>
    <w:rsid w:val="16457D9F"/>
    <w:rsid w:val="16726C02"/>
    <w:rsid w:val="16D94014"/>
    <w:rsid w:val="17223EFF"/>
    <w:rsid w:val="17AA5F28"/>
    <w:rsid w:val="17B713F6"/>
    <w:rsid w:val="184350A0"/>
    <w:rsid w:val="18935485"/>
    <w:rsid w:val="18A34206"/>
    <w:rsid w:val="18DE3B2C"/>
    <w:rsid w:val="18EF453A"/>
    <w:rsid w:val="1906685D"/>
    <w:rsid w:val="19111683"/>
    <w:rsid w:val="19353916"/>
    <w:rsid w:val="193E101D"/>
    <w:rsid w:val="19A846E9"/>
    <w:rsid w:val="19C10AF1"/>
    <w:rsid w:val="19F3005A"/>
    <w:rsid w:val="1A017CDA"/>
    <w:rsid w:val="1A187333"/>
    <w:rsid w:val="1A2672DE"/>
    <w:rsid w:val="1AA81D42"/>
    <w:rsid w:val="1AB433D9"/>
    <w:rsid w:val="1AEE2FA0"/>
    <w:rsid w:val="1AFB6D70"/>
    <w:rsid w:val="1B1B11EE"/>
    <w:rsid w:val="1B216BAC"/>
    <w:rsid w:val="1B3719E0"/>
    <w:rsid w:val="1B6261C3"/>
    <w:rsid w:val="1B731730"/>
    <w:rsid w:val="1B882BB5"/>
    <w:rsid w:val="1B9B33C7"/>
    <w:rsid w:val="1B9D7FEC"/>
    <w:rsid w:val="1BA55461"/>
    <w:rsid w:val="1BE74496"/>
    <w:rsid w:val="1BFB1448"/>
    <w:rsid w:val="1C3D67D1"/>
    <w:rsid w:val="1C40731A"/>
    <w:rsid w:val="1C506572"/>
    <w:rsid w:val="1C560392"/>
    <w:rsid w:val="1C581532"/>
    <w:rsid w:val="1C6D39F4"/>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060837"/>
    <w:rsid w:val="1E2D3FB0"/>
    <w:rsid w:val="1E2E50F1"/>
    <w:rsid w:val="1E3B4E26"/>
    <w:rsid w:val="1ED22D79"/>
    <w:rsid w:val="1EDB23D7"/>
    <w:rsid w:val="1EDF707D"/>
    <w:rsid w:val="1F394761"/>
    <w:rsid w:val="1F65664C"/>
    <w:rsid w:val="1F7C149A"/>
    <w:rsid w:val="1F84140D"/>
    <w:rsid w:val="1F9B7FFD"/>
    <w:rsid w:val="1F9C7614"/>
    <w:rsid w:val="1FBE1971"/>
    <w:rsid w:val="20032679"/>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20BD2"/>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A77945"/>
    <w:rsid w:val="24F25212"/>
    <w:rsid w:val="25075C04"/>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945818"/>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9F3018"/>
    <w:rsid w:val="33BE2439"/>
    <w:rsid w:val="33BE79A7"/>
    <w:rsid w:val="33CE0488"/>
    <w:rsid w:val="341D31EE"/>
    <w:rsid w:val="34262463"/>
    <w:rsid w:val="34296F31"/>
    <w:rsid w:val="34340A27"/>
    <w:rsid w:val="346A2989"/>
    <w:rsid w:val="348865E9"/>
    <w:rsid w:val="348F70D5"/>
    <w:rsid w:val="349D2BAD"/>
    <w:rsid w:val="34B25886"/>
    <w:rsid w:val="34E538E1"/>
    <w:rsid w:val="35277FF8"/>
    <w:rsid w:val="3529097C"/>
    <w:rsid w:val="35763460"/>
    <w:rsid w:val="35776F72"/>
    <w:rsid w:val="35997371"/>
    <w:rsid w:val="35BC359E"/>
    <w:rsid w:val="35DA3A24"/>
    <w:rsid w:val="35DD4D47"/>
    <w:rsid w:val="360134DF"/>
    <w:rsid w:val="360B1E2F"/>
    <w:rsid w:val="360D500F"/>
    <w:rsid w:val="36330424"/>
    <w:rsid w:val="367E0A10"/>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9E60BE9"/>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8D370AE"/>
    <w:rsid w:val="49067B2F"/>
    <w:rsid w:val="49100B80"/>
    <w:rsid w:val="49677E31"/>
    <w:rsid w:val="496C2225"/>
    <w:rsid w:val="49801098"/>
    <w:rsid w:val="49A35E02"/>
    <w:rsid w:val="49AE2880"/>
    <w:rsid w:val="49F42EAF"/>
    <w:rsid w:val="4A337323"/>
    <w:rsid w:val="4A5B28DC"/>
    <w:rsid w:val="4AA06B93"/>
    <w:rsid w:val="4ADB18EB"/>
    <w:rsid w:val="4B3A6FE7"/>
    <w:rsid w:val="4B4D7EEE"/>
    <w:rsid w:val="4B61139B"/>
    <w:rsid w:val="4B96118E"/>
    <w:rsid w:val="4BAE1B66"/>
    <w:rsid w:val="4BBF6159"/>
    <w:rsid w:val="4BC806E6"/>
    <w:rsid w:val="4BED4708"/>
    <w:rsid w:val="4BF133DC"/>
    <w:rsid w:val="4C1A4AD9"/>
    <w:rsid w:val="4C2E4987"/>
    <w:rsid w:val="4C4117A4"/>
    <w:rsid w:val="4C507D4A"/>
    <w:rsid w:val="4CD60F91"/>
    <w:rsid w:val="4CDF5563"/>
    <w:rsid w:val="4CFB2214"/>
    <w:rsid w:val="4D137255"/>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A96C6A"/>
    <w:rsid w:val="63BD1FA9"/>
    <w:rsid w:val="63D175D1"/>
    <w:rsid w:val="63D27965"/>
    <w:rsid w:val="63F4667E"/>
    <w:rsid w:val="64095516"/>
    <w:rsid w:val="641A2468"/>
    <w:rsid w:val="64372F20"/>
    <w:rsid w:val="648944D0"/>
    <w:rsid w:val="64DC72D7"/>
    <w:rsid w:val="64FA42B4"/>
    <w:rsid w:val="653619A6"/>
    <w:rsid w:val="655D0B64"/>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360B7"/>
    <w:rsid w:val="68BF2482"/>
    <w:rsid w:val="68C4160B"/>
    <w:rsid w:val="68C41C30"/>
    <w:rsid w:val="68CF3BA4"/>
    <w:rsid w:val="69257FA7"/>
    <w:rsid w:val="693F26C7"/>
    <w:rsid w:val="697E12B2"/>
    <w:rsid w:val="69C8706D"/>
    <w:rsid w:val="6A0E3FB4"/>
    <w:rsid w:val="6A292754"/>
    <w:rsid w:val="6A5E3B28"/>
    <w:rsid w:val="6A6B1EBE"/>
    <w:rsid w:val="6A8F43F7"/>
    <w:rsid w:val="6AD625F3"/>
    <w:rsid w:val="6B5B46E4"/>
    <w:rsid w:val="6B7218BE"/>
    <w:rsid w:val="6B750BA9"/>
    <w:rsid w:val="6BB93285"/>
    <w:rsid w:val="6BF263D2"/>
    <w:rsid w:val="6C0C698C"/>
    <w:rsid w:val="6C222401"/>
    <w:rsid w:val="6C56267F"/>
    <w:rsid w:val="6C826EF9"/>
    <w:rsid w:val="6CAE4C93"/>
    <w:rsid w:val="6CB14F16"/>
    <w:rsid w:val="6CEC2069"/>
    <w:rsid w:val="6D08183D"/>
    <w:rsid w:val="6D0B1869"/>
    <w:rsid w:val="6D65402D"/>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700D6539"/>
    <w:rsid w:val="7033685E"/>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6120141"/>
    <w:rsid w:val="76510960"/>
    <w:rsid w:val="768216BE"/>
    <w:rsid w:val="76C23B43"/>
    <w:rsid w:val="76FD6F97"/>
    <w:rsid w:val="770218E8"/>
    <w:rsid w:val="779469CE"/>
    <w:rsid w:val="77C875A5"/>
    <w:rsid w:val="77D777E8"/>
    <w:rsid w:val="78A27DF6"/>
    <w:rsid w:val="78B51665"/>
    <w:rsid w:val="79285B3A"/>
    <w:rsid w:val="79490B03"/>
    <w:rsid w:val="79625CA9"/>
    <w:rsid w:val="79A91196"/>
    <w:rsid w:val="79EB6C2A"/>
    <w:rsid w:val="79FC0703"/>
    <w:rsid w:val="7A0B32D3"/>
    <w:rsid w:val="7AC13CD3"/>
    <w:rsid w:val="7AE10264"/>
    <w:rsid w:val="7AE4248E"/>
    <w:rsid w:val="7B4A207F"/>
    <w:rsid w:val="7B7122A7"/>
    <w:rsid w:val="7B936F45"/>
    <w:rsid w:val="7BA47419"/>
    <w:rsid w:val="7BB10D45"/>
    <w:rsid w:val="7BB44151"/>
    <w:rsid w:val="7C067CC4"/>
    <w:rsid w:val="7C656A39"/>
    <w:rsid w:val="7CAE7D7C"/>
    <w:rsid w:val="7CB93996"/>
    <w:rsid w:val="7CBE0F99"/>
    <w:rsid w:val="7D4E45F1"/>
    <w:rsid w:val="7D807FDA"/>
    <w:rsid w:val="7DFB6D82"/>
    <w:rsid w:val="7E1D71D1"/>
    <w:rsid w:val="7E246254"/>
    <w:rsid w:val="7E553215"/>
    <w:rsid w:val="7E6D090F"/>
    <w:rsid w:val="7E7E2263"/>
    <w:rsid w:val="7ECC66B2"/>
    <w:rsid w:val="7EDE2F8F"/>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2" Type="http://schemas.openxmlformats.org/officeDocument/2006/relationships/fontTable" Target="fontTable.xml"/><Relationship Id="rId41" Type="http://schemas.openxmlformats.org/officeDocument/2006/relationships/numbering" Target="numbering.xml"/><Relationship Id="rId40" Type="http://schemas.openxmlformats.org/officeDocument/2006/relationships/customXml" Target="../customXml/item1.xml"/><Relationship Id="rId4" Type="http://schemas.openxmlformats.org/officeDocument/2006/relationships/footer" Target="footer2.xml"/><Relationship Id="rId39" Type="http://schemas.openxmlformats.org/officeDocument/2006/relationships/image" Target="media/image22.png"/><Relationship Id="rId38" Type="http://schemas.openxmlformats.org/officeDocument/2006/relationships/image" Target="media/image21.png"/><Relationship Id="rId37" Type="http://schemas.openxmlformats.org/officeDocument/2006/relationships/image" Target="media/image20.png"/><Relationship Id="rId36" Type="http://schemas.openxmlformats.org/officeDocument/2006/relationships/image" Target="media/image19.png"/><Relationship Id="rId35" Type="http://schemas.openxmlformats.org/officeDocument/2006/relationships/image" Target="media/image18.png"/><Relationship Id="rId34" Type="http://schemas.openxmlformats.org/officeDocument/2006/relationships/image" Target="media/image17.png"/><Relationship Id="rId33" Type="http://schemas.openxmlformats.org/officeDocument/2006/relationships/image" Target="media/image16.png"/><Relationship Id="rId32" Type="http://schemas.openxmlformats.org/officeDocument/2006/relationships/image" Target="media/image15.png"/><Relationship Id="rId31" Type="http://schemas.openxmlformats.org/officeDocument/2006/relationships/image" Target="media/image14.png"/><Relationship Id="rId30" Type="http://schemas.openxmlformats.org/officeDocument/2006/relationships/image" Target="media/image13.png"/><Relationship Id="rId3" Type="http://schemas.openxmlformats.org/officeDocument/2006/relationships/footer" Target="footer1.xml"/><Relationship Id="rId29" Type="http://schemas.openxmlformats.org/officeDocument/2006/relationships/image" Target="media/image12.png"/><Relationship Id="rId28" Type="http://schemas.openxmlformats.org/officeDocument/2006/relationships/image" Target="media/image11.png"/><Relationship Id="rId27" Type="http://schemas.openxmlformats.org/officeDocument/2006/relationships/image" Target="media/image10.png"/><Relationship Id="rId26" Type="http://schemas.openxmlformats.org/officeDocument/2006/relationships/image" Target="media/image9.png"/><Relationship Id="rId25" Type="http://schemas.openxmlformats.org/officeDocument/2006/relationships/image" Target="media/image8.png"/><Relationship Id="rId24" Type="http://schemas.openxmlformats.org/officeDocument/2006/relationships/image" Target="media/image7.png"/><Relationship Id="rId23" Type="http://schemas.openxmlformats.org/officeDocument/2006/relationships/image" Target="media/image6.png"/><Relationship Id="rId22" Type="http://schemas.openxmlformats.org/officeDocument/2006/relationships/image" Target="media/image5.png"/><Relationship Id="rId21" Type="http://schemas.openxmlformats.org/officeDocument/2006/relationships/image" Target="media/image4.png"/><Relationship Id="rId20" Type="http://schemas.openxmlformats.org/officeDocument/2006/relationships/image" Target="media/image3.png"/><Relationship Id="rId2" Type="http://schemas.openxmlformats.org/officeDocument/2006/relationships/settings" Target="settings.xml"/><Relationship Id="rId19" Type="http://schemas.openxmlformats.org/officeDocument/2006/relationships/image" Target="media/image2.png"/><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17113.69</c:v>
                </c:pt>
                <c:pt idx="1">
                  <c:v>16910.69</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extLst>
      <c:ext uri="{0b15fc19-7d7d-44ad-8c2d-2c3a37ce22c3}">
        <chartProps xmlns="https://web.wps.cn/et/2018/main" chartId="{a76234e2-aae8-4c1a-816e-3b6caa8cff2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171136862.68</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45b237f-0b9a-48ee-8e7c-0b44e465da2c}"/>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110470508.94</c:v>
                </c:pt>
                <c:pt idx="1">
                  <c:v>60666353.74</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9e578a2-7de8-4fbd-99c3-000e303c22db}"/>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16902.48</c:v>
                </c:pt>
                <c:pt idx="1">
                  <c:v>16902.53</c:v>
                </c:pt>
                <c:pt idx="2">
                  <c:v>16902.48</c:v>
                </c:pt>
                <c:pt idx="3">
                  <c:v>16902.53</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17113.69</c:v>
                </c:pt>
                <c:pt idx="1">
                  <c:v>17113.69</c:v>
                </c:pt>
                <c:pt idx="2">
                  <c:v>17113.69</c:v>
                </c:pt>
                <c:pt idx="3">
                  <c:v>17113.69</c:v>
                </c:pt>
                <c:pt idx="4">
                  <c:v>0</c:v>
                </c:pt>
                <c:pt idx="5">
                  <c:v>0</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b61bd6d-03dd-4b7d-80ed-b3d3bed8aef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14267.62</c:v>
                </c:pt>
                <c:pt idx="1">
                  <c:v>14267.62</c:v>
                </c:pt>
                <c:pt idx="2">
                  <c:v>14267.62</c:v>
                </c:pt>
                <c:pt idx="3">
                  <c:v>14267.62</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17113.69</c:v>
                </c:pt>
                <c:pt idx="1">
                  <c:v>17113.69</c:v>
                </c:pt>
                <c:pt idx="2">
                  <c:v>17113.69</c:v>
                </c:pt>
                <c:pt idx="3">
                  <c:v>17113.69</c:v>
                </c:pt>
                <c:pt idx="4">
                  <c:v>0</c:v>
                </c:pt>
                <c:pt idx="5">
                  <c:v>0</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extLst>
      <c:ext uri="{0b15fc19-7d7d-44ad-8c2d-2c3a37ce22c3}">
        <chartProps xmlns="https://web.wps.cn/et/2018/main" chartId="{2240d259-469d-47f8-8b5d-e008736eb108}"/>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63</Pages>
  <Words>2292</Words>
  <Characters>3031</Characters>
  <Lines>86</Lines>
  <Paragraphs>24</Paragraphs>
  <TotalTime>86</TotalTime>
  <ScaleCrop>false</ScaleCrop>
  <LinksUpToDate>false</LinksUpToDate>
  <CharactersWithSpaces>3265</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WPS_1619671680</cp:lastModifiedBy>
  <cp:lastPrinted>2023-08-04T01:00:00Z</cp:lastPrinted>
  <dcterms:modified xsi:type="dcterms:W3CDTF">2026-09-01T08:33:59Z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eyJoZGlkIjoiMzEwNTM5NzYwMDRjMzkwZTVkZjY2ODkwMGIxNGU0OTUiLCJ1c2VySWQiOiIxMjA3NDMxMDc0In0=</vt:lpwstr>
  </property>
</Properties>
</file>