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CCE8C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CCE8C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CCE8C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CCE8C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CCE8C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CCE8C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CCE8C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CCE8C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CCE8C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CCE8C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CCE8C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CCE8C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赞皇县人民法院</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625</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赞皇县人民法院</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赞皇县人民法院</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(一)深入贯彻习近平新时代中国特色社会主义思想，深入贯彻党的路线方针政策和决策部署，坚持党对法院工作的绝对领导，坚决维护习近平总书记的核心地位，坚决维护党中央权威和集中统一领导。​</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(二)依法审判法律规定由</w:t>
      </w:r>
      <w:r>
        <w:rPr>
          <w:rFonts w:hint="eastAsia" w:ascii="Times New Roman" w:eastAsia="仿宋_GB2312"/>
          <w:sz w:val="32"/>
          <w:szCs w:val="32"/>
          <w:lang w:eastAsia="zh-CN"/>
        </w:rPr>
        <w:t>赞皇</w:t>
      </w:r>
      <w:r>
        <w:rPr>
          <w:rFonts w:hint="eastAsia" w:ascii="Times New Roman" w:eastAsia="仿宋_GB2312"/>
          <w:sz w:val="32"/>
          <w:szCs w:val="32"/>
        </w:rPr>
        <w:t>县人民法院管辖的刑</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事、民事、行政等第一审案件。​</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(三)依法审判上级人民法院指定、同级人民法院移</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送的刑事、民事、行政等第一审案件。​</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(四)审查和受理各类申诉案件，审判各类再审案件，</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处理来信来访。 ​</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(五)依法办理发生法律效力的民事、行政案件判决</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和裁定执行事项及刑事案件判决和裁定中关于财产部分</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的执行事项；办理法律规定由基层人民法院执行的其他</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法律文书的执行事项。​</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(六)负责审判工作的调查研究，总结审判工作经验。</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(七)负责干警思想政治教育和业务培训工作；按照</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权限管理法官和其他工作人员。​</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(八)管理有关经费和物资装备。​</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(九)负责司法技术鉴定、通讯、计算机等技术管理</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工作。 ​</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(十)负责审判工作中的法制宣传，教育公民忠于祖</w:t>
      </w:r>
    </w:p>
    <w:p>
      <w:pPr>
        <w:widowControl/>
        <w:spacing w:line="360" w:lineRule="auto"/>
        <w:jc w:val="left"/>
        <w:rPr>
          <w:rFonts w:hint="eastAsia" w:ascii="Times New Roman" w:eastAsia="仿宋_GB2312"/>
          <w:sz w:val="32"/>
          <w:szCs w:val="32"/>
        </w:rPr>
      </w:pPr>
      <w:r>
        <w:rPr>
          <w:rFonts w:hint="eastAsia" w:ascii="Times New Roman" w:eastAsia="仿宋_GB2312"/>
          <w:sz w:val="32"/>
          <w:szCs w:val="32"/>
        </w:rPr>
        <w:t>国，自觉遵守宪法、法律和社会公德。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(十一)完成其他应由</w:t>
      </w:r>
      <w:r>
        <w:rPr>
          <w:rFonts w:hint="eastAsia" w:ascii="Times New Roman" w:eastAsia="仿宋_GB2312"/>
          <w:sz w:val="32"/>
          <w:szCs w:val="32"/>
          <w:lang w:eastAsia="zh-CN"/>
        </w:rPr>
        <w:t>赞皇</w:t>
      </w:r>
      <w:r>
        <w:rPr>
          <w:rFonts w:hint="eastAsia" w:ascii="Times New Roman" w:eastAsia="仿宋_GB2312"/>
          <w:sz w:val="32"/>
          <w:szCs w:val="32"/>
        </w:rPr>
        <w:t>县人民法院负责的工作。</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赞皇县人民法院</w:t>
            </w:r>
          </w:p>
        </w:tc>
        <w:tc>
          <w:tcPr>
            <w:tcW w:w="2445" w:type="dxa"/>
          </w:tcPr>
          <w:p>
            <w:pPr>
              <w:spacing w:line="560" w:lineRule="exact"/>
              <w:jc w:val="center"/>
              <w:rPr>
                <w:rFonts w:ascii="仿宋_GB2312" w:hAnsi="Calibri" w:eastAsia="仿宋_GB2312" w:cs="ArialUnicodeMS"/>
                <w:kern w:val="0"/>
                <w:sz w:val="28"/>
                <w:szCs w:val="28"/>
              </w:rPr>
            </w:pPr>
            <w:r>
              <w:rPr>
                <w:rFonts w:ascii="宋体" w:hAnsi="宋体" w:eastAsia="宋体"/>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ascii="宋体" w:hAnsi="宋体" w:eastAsia="宋体"/>
                <w:sz w:val="28"/>
                <w:szCs w:val="28"/>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部门（单位）：赞皇县人民法院</w:t>
            </w:r>
          </w:p>
        </w:tc>
        <w:tc>
          <w:tcPr>
            <w:tcW w:w="2945" w:type="dxa"/>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部门（单位）：赞皇县人民法院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1,920.95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1,920.95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法院</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其他法院支出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部门（单位）：赞皇县人民法院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1,012.42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56.29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56.29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852.24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852.24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部门（单位）：赞皇县人民法院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1,681.18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1,681.18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41.19</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41.19</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1,920.95</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部门（单位）：赞皇县人民法院</w:t>
            </w:r>
          </w:p>
        </w:tc>
        <w:tc>
          <w:tcPr>
            <w:tcW w:w="2813" w:type="dxa"/>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1,920.95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1,012.42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1,681.18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1,681.18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772.66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56.29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852.24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852.24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61.00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62.74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部门（单位）：赞皇县人民法院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743.09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152.19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234.42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98.11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245.62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26.52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117.14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35.86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31.22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860.23</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部门（单位）：赞皇县人民法院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部门（单位）：赞皇县人民法院</w:t>
            </w:r>
          </w:p>
        </w:tc>
        <w:tc>
          <w:tcPr>
            <w:tcW w:w="2680" w:type="dxa"/>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eastAsia"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部门（单位）：赞皇县人民法院</w:t>
            </w:r>
          </w:p>
        </w:tc>
        <w:tc>
          <w:tcPr>
            <w:tcW w:w="2166"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29.30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27.70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27.70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27.70</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27.70</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27.70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本部门2025年度收、支总计（含结转和结余）均为1,920.95万元。与2024年度决算相比，收支各增加140.13万元，增长7.9%，主要原因是</w:t>
      </w:r>
      <w:r>
        <w:rPr>
          <w:rFonts w:ascii="宋体" w:hAnsi="宋体" w:eastAsia="宋体"/>
          <w:sz w:val="32"/>
          <w:szCs w:val="32"/>
        </w:rPr>
        <w:t>人员经费及项目经费收支增加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1,920.95万元，其中：财政拨款收入1,920.95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本部门2025年度本年支出合计1,920.95万元，其中：基本支出1,012.42万元，占52.7%；项目支出908.52万元，占47.3%；经营支出0.00万元，占0.0%；上缴上级支出0.00万元，占0.0%；对附属单位补助支出0.00万元，占0.0%。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本部门2025年度财政拨款收、支总计（含结转和结余）均为1,920.95万元。与2024年度相比，财政拨款收支各增加140.13万元，增长7.9%，主要原因是</w:t>
      </w:r>
      <w:r>
        <w:rPr>
          <w:rFonts w:ascii="宋体" w:hAnsi="宋体" w:eastAsia="宋体"/>
          <w:sz w:val="32"/>
          <w:szCs w:val="32"/>
        </w:rPr>
        <w:t>人员经费及项目经费收支增加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本部门2025年度财政拨款本年收入1,920.95万元,比上年增加140.13万元，增长7.9%，主要原因是</w:t>
      </w:r>
      <w:r>
        <w:rPr>
          <w:rFonts w:ascii="宋体" w:hAnsi="宋体" w:eastAsia="宋体"/>
          <w:sz w:val="32"/>
          <w:szCs w:val="32"/>
        </w:rPr>
        <w:t>人员经费及项目经费收支增加</w:t>
      </w:r>
      <w:r>
        <w:rPr>
          <w:rFonts w:ascii="Times New Roman" w:eastAsia="仿宋_GB2312"/>
          <w:b w:val="0"/>
          <w:sz w:val="32"/>
          <w:szCs w:val="32"/>
        </w:rPr>
        <w:t>；本年支出1,920.95万元，比上年增加140.13万元，增长7.9%，主要原因是</w:t>
      </w:r>
      <w:r>
        <w:rPr>
          <w:rFonts w:ascii="宋体" w:hAnsi="宋体" w:eastAsia="宋体"/>
          <w:sz w:val="32"/>
          <w:szCs w:val="32"/>
        </w:rPr>
        <w:t>人员经费及项目经费收支增加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一般公共预算财政拨款本年收入1,920.95万元,比上年增加140.13万元，增长7.9%，主要原因是；本年支出1,920.95万元，比上年增加140.13万元，增长7.9%，主要原因是</w:t>
      </w:r>
      <w:r>
        <w:rPr>
          <w:rFonts w:ascii="宋体" w:hAnsi="宋体" w:eastAsia="宋体"/>
          <w:sz w:val="32"/>
          <w:szCs w:val="32"/>
        </w:rPr>
        <w:t>人员经费及项目经费收支增加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2. </w:t>
      </w:r>
      <w:r>
        <w:rPr>
          <w:rFonts w:hint="eastAsia" w:ascii="Times New Roman" w:eastAsia="仿宋_GB2312"/>
          <w:b w:val="0"/>
          <w:sz w:val="32"/>
          <w:szCs w:val="32"/>
          <w:lang w:eastAsia="zh-CN"/>
        </w:rPr>
        <w:t>本单位无</w:t>
      </w:r>
      <w:r>
        <w:rPr>
          <w:rFonts w:ascii="Times New Roman" w:eastAsia="仿宋_GB2312"/>
          <w:b w:val="0"/>
          <w:sz w:val="32"/>
          <w:szCs w:val="32"/>
        </w:rPr>
        <w:t>政府性基金预算财政拨款。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w:t>
      </w:r>
      <w:r>
        <w:rPr>
          <w:rFonts w:hint="eastAsia" w:ascii="Times New Roman" w:eastAsia="仿宋_GB2312"/>
          <w:b w:val="0"/>
          <w:sz w:val="32"/>
          <w:szCs w:val="32"/>
          <w:lang w:eastAsia="zh-CN"/>
        </w:rPr>
        <w:t>本单位无</w:t>
      </w:r>
      <w:r>
        <w:rPr>
          <w:rFonts w:ascii="Times New Roman" w:eastAsia="仿宋_GB2312"/>
          <w:b w:val="0"/>
          <w:sz w:val="32"/>
          <w:szCs w:val="32"/>
        </w:rPr>
        <w:t>国有资本经营预算财政拨款。</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本部门2025年度财政拨款本年收入1,920.95万元，完成年初预算的110.6%，比年初预算增加183.62万元，决算数大于预算数主要原因是</w:t>
      </w:r>
      <w:r>
        <w:rPr>
          <w:rFonts w:hint="eastAsia" w:ascii="Times New Roman" w:eastAsia="仿宋_GB2312"/>
          <w:b w:val="0"/>
          <w:sz w:val="32"/>
          <w:szCs w:val="32"/>
          <w:lang w:eastAsia="zh-CN"/>
        </w:rPr>
        <w:t>人员调整和办案数量增加等原因本单位在年中追加预算</w:t>
      </w:r>
      <w:r>
        <w:rPr>
          <w:rFonts w:ascii="Times New Roman" w:eastAsia="仿宋_GB2312"/>
          <w:b w:val="0"/>
          <w:sz w:val="32"/>
          <w:szCs w:val="32"/>
        </w:rPr>
        <w:t>；本年支出1,920.95万元，完成年初预算的110.6%，比年初预算增加183.62万元，决算数大于预算数主要原因是</w:t>
      </w:r>
      <w:r>
        <w:rPr>
          <w:rFonts w:hint="eastAsia" w:ascii="Times New Roman" w:eastAsia="仿宋_GB2312"/>
          <w:b w:val="0"/>
          <w:sz w:val="32"/>
          <w:szCs w:val="32"/>
          <w:lang w:eastAsia="zh-CN"/>
        </w:rPr>
        <w:t>人员调整和办案数量增加等</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一般公共预算财政拨款本年收入完成年初预算的110.6%，比年初预算增加183.62万元，主要原因是；支出完成年初预算的110.6%，比年初预算增加183.62万元，主要原因是。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2. </w:t>
      </w:r>
      <w:r>
        <w:rPr>
          <w:rFonts w:hint="eastAsia" w:ascii="Times New Roman" w:eastAsia="仿宋_GB2312"/>
          <w:b w:val="0"/>
          <w:sz w:val="32"/>
          <w:szCs w:val="32"/>
          <w:lang w:eastAsia="zh-CN"/>
        </w:rPr>
        <w:t>本单位无</w:t>
      </w:r>
      <w:r>
        <w:rPr>
          <w:rFonts w:ascii="Times New Roman" w:eastAsia="仿宋_GB2312"/>
          <w:b w:val="0"/>
          <w:sz w:val="32"/>
          <w:szCs w:val="32"/>
        </w:rPr>
        <w:t>政府性基金预算财政拨款。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w:t>
      </w:r>
      <w:r>
        <w:rPr>
          <w:rFonts w:hint="eastAsia" w:ascii="Times New Roman" w:eastAsia="仿宋_GB2312"/>
          <w:b w:val="0"/>
          <w:sz w:val="32"/>
          <w:szCs w:val="32"/>
          <w:lang w:eastAsia="zh-CN"/>
        </w:rPr>
        <w:t>本单位无</w:t>
      </w:r>
      <w:r>
        <w:rPr>
          <w:rFonts w:ascii="Times New Roman" w:eastAsia="仿宋_GB2312"/>
          <w:b w:val="0"/>
          <w:sz w:val="32"/>
          <w:szCs w:val="32"/>
        </w:rPr>
        <w:t>国有资本经营预算财政拨款。</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2025年度财政拨款支出1,920.95万元，主要用于以下方面：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公共安全类（类）支出1,681.18万元，占87.5%，主要用于</w:t>
      </w:r>
      <w:r>
        <w:rPr>
          <w:rFonts w:hint="eastAsia" w:ascii="Times New Roman" w:eastAsia="仿宋_GB2312"/>
          <w:b w:val="0"/>
          <w:sz w:val="32"/>
          <w:szCs w:val="32"/>
          <w:lang w:eastAsia="zh-CN"/>
        </w:rPr>
        <w:t>单位运转保障</w:t>
      </w:r>
      <w:r>
        <w:rPr>
          <w:rFonts w:ascii="Times New Roman" w:eastAsia="仿宋_GB2312"/>
          <w:b w:val="0"/>
          <w:sz w:val="32"/>
          <w:szCs w:val="32"/>
        </w:rPr>
        <w:t>等支出</w:t>
      </w:r>
      <w:r>
        <w:rPr>
          <w:rFonts w:hint="eastAsia" w:ascii="Times New Roman" w:eastAsia="仿宋_GB2312"/>
          <w:b w:val="0"/>
          <w:sz w:val="32"/>
          <w:szCs w:val="32"/>
          <w:lang w:eastAsia="zh-CN"/>
        </w:rPr>
        <w:t>；</w:t>
      </w:r>
      <w:r>
        <w:rPr>
          <w:rFonts w:ascii="Times New Roman" w:eastAsia="仿宋_GB2312"/>
          <w:b w:val="0"/>
          <w:sz w:val="32"/>
          <w:szCs w:val="32"/>
        </w:rPr>
        <w:t>社会保障和就业 （类）支出135.83万元，占7.1%，主要用于</w:t>
      </w:r>
      <w:r>
        <w:rPr>
          <w:rFonts w:hint="eastAsia" w:ascii="Times New Roman" w:eastAsia="仿宋_GB2312"/>
          <w:b w:val="0"/>
          <w:sz w:val="32"/>
          <w:szCs w:val="32"/>
          <w:lang w:eastAsia="zh-CN"/>
        </w:rPr>
        <w:t>人员社会保险</w:t>
      </w:r>
      <w:r>
        <w:rPr>
          <w:rFonts w:ascii="Times New Roman" w:eastAsia="仿宋_GB2312"/>
          <w:b w:val="0"/>
          <w:sz w:val="32"/>
          <w:szCs w:val="32"/>
        </w:rPr>
        <w:t>等支出；卫生健康（类）支出41.19万元，占2.1%，主要用于</w:t>
      </w:r>
      <w:r>
        <w:rPr>
          <w:rFonts w:hint="eastAsia" w:ascii="Times New Roman" w:eastAsia="仿宋_GB2312"/>
          <w:b w:val="0"/>
          <w:sz w:val="32"/>
          <w:szCs w:val="32"/>
          <w:lang w:eastAsia="zh-CN"/>
        </w:rPr>
        <w:t>人员医疗保险</w:t>
      </w:r>
      <w:r>
        <w:rPr>
          <w:rFonts w:ascii="Times New Roman" w:eastAsia="仿宋_GB2312"/>
          <w:b w:val="0"/>
          <w:sz w:val="32"/>
          <w:szCs w:val="32"/>
        </w:rPr>
        <w:t>等支出；住房保障（类）支出62.74万元，占3.3%，主要用于</w:t>
      </w:r>
      <w:r>
        <w:rPr>
          <w:rFonts w:hint="eastAsia" w:ascii="Times New Roman" w:eastAsia="仿宋_GB2312"/>
          <w:b w:val="0"/>
          <w:sz w:val="32"/>
          <w:szCs w:val="32"/>
          <w:lang w:eastAsia="zh-CN"/>
        </w:rPr>
        <w:t>人员住房公积金</w:t>
      </w:r>
      <w:r>
        <w:rPr>
          <w:rFonts w:ascii="Times New Roman" w:eastAsia="仿宋_GB2312"/>
          <w:b w:val="0"/>
          <w:sz w:val="32"/>
          <w:szCs w:val="32"/>
        </w:rPr>
        <w:t>等支出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b w:val="0"/>
          <w:sz w:val="32"/>
          <w:szCs w:val="32"/>
          <w:lang w:eastAsia="zh-CN"/>
        </w:rPr>
        <w:t>本单位无</w:t>
      </w:r>
      <w:r>
        <w:rPr>
          <w:rFonts w:ascii="Times New Roman" w:eastAsia="仿宋_GB2312"/>
          <w:b w:val="0"/>
          <w:sz w:val="32"/>
          <w:szCs w:val="32"/>
        </w:rPr>
        <w:t>政府性基金预算财政拨款支出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本单位无国有资本经营预算财政拨款支出。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2025年度财政拨款基本支出1,012.42万元，其中：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860.23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152.19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本部门2025年度“三公”经费财政拨款支出预算为29.30万元，支出决算为27.70万元，完成预算的94.5%，较预算减少1.60万元，降低5.5%，主要原因是；较2024年度决算减少2.00万元，降低6.7%，主要原因是</w:t>
      </w:r>
      <w:r>
        <w:rPr>
          <w:rFonts w:ascii="Times New Roman" w:eastAsia="仿宋_GB2312"/>
          <w:sz w:val="32"/>
          <w:szCs w:val="32"/>
        </w:rPr>
        <w:t>本年公务用车</w:t>
      </w:r>
      <w:r>
        <w:rPr>
          <w:rFonts w:hint="eastAsia" w:ascii="Times New Roman" w:eastAsia="仿宋_GB2312"/>
          <w:sz w:val="32"/>
          <w:szCs w:val="32"/>
          <w:lang w:eastAsia="zh-CN"/>
        </w:rPr>
        <w:t>维修消耗等</w:t>
      </w:r>
      <w:r>
        <w:rPr>
          <w:rFonts w:ascii="Times New Roman" w:eastAsia="仿宋_GB2312"/>
          <w:sz w:val="32"/>
          <w:szCs w:val="32"/>
        </w:rPr>
        <w:t>支出减少</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w:t>
      </w:r>
      <w:r>
        <w:rPr>
          <w:rFonts w:hint="eastAsia" w:ascii="Times New Roman" w:eastAsia="楷体_GB2312"/>
          <w:b/>
          <w:sz w:val="32"/>
          <w:szCs w:val="32"/>
          <w:lang w:eastAsia="zh-CN"/>
        </w:rPr>
        <w:t>本单位无</w:t>
      </w:r>
      <w:r>
        <w:rPr>
          <w:rFonts w:ascii="Times New Roman" w:eastAsia="楷体_GB2312"/>
          <w:b/>
          <w:sz w:val="32"/>
          <w:szCs w:val="32"/>
        </w:rPr>
        <w:t>因公出国（境）费支出情况。</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本部门2025年度公务用车购置及运行维护费预算为27.70万元，支出决算27.70万元，完成预算的100.0%,较预算增加0.00万元，增长0.0%,主要原因是；较上年减少2.00万元，降低6.7%,主要原因是。其中：</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hint="eastAsia" w:ascii="Times New Roman" w:eastAsia="仿宋_GB2312"/>
          <w:b/>
          <w:sz w:val="32"/>
          <w:szCs w:val="32"/>
          <w:lang w:eastAsia="zh-CN"/>
        </w:rPr>
        <w:t>本单位无</w:t>
      </w:r>
      <w:r>
        <w:rPr>
          <w:rFonts w:ascii="Times New Roman" w:eastAsia="仿宋_GB2312"/>
          <w:b/>
          <w:sz w:val="32"/>
          <w:szCs w:val="32"/>
        </w:rPr>
        <w:t>公务用车购置费支出0.00万元</w:t>
      </w:r>
      <w:r>
        <w:rPr>
          <w:rFonts w:hint="eastAsia" w:ascii="Times New Roman" w:eastAsia="仿宋_GB2312"/>
          <w:b/>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公务用车运行维护费支出27.70万元：</w:t>
      </w:r>
      <w:r>
        <w:rPr>
          <w:rFonts w:ascii="Times New Roman" w:eastAsia="仿宋_GB2312"/>
          <w:b w:val="0"/>
          <w:sz w:val="32"/>
          <w:szCs w:val="32"/>
        </w:rPr>
        <w:t>本部门2025年度单位公务用车保有量10辆，发生运行维护费支出27.70万元。公车运行维护费支出较预算增加0.00万元，增长0.0%,主要原因是；较上年减少2.00万元，降低6.7%，主要原因是</w:t>
      </w:r>
      <w:r>
        <w:rPr>
          <w:rFonts w:ascii="Times New Roman" w:eastAsia="仿宋_GB2312"/>
          <w:sz w:val="32"/>
          <w:szCs w:val="32"/>
        </w:rPr>
        <w:t>厉行节约</w:t>
      </w:r>
      <w:r>
        <w:rPr>
          <w:rFonts w:hint="eastAsia" w:ascii="Times New Roman" w:eastAsia="仿宋_GB2312"/>
          <w:sz w:val="32"/>
          <w:szCs w:val="32"/>
        </w:rPr>
        <w:t>，</w:t>
      </w:r>
      <w:r>
        <w:rPr>
          <w:rFonts w:ascii="Times New Roman" w:eastAsia="仿宋_GB2312"/>
          <w:sz w:val="32"/>
          <w:szCs w:val="32"/>
        </w:rPr>
        <w:t>减少支出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本部门2025年度公务接待费支出预算为1.60万元，支出决算0.00万元，完成预算的0.0%。公务接待费支出较预算减少1.60万元，降低100.0%,主要原因是；较上年度增加0.00万元，增长0.00%,主要原因是</w:t>
      </w:r>
      <w:r>
        <w:rPr>
          <w:rFonts w:ascii="Times New Roman" w:eastAsia="仿宋_GB2312"/>
          <w:sz w:val="32"/>
          <w:szCs w:val="32"/>
        </w:rPr>
        <w:t>厉行节约</w:t>
      </w:r>
      <w:r>
        <w:rPr>
          <w:rFonts w:hint="eastAsia" w:ascii="Times New Roman" w:eastAsia="仿宋_GB2312"/>
          <w:sz w:val="32"/>
          <w:szCs w:val="32"/>
        </w:rPr>
        <w:t>，</w:t>
      </w:r>
      <w:r>
        <w:rPr>
          <w:rFonts w:ascii="Times New Roman" w:eastAsia="仿宋_GB2312"/>
          <w:sz w:val="32"/>
          <w:szCs w:val="32"/>
        </w:rPr>
        <w:t>减少支出</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本部门2025年度机关运行经费支出152.19万元，较2024年度增加6.56万元，增长4.5%。主要原因是</w:t>
      </w:r>
      <w:r>
        <w:rPr>
          <w:rFonts w:hint="eastAsia" w:ascii="Times New Roman" w:eastAsia="仿宋_GB2312"/>
          <w:b w:val="0"/>
          <w:sz w:val="32"/>
          <w:szCs w:val="32"/>
          <w:lang w:eastAsia="zh-CN"/>
        </w:rPr>
        <w:t>我单位维修成本以及运行成本增加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截至2025年12月31日，本部门共有车辆10辆，</w:t>
      </w:r>
      <w:r>
        <w:rPr>
          <w:rFonts w:hint="eastAsia" w:ascii="Times New Roman" w:eastAsia="仿宋_GB2312"/>
          <w:b w:val="0"/>
          <w:sz w:val="32"/>
          <w:szCs w:val="32"/>
          <w:lang w:eastAsia="zh-CN"/>
        </w:rPr>
        <w:t>与上年持平</w:t>
      </w:r>
      <w:r>
        <w:rPr>
          <w:rFonts w:ascii="Times New Roman" w:eastAsia="仿宋_GB2312"/>
          <w:b w:val="0"/>
          <w:sz w:val="32"/>
          <w:szCs w:val="32"/>
        </w:rPr>
        <w:t>。其中，副部（省）级及以上领导用车0辆，主要负责人用车0辆，机要通信用车0辆，应急保障用车1辆，执法执勤用车7辆，特种专业技术用车2辆，离退休干部用车0辆，其他用车0辆，其他用车主要是。单位价值100万元（含）以上设备（不含车辆）1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1920.95</w:t>
      </w:r>
      <w:r>
        <w:rPr>
          <w:rFonts w:ascii="Times New Roman" w:eastAsia="仿宋_GB2312"/>
          <w:b w:val="0"/>
          <w:sz w:val="32"/>
          <w:szCs w:val="32"/>
        </w:rPr>
        <w:t>万元（决算金额）。其中，一般公共预算项目个</w:t>
      </w:r>
      <w:r>
        <w:rPr>
          <w:rFonts w:hint="eastAsia" w:ascii="Times New Roman" w:eastAsia="仿宋_GB2312"/>
          <w:b w:val="0"/>
          <w:sz w:val="32"/>
          <w:szCs w:val="32"/>
          <w:lang w:val="en-US" w:eastAsia="zh-CN"/>
        </w:rPr>
        <w:t>17</w:t>
      </w:r>
      <w:r>
        <w:rPr>
          <w:rFonts w:ascii="Times New Roman" w:eastAsia="仿宋_GB2312"/>
          <w:b w:val="0"/>
          <w:sz w:val="32"/>
          <w:szCs w:val="32"/>
        </w:rPr>
        <w:t>，涉及资金</w:t>
      </w:r>
      <w:r>
        <w:rPr>
          <w:rFonts w:hint="eastAsia" w:ascii="Times New Roman" w:eastAsia="仿宋_GB2312"/>
          <w:sz w:val="32"/>
          <w:szCs w:val="32"/>
          <w:lang w:val="en-US" w:eastAsia="zh-CN"/>
        </w:rPr>
        <w:t>1920.95</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聘用制书记员人员经费</w:t>
      </w:r>
      <w:r>
        <w:rPr>
          <w:rFonts w:ascii="Times New Roman" w:eastAsia="仿宋_GB2312"/>
          <w:b w:val="0"/>
          <w:sz w:val="32"/>
          <w:szCs w:val="32"/>
        </w:rPr>
        <w:t>项目开展了部门重点评价，涉及一般公共预算支出</w:t>
      </w:r>
      <w:r>
        <w:rPr>
          <w:rFonts w:hint="eastAsia" w:ascii="Times New Roman" w:eastAsia="仿宋_GB2312"/>
          <w:b w:val="0"/>
          <w:sz w:val="32"/>
          <w:szCs w:val="32"/>
        </w:rPr>
        <w:t>222.84</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sz w:val="32"/>
          <w:szCs w:val="32"/>
        </w:rPr>
        <w:t>有效保障了法院各项工作的正常运转，维护社会稳定</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eastAsia="zh-CN"/>
        </w:rPr>
        <w:t>聘用制书记员人员经费</w:t>
      </w:r>
      <w:r>
        <w:rPr>
          <w:rFonts w:ascii="Times New Roman" w:eastAsia="仿宋_GB2312"/>
          <w:b w:val="0"/>
          <w:sz w:val="32"/>
          <w:szCs w:val="32"/>
        </w:rPr>
        <w:t>等</w:t>
      </w:r>
      <w:r>
        <w:rPr>
          <w:rFonts w:hint="eastAsia" w:ascii="Times New Roman" w:eastAsia="仿宋_GB2312"/>
          <w:b w:val="0"/>
          <w:sz w:val="32"/>
          <w:szCs w:val="32"/>
          <w:lang w:val="en-US" w:eastAsia="zh-CN"/>
        </w:rPr>
        <w:t>17</w:t>
      </w:r>
      <w:r>
        <w:rPr>
          <w:rFonts w:ascii="Times New Roman" w:eastAsia="仿宋_GB2312"/>
          <w:b w:val="0"/>
          <w:sz w:val="32"/>
          <w:szCs w:val="32"/>
        </w:rPr>
        <w:t>个项目绩效自评结果。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b w:val="0"/>
          <w:sz w:val="32"/>
          <w:szCs w:val="32"/>
        </w:rPr>
        <w:t>聘用制书记员人员经费项目绩效自评情况：根据年初设定的绩效目标，项目绩效自评得分为</w:t>
      </w:r>
      <w:r>
        <w:rPr>
          <w:rFonts w:hint="eastAsia" w:ascii="Times New Roman" w:eastAsia="仿宋_GB2312"/>
          <w:b w:val="0"/>
          <w:sz w:val="32"/>
          <w:szCs w:val="32"/>
          <w:lang w:val="en-US" w:eastAsia="zh-CN"/>
        </w:rPr>
        <w:t>96</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156</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149.53</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95.81</w:t>
      </w:r>
      <w:r>
        <w:rPr>
          <w:rFonts w:hint="eastAsia" w:ascii="Times New Roman" w:eastAsia="仿宋_GB2312"/>
          <w:b w:val="0"/>
          <w:sz w:val="32"/>
          <w:szCs w:val="32"/>
        </w:rPr>
        <w:t>%。</w:t>
      </w:r>
      <w:r>
        <w:rPr>
          <w:rFonts w:hint="eastAsia" w:ascii="Times New Roman" w:eastAsia="仿宋_GB2312"/>
          <w:sz w:val="32"/>
          <w:szCs w:val="32"/>
        </w:rPr>
        <w:t xml:space="preserve">项目绩效目标完成情况：2024 年我院聘用制书记员人数为 </w:t>
      </w:r>
      <w:r>
        <w:rPr>
          <w:rFonts w:hint="eastAsia" w:ascii="Times New Roman" w:eastAsia="仿宋_GB2312"/>
          <w:sz w:val="32"/>
          <w:szCs w:val="32"/>
          <w:lang w:val="en-US" w:eastAsia="zh-CN"/>
        </w:rPr>
        <w:t>21</w:t>
      </w:r>
      <w:r>
        <w:rPr>
          <w:rFonts w:hint="eastAsia" w:ascii="Times New Roman" w:eastAsia="仿宋_GB2312"/>
          <w:sz w:val="32"/>
          <w:szCs w:val="32"/>
        </w:rPr>
        <w:t xml:space="preserve"> 人，人员满勤率达到 9</w:t>
      </w:r>
      <w:r>
        <w:rPr>
          <w:rFonts w:hint="eastAsia" w:ascii="Times New Roman" w:eastAsia="仿宋_GB2312"/>
          <w:sz w:val="32"/>
          <w:szCs w:val="32"/>
          <w:lang w:val="en-US" w:eastAsia="zh-CN"/>
        </w:rPr>
        <w:t>7</w:t>
      </w:r>
      <w:r>
        <w:rPr>
          <w:rFonts w:hint="eastAsia" w:ascii="Times New Roman" w:eastAsia="仿宋_GB2312"/>
          <w:sz w:val="32"/>
          <w:szCs w:val="32"/>
        </w:rPr>
        <w:t xml:space="preserve">%以上，成本控制在 </w:t>
      </w:r>
      <w:r>
        <w:rPr>
          <w:rFonts w:hint="eastAsia" w:ascii="Times New Roman" w:eastAsia="仿宋_GB2312"/>
          <w:sz w:val="32"/>
          <w:szCs w:val="32"/>
          <w:lang w:val="en-US" w:eastAsia="zh-CN"/>
        </w:rPr>
        <w:t>156</w:t>
      </w:r>
      <w:r>
        <w:rPr>
          <w:rFonts w:hint="eastAsia" w:ascii="Times New Roman" w:eastAsia="仿宋_GB2312"/>
          <w:sz w:val="32"/>
          <w:szCs w:val="32"/>
        </w:rPr>
        <w:t>万元以内，预算执行率达到</w:t>
      </w:r>
      <w:r>
        <w:rPr>
          <w:rFonts w:hint="eastAsia" w:ascii="Times New Roman" w:eastAsia="仿宋_GB2312"/>
          <w:sz w:val="32"/>
          <w:szCs w:val="32"/>
          <w:lang w:val="en-US" w:eastAsia="zh-CN"/>
        </w:rPr>
        <w:t>95.81</w:t>
      </w:r>
      <w:r>
        <w:rPr>
          <w:rFonts w:hint="eastAsia" w:ascii="Times New Roman" w:eastAsia="仿宋_GB2312"/>
          <w:sz w:val="32"/>
          <w:szCs w:val="32"/>
        </w:rPr>
        <w:t xml:space="preserve">%，有效保障了法院各项工作的正常运转，维护社会稳定。通过项目实施，完成了年初设定的各项绩效目标，发现的问题是预算执行率未达 </w:t>
      </w:r>
      <w:r>
        <w:rPr>
          <w:rFonts w:hint="eastAsia" w:ascii="Times New Roman" w:eastAsia="仿宋_GB2312"/>
          <w:sz w:val="32"/>
          <w:szCs w:val="32"/>
          <w:lang w:val="en-US" w:eastAsia="zh-CN"/>
        </w:rPr>
        <w:t>100</w:t>
      </w:r>
      <w:r>
        <w:rPr>
          <w:rFonts w:hint="eastAsia" w:ascii="Times New Roman" w:eastAsia="仿宋_GB2312"/>
          <w:sz w:val="32"/>
          <w:szCs w:val="32"/>
        </w:rPr>
        <w:t>%，主要原因为存在年初资金安排待细化，下一步需加强预算管理</w:t>
      </w:r>
      <w:r>
        <w:rPr>
          <w:rFonts w:hint="eastAsia" w:ascii="Times New Roman" w:eastAsia="仿宋_GB2312"/>
          <w:sz w:val="32"/>
          <w:szCs w:val="32"/>
          <w:lang w:eastAsia="zh-CN"/>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专用材料购置</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92</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0.96</w:t>
      </w:r>
      <w:r>
        <w:rPr>
          <w:rFonts w:ascii="Times New Roman" w:eastAsia="仿宋_GB2312"/>
          <w:b w:val="0"/>
          <w:sz w:val="32"/>
          <w:szCs w:val="32"/>
        </w:rPr>
        <w:t>万元，完成预算的</w:t>
      </w:r>
      <w:r>
        <w:rPr>
          <w:rFonts w:hint="eastAsia" w:ascii="Times New Roman" w:eastAsia="仿宋_GB2312"/>
          <w:b w:val="0"/>
          <w:sz w:val="32"/>
          <w:szCs w:val="32"/>
          <w:lang w:val="en-US" w:eastAsia="zh-CN"/>
        </w:rPr>
        <w:t>95.8</w:t>
      </w:r>
      <w:r>
        <w:rPr>
          <w:rFonts w:ascii="Times New Roman" w:eastAsia="仿宋_GB2312"/>
          <w:b w:val="0"/>
          <w:sz w:val="32"/>
          <w:szCs w:val="32"/>
        </w:rPr>
        <w:t>%。</w:t>
      </w:r>
      <w:r>
        <w:rPr>
          <w:rFonts w:hint="eastAsia" w:ascii="Times New Roman" w:eastAsia="仿宋_GB2312"/>
          <w:b w:val="0"/>
          <w:sz w:val="32"/>
          <w:szCs w:val="32"/>
          <w:lang w:eastAsia="zh-CN"/>
        </w:rPr>
        <w:t>通</w:t>
      </w:r>
      <w:r>
        <w:rPr>
          <w:rFonts w:hint="eastAsia" w:ascii="Times New Roman" w:eastAsia="仿宋_GB2312"/>
          <w:b w:val="0"/>
          <w:sz w:val="32"/>
          <w:szCs w:val="32"/>
        </w:rPr>
        <w:t>过项目实施，完成了年初设定的各项绩效目标，保障了干警的办公环境，提高办案效率。未发现问题。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专项邮电费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93</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w:t>
      </w:r>
      <w:r>
        <w:rPr>
          <w:rFonts w:ascii="Times New Roman" w:eastAsia="仿宋_GB2312"/>
          <w:b w:val="0"/>
          <w:sz w:val="32"/>
          <w:szCs w:val="32"/>
        </w:rPr>
        <w:t>万元，执行数为</w:t>
      </w:r>
      <w:r>
        <w:rPr>
          <w:rFonts w:hint="eastAsia" w:ascii="Times New Roman" w:eastAsia="仿宋_GB2312"/>
          <w:b w:val="0"/>
          <w:sz w:val="32"/>
          <w:szCs w:val="32"/>
          <w:lang w:val="en-US" w:eastAsia="zh-CN"/>
        </w:rPr>
        <w:t>0.94</w:t>
      </w:r>
      <w:r>
        <w:rPr>
          <w:rFonts w:ascii="Times New Roman" w:eastAsia="仿宋_GB2312"/>
          <w:b w:val="0"/>
          <w:sz w:val="32"/>
          <w:szCs w:val="32"/>
        </w:rPr>
        <w:t>万元，完成预算的</w:t>
      </w:r>
      <w:r>
        <w:rPr>
          <w:rFonts w:hint="eastAsia" w:ascii="Times New Roman" w:eastAsia="仿宋_GB2312"/>
          <w:b w:val="0"/>
          <w:sz w:val="32"/>
          <w:szCs w:val="32"/>
          <w:lang w:val="en-US" w:eastAsia="zh-CN"/>
        </w:rPr>
        <w:t>47</w:t>
      </w:r>
      <w:r>
        <w:rPr>
          <w:rFonts w:ascii="Times New Roman" w:eastAsia="仿宋_GB2312"/>
          <w:b w:val="0"/>
          <w:sz w:val="32"/>
          <w:szCs w:val="32"/>
        </w:rPr>
        <w:t>%。</w:t>
      </w:r>
      <w:r>
        <w:rPr>
          <w:rFonts w:hint="eastAsia" w:ascii="Times New Roman" w:eastAsia="仿宋_GB2312"/>
          <w:b w:val="0"/>
          <w:sz w:val="32"/>
          <w:szCs w:val="32"/>
          <w:lang w:eastAsia="zh-CN"/>
        </w:rPr>
        <w:t>通</w:t>
      </w:r>
      <w:r>
        <w:rPr>
          <w:rFonts w:hint="eastAsia" w:ascii="Times New Roman" w:eastAsia="仿宋_GB2312"/>
          <w:b w:val="0"/>
          <w:sz w:val="32"/>
          <w:szCs w:val="32"/>
        </w:rPr>
        <w:t>过项目实施，完成了年初设定的各项绩效目标，保障了干警的办公环境，提高办案效率。未发现问题。</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b w:val="0"/>
          <w:sz w:val="32"/>
          <w:szCs w:val="32"/>
        </w:rPr>
        <w:t>业务保障经费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60</w:t>
      </w:r>
      <w:r>
        <w:rPr>
          <w:rFonts w:ascii="Times New Roman" w:eastAsia="仿宋_GB2312"/>
          <w:b w:val="0"/>
          <w:sz w:val="32"/>
          <w:szCs w:val="32"/>
        </w:rPr>
        <w:t>分（绩效自评表附后）。全年预算数</w:t>
      </w:r>
      <w:r>
        <w:rPr>
          <w:rFonts w:hint="eastAsia" w:ascii="Times New Roman" w:eastAsia="仿宋_GB2312"/>
          <w:b w:val="0"/>
          <w:sz w:val="32"/>
          <w:szCs w:val="32"/>
          <w:lang w:val="en-US" w:eastAsia="zh-CN"/>
        </w:rPr>
        <w:t>95</w:t>
      </w:r>
      <w:r>
        <w:rPr>
          <w:rFonts w:ascii="Times New Roman" w:eastAsia="仿宋_GB2312"/>
          <w:b w:val="0"/>
          <w:sz w:val="32"/>
          <w:szCs w:val="32"/>
        </w:rPr>
        <w:t>万元，执行数为</w:t>
      </w:r>
      <w:r>
        <w:rPr>
          <w:rFonts w:hint="eastAsia" w:ascii="Times New Roman" w:eastAsia="仿宋_GB2312"/>
          <w:b w:val="0"/>
          <w:sz w:val="32"/>
          <w:szCs w:val="32"/>
          <w:lang w:val="en-US" w:eastAsia="zh-CN"/>
        </w:rPr>
        <w:t>20.64</w:t>
      </w:r>
      <w:r>
        <w:rPr>
          <w:rFonts w:ascii="Times New Roman" w:eastAsia="仿宋_GB2312"/>
          <w:b w:val="0"/>
          <w:sz w:val="32"/>
          <w:szCs w:val="32"/>
        </w:rPr>
        <w:t>万元，完成预算的</w:t>
      </w:r>
      <w:r>
        <w:rPr>
          <w:rFonts w:hint="eastAsia" w:ascii="Times New Roman" w:eastAsia="仿宋_GB2312"/>
          <w:b w:val="0"/>
          <w:sz w:val="32"/>
          <w:szCs w:val="32"/>
          <w:lang w:val="en-US" w:eastAsia="zh-CN"/>
        </w:rPr>
        <w:t>21.73</w:t>
      </w:r>
      <w:r>
        <w:rPr>
          <w:rFonts w:ascii="Times New Roman" w:eastAsia="仿宋_GB2312"/>
          <w:b w:val="0"/>
          <w:sz w:val="32"/>
          <w:szCs w:val="32"/>
        </w:rPr>
        <w:t>%。</w:t>
      </w:r>
      <w:r>
        <w:rPr>
          <w:rFonts w:hint="eastAsia" w:ascii="Times New Roman" w:eastAsia="仿宋_GB2312"/>
          <w:sz w:val="32"/>
          <w:szCs w:val="32"/>
        </w:rPr>
        <w:t>通过项目实施，完成了年初设定的各项绩效目标，保障了</w:t>
      </w:r>
      <w:r>
        <w:rPr>
          <w:rFonts w:hint="eastAsia" w:ascii="Times New Roman" w:eastAsia="仿宋_GB2312"/>
          <w:sz w:val="32"/>
          <w:szCs w:val="32"/>
          <w:lang w:eastAsia="zh-CN"/>
        </w:rPr>
        <w:t>法院</w:t>
      </w:r>
      <w:r>
        <w:rPr>
          <w:rFonts w:hint="eastAsia" w:ascii="Times New Roman" w:eastAsia="仿宋_GB2312"/>
          <w:sz w:val="32"/>
          <w:szCs w:val="32"/>
        </w:rPr>
        <w:t>工作顺利开展。未发现问题。</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b w:val="0"/>
          <w:sz w:val="32"/>
          <w:szCs w:val="32"/>
        </w:rPr>
        <w:t>物业管理费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87</w:t>
      </w:r>
      <w:r>
        <w:rPr>
          <w:rFonts w:ascii="Times New Roman" w:eastAsia="仿宋_GB2312"/>
          <w:b w:val="0"/>
          <w:sz w:val="32"/>
          <w:szCs w:val="32"/>
        </w:rPr>
        <w:t>分（绩效自评表附后）。全年预算数</w:t>
      </w:r>
      <w:r>
        <w:rPr>
          <w:rFonts w:hint="eastAsia" w:ascii="Times New Roman" w:eastAsia="仿宋_GB2312"/>
          <w:b w:val="0"/>
          <w:sz w:val="32"/>
          <w:szCs w:val="32"/>
          <w:lang w:val="en-US" w:eastAsia="zh-CN"/>
        </w:rPr>
        <w:t>36</w:t>
      </w:r>
      <w:r>
        <w:rPr>
          <w:rFonts w:ascii="Times New Roman" w:eastAsia="仿宋_GB2312"/>
          <w:b w:val="0"/>
          <w:sz w:val="32"/>
          <w:szCs w:val="32"/>
        </w:rPr>
        <w:t>万元，执行数为</w:t>
      </w:r>
      <w:r>
        <w:rPr>
          <w:rFonts w:hint="eastAsia" w:ascii="Times New Roman" w:eastAsia="仿宋_GB2312"/>
          <w:b w:val="0"/>
          <w:sz w:val="32"/>
          <w:szCs w:val="32"/>
          <w:lang w:val="en-US" w:eastAsia="zh-CN"/>
        </w:rPr>
        <w:t>20.9</w:t>
      </w:r>
      <w:r>
        <w:rPr>
          <w:rFonts w:ascii="Times New Roman" w:eastAsia="仿宋_GB2312"/>
          <w:b w:val="0"/>
          <w:sz w:val="32"/>
          <w:szCs w:val="32"/>
        </w:rPr>
        <w:t>万元，完成预算的</w:t>
      </w:r>
      <w:r>
        <w:rPr>
          <w:rFonts w:hint="eastAsia" w:ascii="Times New Roman" w:eastAsia="仿宋_GB2312"/>
          <w:b w:val="0"/>
          <w:sz w:val="32"/>
          <w:szCs w:val="32"/>
          <w:lang w:val="en-US" w:eastAsia="zh-CN"/>
        </w:rPr>
        <w:t>58.06</w:t>
      </w:r>
      <w:r>
        <w:rPr>
          <w:rFonts w:ascii="Times New Roman" w:eastAsia="仿宋_GB2312"/>
          <w:b w:val="0"/>
          <w:sz w:val="32"/>
          <w:szCs w:val="32"/>
        </w:rPr>
        <w:t>%。</w:t>
      </w:r>
      <w:r>
        <w:rPr>
          <w:rFonts w:hint="eastAsia" w:ascii="Times New Roman" w:eastAsia="仿宋_GB2312"/>
          <w:sz w:val="32"/>
          <w:szCs w:val="32"/>
        </w:rPr>
        <w:t>通过项目实施，完成了年初设定的各项绩效目标，保障了办公环境卫生，后勤安全保障。未发现问题。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文件资料印刷费项目绩效自评情况：根据年初设定的绩效目标，项目绩效自评得分为</w:t>
      </w:r>
      <w:r>
        <w:rPr>
          <w:rFonts w:hint="eastAsia" w:ascii="Times New Roman" w:eastAsia="仿宋_GB2312"/>
          <w:b w:val="0"/>
          <w:sz w:val="32"/>
          <w:szCs w:val="32"/>
          <w:lang w:val="en-US" w:eastAsia="zh-CN"/>
        </w:rPr>
        <w:t>86</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1</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0.56</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56</w:t>
      </w:r>
      <w:r>
        <w:rPr>
          <w:rFonts w:hint="eastAsia" w:ascii="Times New Roman" w:eastAsia="仿宋_GB2312"/>
          <w:b w:val="0"/>
          <w:sz w:val="32"/>
          <w:szCs w:val="32"/>
        </w:rPr>
        <w:t>%。通过项目实施，完成了年初设定的各项绩效目标。未发现问题。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省法院建设补助资金项目绩效自评情况：根据年初设定的绩效目标，项目绩效自评得分为</w:t>
      </w:r>
      <w:r>
        <w:rPr>
          <w:rFonts w:hint="eastAsia" w:ascii="Times New Roman" w:eastAsia="仿宋_GB2312"/>
          <w:b w:val="0"/>
          <w:sz w:val="32"/>
          <w:szCs w:val="32"/>
          <w:lang w:val="en-US" w:eastAsia="zh-CN"/>
        </w:rPr>
        <w:t>86</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260.7</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169.48</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65.01</w:t>
      </w:r>
      <w:r>
        <w:rPr>
          <w:rFonts w:hint="eastAsia" w:ascii="Times New Roman" w:eastAsia="仿宋_GB2312"/>
          <w:b w:val="0"/>
          <w:sz w:val="32"/>
          <w:szCs w:val="32"/>
        </w:rPr>
        <w:t>%。通过项目实施，完成了年初设定的各项绩效目标。未发现问题。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省法院建设补助资金项目绩效自评情况：根据年初设定的绩效目标，项目绩效自评得分为</w:t>
      </w:r>
      <w:r>
        <w:rPr>
          <w:rFonts w:hint="eastAsia" w:ascii="Times New Roman" w:eastAsia="仿宋_GB2312"/>
          <w:b w:val="0"/>
          <w:sz w:val="32"/>
          <w:szCs w:val="32"/>
          <w:lang w:val="en-US" w:eastAsia="zh-CN"/>
        </w:rPr>
        <w:t>96</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38.62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30.52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79.03</w:t>
      </w:r>
      <w:r>
        <w:rPr>
          <w:rFonts w:hint="eastAsia" w:ascii="Times New Roman" w:eastAsia="仿宋_GB2312"/>
          <w:b w:val="0"/>
          <w:sz w:val="32"/>
          <w:szCs w:val="32"/>
        </w:rPr>
        <w:t>%。通过项目实施，完成了年初设定的各项绩效目标。未发现问题。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劳务派遣人员经费项目绩效自评情况：根据年初设定的绩效目标，项目绩效自评得分为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233</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222.84</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95.64</w:t>
      </w:r>
      <w:r>
        <w:rPr>
          <w:rFonts w:hint="eastAsia" w:ascii="Times New Roman" w:eastAsia="仿宋_GB2312"/>
          <w:b w:val="0"/>
          <w:sz w:val="32"/>
          <w:szCs w:val="32"/>
        </w:rPr>
        <w:t>%。通过项目实施，完成了年初设定的各项绩效目标，保障了劳务派遣人员工资及养老保险等社保及时发放缴纳。未发现问题。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工作场地租赁费项目绩效自评情况：根据年初设定的绩效目标，项目绩效自评得分为</w:t>
      </w:r>
      <w:r>
        <w:rPr>
          <w:rFonts w:hint="eastAsia" w:ascii="Times New Roman" w:eastAsia="仿宋_GB2312"/>
          <w:b w:val="0"/>
          <w:sz w:val="32"/>
          <w:szCs w:val="32"/>
          <w:lang w:val="en-US" w:eastAsia="zh-CN"/>
        </w:rPr>
        <w:t>90</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10.8</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9.6</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88.89</w:t>
      </w:r>
      <w:r>
        <w:rPr>
          <w:rFonts w:hint="eastAsia" w:ascii="Times New Roman" w:eastAsia="仿宋_GB2312"/>
          <w:b w:val="0"/>
          <w:sz w:val="32"/>
          <w:szCs w:val="32"/>
        </w:rPr>
        <w:t>%。通过项目实施，完成了年初设定的各项绩效目标，保障了干警的办公环境，提高办案效率。未发现问题。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党组织活动经费项目绩效自评情况：根据年初设定的绩效目标，项目绩效自评得分为</w:t>
      </w:r>
      <w:r>
        <w:rPr>
          <w:rFonts w:hint="eastAsia" w:ascii="Times New Roman" w:eastAsia="仿宋_GB2312"/>
          <w:b w:val="0"/>
          <w:sz w:val="32"/>
          <w:szCs w:val="32"/>
          <w:lang w:val="en-US" w:eastAsia="zh-CN"/>
        </w:rPr>
        <w:t>81</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5.64</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3.73</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66.13</w:t>
      </w:r>
      <w:r>
        <w:rPr>
          <w:rFonts w:hint="eastAsia" w:ascii="Times New Roman" w:eastAsia="仿宋_GB2312"/>
          <w:b w:val="0"/>
          <w:sz w:val="32"/>
          <w:szCs w:val="32"/>
        </w:rPr>
        <w:t>%。通过项目实施，完成了年初设定的各项绩效目标，提高党员政治能力及综合素质水平。未发现问题。</w:t>
      </w:r>
    </w:p>
    <w:p>
      <w:pPr>
        <w:widowControl/>
        <w:spacing w:line="360" w:lineRule="auto"/>
        <w:ind w:firstLine="640" w:firstLineChars="200"/>
        <w:jc w:val="left"/>
        <w:rPr>
          <w:rFonts w:hint="eastAsia" w:ascii="Times New Roman" w:eastAsia="仿宋_GB2312"/>
          <w:sz w:val="32"/>
          <w:szCs w:val="32"/>
        </w:rPr>
      </w:pPr>
      <w:bookmarkStart w:id="0" w:name="OLE_LINK5"/>
      <w:r>
        <w:rPr>
          <w:rFonts w:hint="eastAsia" w:ascii="Times New Roman" w:eastAsia="仿宋_GB2312"/>
          <w:sz w:val="32"/>
          <w:szCs w:val="32"/>
        </w:rPr>
        <w:t>单位运行电费等项目</w:t>
      </w:r>
      <w:bookmarkEnd w:id="0"/>
      <w:r>
        <w:rPr>
          <w:rFonts w:hint="eastAsia" w:ascii="Times New Roman" w:eastAsia="仿宋_GB2312"/>
          <w:sz w:val="32"/>
          <w:szCs w:val="32"/>
        </w:rPr>
        <w:t>绩效自评情况：根据年初设定的绩效目标，项目绩效自评得分为</w:t>
      </w:r>
      <w:r>
        <w:rPr>
          <w:rFonts w:hint="eastAsia" w:ascii="Times New Roman" w:eastAsia="仿宋_GB2312"/>
          <w:sz w:val="32"/>
          <w:szCs w:val="32"/>
          <w:lang w:val="en-US" w:eastAsia="zh-CN"/>
        </w:rPr>
        <w:t>91</w:t>
      </w:r>
      <w:r>
        <w:rPr>
          <w:rFonts w:hint="eastAsia" w:ascii="Times New Roman" w:eastAsia="仿宋_GB2312"/>
          <w:sz w:val="32"/>
          <w:szCs w:val="32"/>
        </w:rPr>
        <w:t xml:space="preserve"> 分（绩效自评表附后）。全年预算数为 </w:t>
      </w:r>
      <w:r>
        <w:rPr>
          <w:rFonts w:hint="eastAsia" w:ascii="Times New Roman" w:eastAsia="仿宋_GB2312"/>
          <w:sz w:val="32"/>
          <w:szCs w:val="32"/>
          <w:lang w:val="en-US" w:eastAsia="zh-CN"/>
        </w:rPr>
        <w:t>25</w:t>
      </w:r>
      <w:r>
        <w:rPr>
          <w:rFonts w:hint="eastAsia" w:ascii="Times New Roman" w:eastAsia="仿宋_GB2312"/>
          <w:sz w:val="32"/>
          <w:szCs w:val="32"/>
        </w:rPr>
        <w:t>万元，执行数为</w:t>
      </w:r>
      <w:r>
        <w:rPr>
          <w:rFonts w:hint="eastAsia" w:ascii="Times New Roman" w:eastAsia="仿宋_GB2312"/>
          <w:sz w:val="32"/>
          <w:szCs w:val="32"/>
          <w:lang w:val="en-US" w:eastAsia="zh-CN"/>
        </w:rPr>
        <w:t>19.6</w:t>
      </w:r>
      <w:r>
        <w:rPr>
          <w:rFonts w:hint="eastAsia" w:ascii="Times New Roman" w:eastAsia="仿宋_GB2312"/>
          <w:sz w:val="32"/>
          <w:szCs w:val="32"/>
        </w:rPr>
        <w:t>万元，完成预算的</w:t>
      </w:r>
      <w:r>
        <w:rPr>
          <w:rFonts w:hint="eastAsia" w:ascii="Times New Roman" w:eastAsia="仿宋_GB2312"/>
          <w:sz w:val="32"/>
          <w:szCs w:val="32"/>
          <w:lang w:val="en-US" w:eastAsia="zh-CN"/>
        </w:rPr>
        <w:t>78.4</w:t>
      </w:r>
      <w:r>
        <w:rPr>
          <w:rFonts w:hint="eastAsia" w:ascii="Times New Roman" w:eastAsia="仿宋_GB2312"/>
          <w:sz w:val="32"/>
          <w:szCs w:val="32"/>
        </w:rPr>
        <w:t>%。通过项目实施，完成了年初设定的各项绩效目标，保障了</w:t>
      </w:r>
      <w:r>
        <w:rPr>
          <w:rFonts w:hint="eastAsia" w:ascii="Times New Roman" w:eastAsia="仿宋_GB2312"/>
          <w:sz w:val="32"/>
          <w:szCs w:val="32"/>
          <w:lang w:eastAsia="zh-CN"/>
        </w:rPr>
        <w:t>法院</w:t>
      </w:r>
      <w:r>
        <w:rPr>
          <w:rFonts w:hint="eastAsia" w:ascii="Times New Roman" w:eastAsia="仿宋_GB2312"/>
          <w:sz w:val="32"/>
          <w:szCs w:val="32"/>
        </w:rPr>
        <w:t>工作顺利开展。未发现问题。</w:t>
      </w:r>
    </w:p>
    <w:p>
      <w:pPr>
        <w:widowControl/>
        <w:spacing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省法院建设补助资金项目绩效自评情况：根据年初设定的绩效目标，项目绩效自评得分为</w:t>
      </w:r>
      <w:r>
        <w:rPr>
          <w:rFonts w:hint="eastAsia" w:ascii="Times New Roman" w:eastAsia="仿宋_GB2312"/>
          <w:b w:val="0"/>
          <w:sz w:val="32"/>
          <w:szCs w:val="32"/>
          <w:lang w:val="en-US" w:eastAsia="zh-CN"/>
        </w:rPr>
        <w:t>61</w:t>
      </w:r>
      <w:r>
        <w:rPr>
          <w:rFonts w:hint="eastAsia" w:ascii="Times New Roman" w:eastAsia="仿宋_GB2312"/>
          <w:b w:val="0"/>
          <w:sz w:val="32"/>
          <w:szCs w:val="32"/>
        </w:rPr>
        <w:t>分（绩效自评表附后）。全年预算数</w:t>
      </w:r>
      <w:r>
        <w:rPr>
          <w:rFonts w:hint="eastAsia" w:ascii="Times New Roman" w:eastAsia="仿宋_GB2312"/>
          <w:b w:val="0"/>
          <w:sz w:val="32"/>
          <w:szCs w:val="32"/>
          <w:lang w:val="en-US" w:eastAsia="zh-CN"/>
        </w:rPr>
        <w:t>25</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23.3</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93.2</w:t>
      </w:r>
      <w:r>
        <w:rPr>
          <w:rFonts w:hint="eastAsia" w:ascii="Times New Roman" w:eastAsia="仿宋_GB2312"/>
          <w:b w:val="0"/>
          <w:sz w:val="32"/>
          <w:szCs w:val="32"/>
        </w:rPr>
        <w:t>%。通过项目实施，完成了年初设定的各项绩效目标。未发现问题。</w:t>
      </w:r>
    </w:p>
    <w:p>
      <w:pPr>
        <w:widowControl/>
        <w:spacing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rPr>
        <w:t>附绩效自评表如下：</w:t>
      </w: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sz w:val="32"/>
          <w:szCs w:val="32"/>
          <w:lang w:eastAsia="zh-CN"/>
        </w:rPr>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聘用制书记员经费</w:t>
      </w:r>
    </w:p>
    <w:p>
      <w:pPr>
        <w:widowControl/>
        <w:spacing w:before="0" w:beforeLines="0" w:beforeAutospacing="0" w:after="0" w:afterLines="0" w:afterAutospacing="0" w:line="360" w:lineRule="auto"/>
        <w:jc w:val="left"/>
      </w:pPr>
    </w:p>
    <w:p>
      <w:pPr>
        <w:widowControl/>
        <w:spacing w:before="0" w:beforeLines="0" w:beforeAutospacing="0" w:after="0" w:afterLines="0" w:afterAutospacing="0" w:line="360" w:lineRule="auto"/>
        <w:jc w:val="left"/>
      </w:pPr>
      <w:r>
        <w:drawing>
          <wp:inline distT="0" distB="0" distL="114300" distR="114300">
            <wp:extent cx="5755005" cy="6413500"/>
            <wp:effectExtent l="0" t="0" r="17145" b="635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9"/>
                    <a:stretch>
                      <a:fillRect/>
                    </a:stretch>
                  </pic:blipFill>
                  <pic:spPr>
                    <a:xfrm>
                      <a:off x="0" y="0"/>
                      <a:ext cx="5755005" cy="6413500"/>
                    </a:xfrm>
                    <a:prstGeom prst="rect">
                      <a:avLst/>
                    </a:prstGeom>
                    <a:noFill/>
                    <a:ln>
                      <a:noFill/>
                    </a:ln>
                  </pic:spPr>
                </pic:pic>
              </a:graphicData>
            </a:graphic>
          </wp:inline>
        </w:drawing>
      </w:r>
    </w:p>
    <w:p>
      <w:pPr>
        <w:widowControl/>
        <w:spacing w:before="0" w:beforeLines="0" w:beforeAutospacing="0" w:after="0" w:afterLines="0" w:afterAutospacing="0" w:line="360" w:lineRule="auto"/>
        <w:jc w:val="left"/>
      </w:pPr>
    </w:p>
    <w:p>
      <w:pPr>
        <w:widowControl/>
        <w:spacing w:before="0" w:beforeLines="0" w:beforeAutospacing="0" w:after="0" w:afterLines="0" w:afterAutospacing="0" w:line="360" w:lineRule="auto"/>
        <w:jc w:val="left"/>
      </w:pPr>
    </w:p>
    <w:p>
      <w:pPr>
        <w:widowControl/>
        <w:spacing w:before="0" w:beforeLines="0" w:beforeAutospacing="0" w:after="0" w:afterLines="0" w:afterAutospacing="0" w:line="360" w:lineRule="auto"/>
        <w:jc w:val="left"/>
      </w:pPr>
    </w:p>
    <w:p>
      <w:pPr>
        <w:widowControl/>
        <w:spacing w:before="0" w:beforeLines="0" w:beforeAutospacing="0" w:after="0" w:afterLines="0" w:afterAutospacing="0" w:line="360" w:lineRule="auto"/>
        <w:jc w:val="left"/>
      </w:pPr>
    </w:p>
    <w:p>
      <w:pPr>
        <w:widowControl/>
        <w:spacing w:before="0" w:beforeLines="0" w:beforeAutospacing="0" w:after="0" w:afterLines="0" w:afterAutospacing="0" w:line="360" w:lineRule="auto"/>
        <w:jc w:val="left"/>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专用材料购置</w:t>
      </w:r>
    </w:p>
    <w:p>
      <w:pPr>
        <w:widowControl/>
        <w:spacing w:line="360" w:lineRule="auto"/>
        <w:ind w:firstLine="480" w:firstLineChars="200"/>
        <w:jc w:val="left"/>
      </w:pPr>
      <w:r>
        <w:drawing>
          <wp:inline distT="0" distB="0" distL="114300" distR="114300">
            <wp:extent cx="5752465" cy="5541010"/>
            <wp:effectExtent l="0" t="0" r="635" b="254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0"/>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jc w:val="left"/>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专项邮电费</w:t>
      </w:r>
    </w:p>
    <w:p>
      <w:pPr>
        <w:widowControl/>
        <w:spacing w:line="360" w:lineRule="auto"/>
        <w:ind w:firstLine="480" w:firstLineChars="200"/>
        <w:jc w:val="left"/>
      </w:pPr>
      <w:r>
        <w:drawing>
          <wp:inline distT="0" distB="0" distL="114300" distR="114300">
            <wp:extent cx="5752465" cy="5541010"/>
            <wp:effectExtent l="0" t="0" r="635" b="254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1"/>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业务保障经费</w:t>
      </w:r>
    </w:p>
    <w:p>
      <w:pPr>
        <w:widowControl/>
        <w:spacing w:line="360" w:lineRule="auto"/>
        <w:ind w:firstLine="480" w:firstLineChars="200"/>
        <w:jc w:val="left"/>
      </w:pPr>
      <w:r>
        <w:drawing>
          <wp:inline distT="0" distB="0" distL="114300" distR="114300">
            <wp:extent cx="5752465" cy="5541010"/>
            <wp:effectExtent l="0" t="0" r="635" b="254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2"/>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物业管理费</w:t>
      </w:r>
    </w:p>
    <w:p>
      <w:pPr>
        <w:widowControl/>
        <w:spacing w:line="360" w:lineRule="auto"/>
        <w:ind w:firstLine="480" w:firstLineChars="200"/>
        <w:jc w:val="left"/>
      </w:pPr>
      <w:r>
        <w:drawing>
          <wp:inline distT="0" distB="0" distL="114300" distR="114300">
            <wp:extent cx="5752465" cy="5541010"/>
            <wp:effectExtent l="0" t="0" r="635" b="254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3"/>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文件资料印刷费</w:t>
      </w:r>
    </w:p>
    <w:p>
      <w:pPr>
        <w:widowControl/>
        <w:spacing w:line="360" w:lineRule="auto"/>
        <w:ind w:firstLine="480" w:firstLineChars="200"/>
        <w:jc w:val="left"/>
      </w:pPr>
      <w:r>
        <w:drawing>
          <wp:inline distT="0" distB="0" distL="114300" distR="114300">
            <wp:extent cx="5752465" cy="5541010"/>
            <wp:effectExtent l="0" t="0" r="635" b="254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24"/>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pPr>
      <w:r>
        <w:rPr>
          <w:rFonts w:hint="eastAsia" w:ascii="Times New Roman" w:eastAsia="仿宋_GB2312"/>
          <w:b w:val="0"/>
          <w:sz w:val="32"/>
          <w:szCs w:val="32"/>
          <w:lang w:eastAsia="zh-CN"/>
        </w:rPr>
        <w:t>劳务派遣人员经费</w:t>
      </w:r>
      <w:r>
        <w:drawing>
          <wp:inline distT="0" distB="0" distL="114300" distR="114300">
            <wp:extent cx="5753735" cy="5295265"/>
            <wp:effectExtent l="0" t="0" r="18415" b="63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5"/>
                    <a:stretch>
                      <a:fillRect/>
                    </a:stretch>
                  </pic:blipFill>
                  <pic:spPr>
                    <a:xfrm>
                      <a:off x="0" y="0"/>
                      <a:ext cx="5753735" cy="5295265"/>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pPr>
      <w:r>
        <w:rPr>
          <w:rFonts w:hint="eastAsia" w:ascii="Times New Roman" w:eastAsia="仿宋_GB2312"/>
          <w:b w:val="0"/>
          <w:sz w:val="32"/>
          <w:szCs w:val="32"/>
          <w:lang w:eastAsia="zh-CN"/>
        </w:rPr>
        <w:t>工作场地租赁费</w:t>
      </w:r>
      <w:r>
        <w:drawing>
          <wp:inline distT="0" distB="0" distL="114300" distR="114300">
            <wp:extent cx="5752465" cy="5541010"/>
            <wp:effectExtent l="0" t="0" r="635"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6"/>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pPr>
      <w:r>
        <w:rPr>
          <w:rFonts w:hint="eastAsia" w:ascii="Times New Roman" w:eastAsia="仿宋_GB2312"/>
          <w:b w:val="0"/>
          <w:sz w:val="32"/>
          <w:szCs w:val="32"/>
          <w:lang w:eastAsia="zh-CN"/>
        </w:rPr>
        <w:t>党组织活动经费</w:t>
      </w:r>
      <w:r>
        <w:drawing>
          <wp:inline distT="0" distB="0" distL="114300" distR="114300">
            <wp:extent cx="5752465" cy="5541010"/>
            <wp:effectExtent l="0" t="0" r="635"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7"/>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单位运行电费等</w:t>
      </w:r>
      <w:r>
        <w:drawing>
          <wp:inline distT="0" distB="0" distL="114300" distR="114300">
            <wp:extent cx="5752465" cy="5541010"/>
            <wp:effectExtent l="0" t="0" r="635" b="254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8"/>
                    <a:stretch>
                      <a:fillRect/>
                    </a:stretch>
                  </pic:blipFill>
                  <pic:spPr>
                    <a:xfrm>
                      <a:off x="0" y="0"/>
                      <a:ext cx="5752465" cy="5541010"/>
                    </a:xfrm>
                    <a:prstGeom prst="rect">
                      <a:avLst/>
                    </a:prstGeom>
                    <a:noFill/>
                    <a:ln>
                      <a:noFill/>
                    </a:ln>
                  </pic:spPr>
                </pic:pic>
              </a:graphicData>
            </a:graphic>
          </wp:inline>
        </w:drawing>
      </w:r>
    </w:p>
    <w:p>
      <w:pPr>
        <w:widowControl/>
        <w:spacing w:line="360" w:lineRule="auto"/>
        <w:ind w:firstLine="480" w:firstLineChars="200"/>
        <w:jc w:val="left"/>
        <w:rPr>
          <w:rFonts w:hint="eastAsia"/>
          <w:lang w:eastAsia="zh-CN"/>
        </w:rPr>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line="360" w:lineRule="auto"/>
        <w:ind w:firstLine="480" w:firstLineChars="200"/>
        <w:jc w:val="left"/>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bookmarkStart w:id="1" w:name="_GoBack"/>
      <w:bookmarkEnd w:id="1"/>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76549A6-FBC8-4F98-8CD5-2D0E874E42E5}"/>
  </w:font>
  <w:font w:name="黑体">
    <w:panose1 w:val="02010609060101010101"/>
    <w:charset w:val="86"/>
    <w:family w:val="auto"/>
    <w:pitch w:val="default"/>
    <w:sig w:usb0="800002BF" w:usb1="38CF7CFA" w:usb2="00000016" w:usb3="00000000" w:csb0="00040001" w:csb1="00000000"/>
    <w:embedRegular r:id="rId2" w:fontKey="{2E721473-3B75-41C9-9B07-E360FA5AE17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A06F7B78-8B53-41D2-9E27-4B4C2CFE6B58}"/>
  </w:font>
  <w:font w:name="仿宋">
    <w:panose1 w:val="02010609060101010101"/>
    <w:charset w:val="86"/>
    <w:family w:val="modern"/>
    <w:pitch w:val="default"/>
    <w:sig w:usb0="800002BF" w:usb1="38CF7CFA" w:usb2="00000016" w:usb3="00000000" w:csb0="00040001" w:csb1="00000000"/>
    <w:embedRegular r:id="rId4" w:fontKey="{56BCF210-D282-4617-8454-6CA88942F30E}"/>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701E2104-87B6-41D8-BA07-E42388DE183D}"/>
  </w:font>
  <w:font w:name="楷体_GB2312">
    <w:panose1 w:val="02010609030101010101"/>
    <w:charset w:val="86"/>
    <w:family w:val="auto"/>
    <w:pitch w:val="default"/>
    <w:sig w:usb0="00000000" w:usb1="00000000" w:usb2="00000000" w:usb3="00000000" w:csb0="00000000" w:csb1="00000000"/>
    <w:embedRegular r:id="rId6" w:fontKey="{27F3BB96-C791-494B-A4E9-49075227E8EE}"/>
  </w:font>
  <w:font w:name="微软雅黑">
    <w:panose1 w:val="020B0503020204020204"/>
    <w:charset w:val="86"/>
    <w:family w:val="auto"/>
    <w:pitch w:val="default"/>
    <w:sig w:usb0="80000287" w:usb1="280F3C52" w:usb2="00000016" w:usb3="00000000" w:csb0="0004001F" w:csb1="00000000"/>
    <w:embedRegular r:id="rId7" w:fontKey="{C69ECED9-36BD-4BDE-A146-A39CAC5B736E}"/>
  </w:font>
  <w:font w:name="方正小标宋_GBK">
    <w:panose1 w:val="03000509000000000000"/>
    <w:charset w:val="86"/>
    <w:family w:val="script"/>
    <w:pitch w:val="default"/>
    <w:sig w:usb0="00000001" w:usb1="080E0000" w:usb2="00000000" w:usb3="00000000" w:csb0="00040000" w:csb1="00000000"/>
    <w:embedRegular r:id="rId8" w:fontKey="{435297D1-14F6-4E71-A5E1-AF7D5A17FACD}"/>
  </w:font>
  <w:font w:name="仿宋_GB2312">
    <w:panose1 w:val="02010609030101010101"/>
    <w:charset w:val="86"/>
    <w:family w:val="auto"/>
    <w:pitch w:val="default"/>
    <w:sig w:usb0="00000000" w:usb1="00000000" w:usb2="00000000" w:usb3="00000000" w:csb0="00000000" w:csb1="00000000"/>
    <w:embedRegular r:id="rId9" w:fontKey="{62D7D6C7-F9C3-42B2-B755-B039002122BE}"/>
  </w:font>
  <w:font w:name="ArialUnicodeMS">
    <w:altName w:val="Malgun Gothic"/>
    <w:panose1 w:val="00000000000000000000"/>
    <w:charset w:val="81"/>
    <w:family w:val="auto"/>
    <w:pitch w:val="default"/>
    <w:sig w:usb0="00000000" w:usb1="00000000" w:usb2="00000010" w:usb3="00000000" w:csb0="00080001" w:csb1="00000000"/>
    <w:embedRegular r:id="rId10" w:fontKey="{71E53516-9F44-4231-875F-89508285A22F}"/>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1F0D0B"/>
    <w:rsid w:val="083F3A0A"/>
    <w:rsid w:val="08AB5AAF"/>
    <w:rsid w:val="08C65EBD"/>
    <w:rsid w:val="08D24C32"/>
    <w:rsid w:val="09012C64"/>
    <w:rsid w:val="093B2E99"/>
    <w:rsid w:val="095D7943"/>
    <w:rsid w:val="09C006C6"/>
    <w:rsid w:val="0A10621F"/>
    <w:rsid w:val="0A1319F0"/>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34677F"/>
    <w:rsid w:val="284E28FF"/>
    <w:rsid w:val="289057C5"/>
    <w:rsid w:val="28A67C7A"/>
    <w:rsid w:val="28EA3248"/>
    <w:rsid w:val="28F72F97"/>
    <w:rsid w:val="28F879DA"/>
    <w:rsid w:val="294B7731"/>
    <w:rsid w:val="29514455"/>
    <w:rsid w:val="29D21FF2"/>
    <w:rsid w:val="2A611B0F"/>
    <w:rsid w:val="2A680F3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0D41B0"/>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40F76"/>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DB1AE3"/>
    <w:rsid w:val="5FE33352"/>
    <w:rsid w:val="604F6C39"/>
    <w:rsid w:val="60806DF2"/>
    <w:rsid w:val="61072DA5"/>
    <w:rsid w:val="611C0817"/>
    <w:rsid w:val="61224A52"/>
    <w:rsid w:val="61300818"/>
    <w:rsid w:val="61302DCB"/>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312B11"/>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1920.95</c:v>
                </c:pt>
                <c:pt idx="1">
                  <c:v>1780.82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19209464.86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10124218.84</c:v>
                </c:pt>
                <c:pt idx="1">
                  <c:v>9085246.02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1780.82</c:v>
                </c:pt>
                <c:pt idx="1">
                  <c:v>1780.82</c:v>
                </c:pt>
                <c:pt idx="2">
                  <c:v>1780.82</c:v>
                </c:pt>
                <c:pt idx="3">
                  <c:v>1780.82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1920.95</c:v>
                </c:pt>
                <c:pt idx="1">
                  <c:v>1920.95</c:v>
                </c:pt>
                <c:pt idx="2">
                  <c:v>1920.95</c:v>
                </c:pt>
                <c:pt idx="3">
                  <c:v>1920.95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1737.33</c:v>
                </c:pt>
                <c:pt idx="1">
                  <c:v>1737.33</c:v>
                </c:pt>
                <c:pt idx="2">
                  <c:v>1737.33</c:v>
                </c:pt>
                <c:pt idx="3">
                  <c:v>1737.33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1920.95</c:v>
                </c:pt>
                <c:pt idx="1">
                  <c:v>1920.95</c:v>
                </c:pt>
                <c:pt idx="2">
                  <c:v>1920.95</c:v>
                </c:pt>
                <c:pt idx="3">
                  <c:v>1920.95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12</TotalTime>
  <ScaleCrop>false</ScaleCrop>
  <LinksUpToDate>false</LinksUpToDate>
  <CharactersWithSpaces>6550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2026-08-26T08:51:36Z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