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石家庄市商务局（本级）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322001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61075A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石家庄市商务局（本级）</w:t>
      </w:r>
    </w:p>
    <w:p w14:paraId="5461810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E89080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石家庄市商务局（本级）</w:t>
      </w:r>
    </w:p>
    <w:p w14:paraId="65534A1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BD3EB1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1ECD58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A01B8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171CB9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A7DFFD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577F52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55110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5CE7D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C50C9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E941A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9E46D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18B88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AAA65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6118A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28CDF51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0E7F00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D4D83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6948D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7D5CB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6E944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0859E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0699E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5CB4A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8B48A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EBF5F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CED47A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EA5A57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CE914F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一、单位职责</w:t>
      </w:r>
    </w:p>
    <w:p w14:paraId="74294382">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贯彻落实国家有关国内外贸易、国际经济合作的发展战略、方针、政策和法律法规。起草商务领域地方性法规、政府规章草案，拟订全市商务发展规划、政策措施和年度计划并组织实施，研究经济全球化、区域经济合作、现代流通方式的发展趋势并提出建议。</w:t>
      </w:r>
    </w:p>
    <w:p w14:paraId="7CA0179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拟订全市国内贸易发展规划。促进城乡市场发展，提出引导国内外资金投向市场体系建设的政策建议；负责大宗产品批发市场建设和城市商业网点规划、商业体系建设工作；推进农村市场体系建设，组织实施农村现代流通网络工程。</w:t>
      </w:r>
    </w:p>
    <w:p w14:paraId="21A0581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提出流通体制改革建议。负责推进流通产业结构调整，培育商贸流通主体，推动流通企业改革、商贸服务业和社区商业发展，提出促进商贸中小企业发展的政策建议，推动流通标准化和连锁经营、商业特许经营、商贸物流配送、电子商务等现代流通方式的发展，负责全市流通领域信息网络和电子商务建设。</w:t>
      </w:r>
    </w:p>
    <w:p w14:paraId="482522D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牵头推进商务领域信用体系建设，建立商务诚信公共服务平台。规范商贸企业交易行为，按照有关规定对拍卖等特殊流通行业进行监督管理，按照有关规定对成品油经营等进行监督管理；指导督促商贸流通行业安全生产；牵头推动重要产品追溯体系建设，对酒类流通发展进行指导。</w:t>
      </w:r>
    </w:p>
    <w:p w14:paraId="535B543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组织实施重要消费品市场调控。负责建立健全生活必需品市场供应应急管理机制，监测分析市场运行、商品供求状况，调查分析商品价格信息，进行预测预警和信息引导；按分工负责重要消费品储备管理和市场调控工作。</w:t>
      </w:r>
    </w:p>
    <w:p w14:paraId="74C6A00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执行国家制定的进出口商品、加工贸易管理办法和进出口商品、技术目录。贯彻执行国家促进外贸增长方式转变的政策措施，组织实施国家制定的重要工业品、原材料和重要农产品进出口总量计划，会同有关</w:t>
      </w:r>
      <w:r>
        <w:rPr>
          <w:rFonts w:hint="eastAsia" w:ascii="方正仿宋_GBK" w:hAnsi="方正仿宋_GBK" w:cs="方正仿宋_GBK"/>
          <w:sz w:val="32"/>
          <w:szCs w:val="32"/>
          <w:lang w:eastAsia="zh-CN"/>
        </w:rPr>
        <w:t>单位</w:t>
      </w:r>
      <w:r>
        <w:rPr>
          <w:rFonts w:hint="eastAsia" w:ascii="方正仿宋_GBK" w:hAnsi="方正仿宋_GBK" w:eastAsia="方正仿宋_GBK" w:cs="方正仿宋_GBK"/>
          <w:sz w:val="32"/>
          <w:szCs w:val="32"/>
        </w:rPr>
        <w:t>协调大宗进出口商品，组织指导贸易促进活动和外贸促进体系建设。</w:t>
      </w:r>
    </w:p>
    <w:p w14:paraId="2D1E02E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（七）贯彻执行国家对外技术贸易、进出口管制以及鼓励技术和成套设备进出口的贸易政策。拟订和推进全市科技兴贸战略，依法监督技术引进、设备进口、国家限制出口技术。</w:t>
      </w:r>
    </w:p>
    <w:p w14:paraId="4DED4396">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（八）会同有关</w:t>
      </w:r>
      <w:r>
        <w:rPr>
          <w:rFonts w:hint="eastAsia" w:ascii="方正仿宋_GBK" w:hAnsi="方正仿宋_GBK" w:cs="方正仿宋_GBK"/>
          <w:sz w:val="32"/>
          <w:szCs w:val="32"/>
          <w:lang w:eastAsia="zh-CN"/>
        </w:rPr>
        <w:t>单位</w:t>
      </w:r>
      <w:r>
        <w:rPr>
          <w:rFonts w:hint="eastAsia" w:ascii="方正仿宋_GBK" w:hAnsi="方正仿宋_GBK" w:eastAsia="方正仿宋_GBK" w:cs="方正仿宋_GBK"/>
          <w:sz w:val="32"/>
          <w:szCs w:val="32"/>
        </w:rPr>
        <w:t>贯彻执行国家促进服务出口和服务外包发展的规划、政策，牵头拟订全市服务贸易发展规划并组织实施。</w:t>
      </w:r>
    </w:p>
    <w:p w14:paraId="1213189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负责对外投资和经济合作工作。拟订并执行对外经济合作政策，依法管理和监督对外投资、对外承包工程、对外劳务合作等，负责外派劳务和境外就业人员的权益保护工作；拟订全市对外投资管理办法，指导境外经贸园区有关工作，负责对外援助有关工作，负责对外投资和经济合作促进工作。</w:t>
      </w:r>
    </w:p>
    <w:p w14:paraId="2358FDE5">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（十）配合上级</w:t>
      </w:r>
      <w:r>
        <w:rPr>
          <w:rFonts w:hint="eastAsia" w:ascii="方正仿宋_GBK" w:hAnsi="方正仿宋_GBK" w:cs="方正仿宋_GBK"/>
          <w:sz w:val="32"/>
          <w:szCs w:val="32"/>
          <w:lang w:eastAsia="zh-CN"/>
        </w:rPr>
        <w:t>单位</w:t>
      </w:r>
      <w:r>
        <w:rPr>
          <w:rFonts w:hint="eastAsia" w:ascii="方正仿宋_GBK" w:hAnsi="方正仿宋_GBK" w:eastAsia="方正仿宋_GBK" w:cs="方正仿宋_GBK"/>
          <w:sz w:val="32"/>
          <w:szCs w:val="32"/>
        </w:rPr>
        <w:t>调查国（境）外对我国出口商品实施的歧视性贸易政策、法律法规及做法。组织协调反倾销、反补贴和保障措施等贸易救济调查以及进出口公平贸易相关工作，指导协调出口产品贸易摩擦应对和进口产品贸易救济申诉工作，跟踪调查反倾销、反补贴和保障措施等贸易救济措施对全市相关产业的影响，建立产业安全预警机制。</w:t>
      </w:r>
    </w:p>
    <w:p w14:paraId="049D87B8">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（十一）负责上级交办的涉及世贸组织相关工作。贯彻执行上级制定的对自由贸易区国家和地区的经贸规划、政策并组织实施。</w:t>
      </w:r>
    </w:p>
    <w:p w14:paraId="1BAEFFC5">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（十二）负责会展业促进与管理工作。拟订会展业发展规划、政策措施并组织实施，组织指导境内外对外经济技术展览会和赴境外非商业性办展活动。</w:t>
      </w:r>
    </w:p>
    <w:p w14:paraId="24A3D1B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（十三）负责经贸交流合作工作。建立联系国内友好关系城市，负责市外单位在我市设立办事机构的备案工作。</w:t>
      </w:r>
    </w:p>
    <w:p w14:paraId="5AD9444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（十四）监测分析全市商务运行情况，承担全市商务系统对外宣传和信息发布工作。</w:t>
      </w:r>
    </w:p>
    <w:p w14:paraId="5E07553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hint="eastAsia" w:ascii="方正仿宋_GBK" w:hAnsi="方正仿宋_GBK" w:eastAsia="方正仿宋_GBK" w:cs="方正仿宋_GBK"/>
          <w:sz w:val="32"/>
          <w:szCs w:val="32"/>
        </w:rPr>
        <w:t>（十五）完成市委、市政府交办的其他任务。</w:t>
      </w:r>
    </w:p>
    <w:p w14:paraId="4D2481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5D30889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p w14:paraId="51615C2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石家庄市商务局（本级）</w:t>
            </w:r>
          </w:p>
        </w:tc>
        <w:tc>
          <w:tcPr>
            <w:tcW w:w="2445" w:type="dxa"/>
            <w:shd w:val="clear" w:color="auto" w:fill="auto"/>
            <w:vAlign w:val="top"/>
          </w:tcPr>
          <w:p w14:paraId="2E443189">
            <w:pPr>
              <w:spacing w:line="560" w:lineRule="exact"/>
              <w:jc w:val="center"/>
              <w:rPr>
                <w:rFonts w:ascii="仿宋_GB2312" w:hAnsi="Calibri" w:eastAsia="仿宋_GB2312" w:cs="ArialUnicodeMS"/>
                <w:color w:val="auto"/>
                <w:kern w:val="0"/>
                <w:sz w:val="28"/>
                <w:szCs w:val="28"/>
                <w:lang w:val="en-US" w:eastAsia="zh-CN" w:bidi="ar-SA"/>
              </w:rPr>
            </w:pPr>
            <w:r>
              <w:rPr>
                <w:rFonts w:hint="eastAsia" w:ascii="方正仿宋_GBK" w:hAnsi="方正仿宋_GBK" w:eastAsia="方正仿宋_GBK" w:cs="方正仿宋_GBK"/>
                <w:kern w:val="0"/>
                <w:sz w:val="28"/>
                <w:szCs w:val="28"/>
                <w:lang w:eastAsia="zh-CN"/>
              </w:rPr>
              <w:t>行政单位</w:t>
            </w:r>
          </w:p>
        </w:tc>
        <w:tc>
          <w:tcPr>
            <w:tcW w:w="2665" w:type="dxa"/>
            <w:shd w:val="clear" w:color="auto" w:fill="auto"/>
            <w:vAlign w:val="top"/>
          </w:tcPr>
          <w:p w14:paraId="3FEF84E0">
            <w:pPr>
              <w:spacing w:line="560" w:lineRule="exact"/>
              <w:jc w:val="center"/>
              <w:rPr>
                <w:rFonts w:ascii="仿宋_GB2312" w:hAnsi="Calibri" w:eastAsia="仿宋_GB2312" w:cs="ArialUnicodeMS"/>
                <w:color w:val="auto"/>
                <w:kern w:val="0"/>
                <w:sz w:val="28"/>
                <w:szCs w:val="28"/>
                <w:lang w:val="en-US" w:eastAsia="zh-CN" w:bidi="ar-SA"/>
              </w:rPr>
            </w:pPr>
            <w:r>
              <w:rPr>
                <w:rFonts w:hint="eastAsia" w:ascii="方正仿宋_GBK" w:hAnsi="方正仿宋_GBK" w:eastAsia="方正仿宋_GBK" w:cs="方正仿宋_GBK"/>
                <w:kern w:val="0"/>
                <w:sz w:val="28"/>
                <w:szCs w:val="28"/>
                <w:lang w:eastAsia="zh-CN"/>
              </w:rPr>
              <w:t>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2C9810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单位（单位）：石家庄市商务局（本级）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79,612.12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3,489.30</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0.28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1,359.14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132.93</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268,368.17</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183.13</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347,958.32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347,958.32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347,988.32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347,988.32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单位（单位）：石家庄市商务局（本级）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347,958.32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347,9584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0.28</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3,489.30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3,4892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77C0C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1D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AB4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47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B32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70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373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6E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D90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5B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9C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8A7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BA6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C74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4E1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813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FE1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0E9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BA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C97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36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9DC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50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海关事务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399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15B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765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622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446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F44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95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24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D18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2010909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040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海关关务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399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24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48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39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967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D2A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A1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1F0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747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3EE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434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A73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2,8951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37B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2C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FBB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E20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600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468D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27B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2E5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7F5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2,24</w:t>
            </w:r>
            <w:r>
              <w:rPr>
                <w:rFonts w:hint="eastAsia" w:ascii="Times New Roman" w:hAnsi="Times New Roman" w:eastAsia="宋体" w:cs="Times New Roman"/>
                <w:spacing w:val="-2"/>
                <w:sz w:val="20"/>
                <w:szCs w:val="20"/>
                <w:lang w:val="en-US" w:eastAsia="zh-CN"/>
              </w:rPr>
              <w:t>0</w:t>
            </w:r>
            <w:r>
              <w:rPr>
                <w:rFonts w:hint="default" w:ascii="Times New Roman" w:hAnsi="Times New Roman" w:eastAsia="宋体" w:cs="Times New Roman"/>
                <w:spacing w:val="-2"/>
                <w:sz w:val="20"/>
                <w:szCs w:val="20"/>
                <w:lang w:val="en-US" w:eastAsia="zh-CN"/>
              </w:rPr>
              <w:t>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10B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2,239.75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94D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CF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3D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9C5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4AF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1A00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F27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291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D58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5E7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563.19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6B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A33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5D6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FCD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CFE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816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C33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403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51A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CA4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858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ABC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7F5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85B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8BB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9F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ADF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D3C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24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A99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611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B81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DE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F83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391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496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95F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A8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F9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E83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1,359.14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223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1D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9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CDC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3EF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4E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322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6A9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1F7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1,116.65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3A0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1,116.65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569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540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09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B3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D03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C3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4A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98E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FF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0C6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2BE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E25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C1B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2C9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1E6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2B5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AA1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255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334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557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F89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469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2AA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FA4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5D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1B8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E06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C7F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FDA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132.93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7F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132.93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1DD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DE5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ACD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D5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3E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54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315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F3C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07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132.93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14E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132.93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114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674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0F2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43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F40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454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3CD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235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7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D97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0D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98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B3F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56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228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D1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9A1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B16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89B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77B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C4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F22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1BE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36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30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76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9A7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94F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4C0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268,368.17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93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268,368.17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895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E5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8DE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0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EB0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81B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C49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270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38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94F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1F8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5D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8E3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8F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052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F2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6CE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942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2C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BE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722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91F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763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2C5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7D6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9DC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E80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522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D90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417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2B6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9C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80E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2E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029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A6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12F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506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0D1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62A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2B0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C02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B2E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BA1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C1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86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D58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B31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F3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74,425.65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D9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74,425.65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46F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3FE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C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647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D2A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79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A8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4E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840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58A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C73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4E3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340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798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8D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2F8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E7A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113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其他商业流通事务支出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7D5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9FB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BD5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595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870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2C5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38D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33D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580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A70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涉外发展服务支出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EDF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D95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7E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B3F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2A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C04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57D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86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99E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4AF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其他涉外发展服务支出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EA0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5F8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01A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0C1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075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C3F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03E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09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43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E1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59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95F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836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0F4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DAB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FB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510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46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319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519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EF9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33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680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AF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5C7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519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6AF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0C4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A9F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368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47C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C8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3D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C9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411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D47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AC9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单位（单位）：石家庄市商务局（本级）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347,958.32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4,007.30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343,9513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3,489.30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2,332.10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1,157.21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A2ED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575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8FE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1CD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BF7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E28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9B5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507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B1EA2">
            <w:pPr>
              <w:jc w:val="right"/>
              <w:rPr>
                <w:rFonts w:hint="default" w:ascii="Times New Roman" w:hAnsi="Times New Roman" w:eastAsia="宋体" w:cs="Times New Roman"/>
                <w:i w:val="0"/>
                <w:iCs w:val="0"/>
                <w:color w:val="000000"/>
                <w:sz w:val="20"/>
                <w:szCs w:val="20"/>
                <w:highlight w:val="none"/>
                <w:u w:val="none"/>
              </w:rPr>
            </w:pPr>
          </w:p>
        </w:tc>
      </w:tr>
      <w:tr w14:paraId="7417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61D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717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FB6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FB9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4B7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740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24D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B2BDC">
            <w:pPr>
              <w:jc w:val="right"/>
              <w:rPr>
                <w:rFonts w:hint="default" w:ascii="Times New Roman" w:hAnsi="Times New Roman" w:eastAsia="宋体" w:cs="Times New Roman"/>
                <w:i w:val="0"/>
                <w:iCs w:val="0"/>
                <w:color w:val="000000"/>
                <w:sz w:val="20"/>
                <w:szCs w:val="20"/>
                <w:highlight w:val="none"/>
                <w:u w:val="none"/>
              </w:rPr>
            </w:pPr>
          </w:p>
        </w:tc>
      </w:tr>
      <w:tr w14:paraId="19852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05B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491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C90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7E2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077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ABA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8B1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2F41">
            <w:pPr>
              <w:jc w:val="right"/>
              <w:rPr>
                <w:rFonts w:hint="default" w:ascii="Times New Roman" w:hAnsi="Times New Roman" w:eastAsia="宋体" w:cs="Times New Roman"/>
                <w:i w:val="0"/>
                <w:iCs w:val="0"/>
                <w:color w:val="000000"/>
                <w:sz w:val="20"/>
                <w:szCs w:val="20"/>
                <w:highlight w:val="none"/>
                <w:u w:val="none"/>
              </w:rPr>
            </w:pPr>
          </w:p>
        </w:tc>
      </w:tr>
      <w:tr w14:paraId="45A1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89B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94E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海关关务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4F7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8CF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292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B94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F7B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438E3">
            <w:pPr>
              <w:jc w:val="right"/>
              <w:rPr>
                <w:rFonts w:hint="default" w:ascii="Times New Roman" w:hAnsi="Times New Roman" w:eastAsia="宋体" w:cs="Times New Roman"/>
                <w:i w:val="0"/>
                <w:iCs w:val="0"/>
                <w:color w:val="000000"/>
                <w:sz w:val="20"/>
                <w:szCs w:val="20"/>
                <w:highlight w:val="none"/>
                <w:u w:val="none"/>
              </w:rPr>
            </w:pPr>
          </w:p>
        </w:tc>
      </w:tr>
      <w:tr w14:paraId="59E02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1F3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7EC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C80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5A7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2,332.10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70E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5C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432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908F0">
            <w:pPr>
              <w:jc w:val="right"/>
              <w:rPr>
                <w:rFonts w:hint="default" w:ascii="Times New Roman" w:hAnsi="Times New Roman" w:eastAsia="宋体" w:cs="Times New Roman"/>
                <w:i w:val="0"/>
                <w:iCs w:val="0"/>
                <w:color w:val="000000"/>
                <w:sz w:val="20"/>
                <w:szCs w:val="20"/>
                <w:highlight w:val="none"/>
                <w:u w:val="none"/>
              </w:rPr>
            </w:pPr>
          </w:p>
        </w:tc>
      </w:tr>
      <w:tr w14:paraId="1E3A3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A9C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92B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A09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101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8FE8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14B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ED4E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C99D">
            <w:pPr>
              <w:jc w:val="right"/>
              <w:rPr>
                <w:rFonts w:hint="default" w:ascii="Times New Roman" w:hAnsi="Times New Roman" w:eastAsia="宋体" w:cs="Times New Roman"/>
                <w:i w:val="0"/>
                <w:iCs w:val="0"/>
                <w:color w:val="000000"/>
                <w:sz w:val="20"/>
                <w:szCs w:val="20"/>
                <w:highlight w:val="none"/>
                <w:u w:val="none"/>
              </w:rPr>
            </w:pPr>
          </w:p>
        </w:tc>
      </w:tr>
      <w:tr w14:paraId="6886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51F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D01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E9A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5BB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BC1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8DB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48B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CE4D2">
            <w:pPr>
              <w:jc w:val="right"/>
              <w:rPr>
                <w:rFonts w:hint="default" w:ascii="Times New Roman" w:hAnsi="Times New Roman" w:eastAsia="宋体" w:cs="Times New Roman"/>
                <w:i w:val="0"/>
                <w:iCs w:val="0"/>
                <w:color w:val="000000"/>
                <w:sz w:val="20"/>
                <w:szCs w:val="20"/>
                <w:highlight w:val="none"/>
                <w:u w:val="none"/>
              </w:rPr>
            </w:pPr>
          </w:p>
        </w:tc>
      </w:tr>
      <w:tr w14:paraId="20CE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378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238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B0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0D6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9F7A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765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1E5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E99B">
            <w:pPr>
              <w:jc w:val="right"/>
              <w:rPr>
                <w:rFonts w:hint="default" w:ascii="Times New Roman" w:hAnsi="Times New Roman" w:eastAsia="宋体" w:cs="Times New Roman"/>
                <w:i w:val="0"/>
                <w:iCs w:val="0"/>
                <w:color w:val="000000"/>
                <w:sz w:val="20"/>
                <w:szCs w:val="20"/>
                <w:highlight w:val="none"/>
                <w:u w:val="none"/>
              </w:rPr>
            </w:pPr>
          </w:p>
        </w:tc>
      </w:tr>
      <w:tr w14:paraId="5585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EDF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3A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2F4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0E1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9258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807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543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57499">
            <w:pPr>
              <w:jc w:val="right"/>
              <w:rPr>
                <w:rFonts w:hint="default" w:ascii="Times New Roman" w:hAnsi="Times New Roman" w:eastAsia="宋体" w:cs="Times New Roman"/>
                <w:i w:val="0"/>
                <w:iCs w:val="0"/>
                <w:color w:val="000000"/>
                <w:sz w:val="20"/>
                <w:szCs w:val="20"/>
                <w:highlight w:val="none"/>
                <w:u w:val="none"/>
              </w:rPr>
            </w:pPr>
          </w:p>
        </w:tc>
      </w:tr>
      <w:tr w14:paraId="1FFC8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F8E8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D0B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23B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40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D839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6B8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0CAB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A59D2">
            <w:pPr>
              <w:jc w:val="right"/>
              <w:rPr>
                <w:rFonts w:hint="default" w:ascii="Times New Roman" w:hAnsi="Times New Roman" w:eastAsia="宋体" w:cs="Times New Roman"/>
                <w:i w:val="0"/>
                <w:iCs w:val="0"/>
                <w:color w:val="000000"/>
                <w:sz w:val="20"/>
                <w:szCs w:val="20"/>
                <w:highlight w:val="none"/>
                <w:u w:val="none"/>
              </w:rPr>
            </w:pPr>
          </w:p>
        </w:tc>
      </w:tr>
      <w:tr w14:paraId="2C0F1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451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274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C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908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2C05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51F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2E86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BE3D8">
            <w:pPr>
              <w:jc w:val="right"/>
              <w:rPr>
                <w:rFonts w:hint="default" w:ascii="Times New Roman" w:hAnsi="Times New Roman" w:eastAsia="宋体" w:cs="Times New Roman"/>
                <w:i w:val="0"/>
                <w:iCs w:val="0"/>
                <w:color w:val="000000"/>
                <w:sz w:val="20"/>
                <w:szCs w:val="20"/>
                <w:highlight w:val="none"/>
                <w:u w:val="none"/>
              </w:rPr>
            </w:pPr>
          </w:p>
        </w:tc>
      </w:tr>
      <w:tr w14:paraId="33116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169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E10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8C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454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1A84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D88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BCCD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1D37A">
            <w:pPr>
              <w:jc w:val="right"/>
              <w:rPr>
                <w:rFonts w:hint="default" w:ascii="Times New Roman" w:hAnsi="Times New Roman" w:eastAsia="宋体" w:cs="Times New Roman"/>
                <w:i w:val="0"/>
                <w:iCs w:val="0"/>
                <w:color w:val="000000"/>
                <w:sz w:val="20"/>
                <w:szCs w:val="20"/>
                <w:highlight w:val="none"/>
                <w:u w:val="none"/>
              </w:rPr>
            </w:pPr>
          </w:p>
        </w:tc>
      </w:tr>
      <w:tr w14:paraId="4FBD8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7D1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3C9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C07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075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1852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B3D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42E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DAD61">
            <w:pPr>
              <w:jc w:val="right"/>
              <w:rPr>
                <w:rFonts w:hint="default" w:ascii="Times New Roman" w:hAnsi="Times New Roman" w:eastAsia="宋体" w:cs="Times New Roman"/>
                <w:i w:val="0"/>
                <w:iCs w:val="0"/>
                <w:color w:val="000000"/>
                <w:sz w:val="20"/>
                <w:szCs w:val="20"/>
                <w:highlight w:val="none"/>
                <w:u w:val="none"/>
              </w:rPr>
            </w:pPr>
          </w:p>
        </w:tc>
      </w:tr>
      <w:tr w14:paraId="2DFCB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89A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C64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010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891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B3A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DD2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94BE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DC7D8">
            <w:pPr>
              <w:jc w:val="right"/>
              <w:rPr>
                <w:rFonts w:hint="default" w:ascii="Times New Roman" w:hAnsi="Times New Roman" w:eastAsia="宋体" w:cs="Times New Roman"/>
                <w:i w:val="0"/>
                <w:iCs w:val="0"/>
                <w:color w:val="000000"/>
                <w:sz w:val="20"/>
                <w:szCs w:val="20"/>
                <w:highlight w:val="none"/>
                <w:u w:val="none"/>
              </w:rPr>
            </w:pPr>
          </w:p>
        </w:tc>
      </w:tr>
      <w:tr w14:paraId="610A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22B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1C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A99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962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71C3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4DA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D2E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3C93E">
            <w:pPr>
              <w:jc w:val="right"/>
              <w:rPr>
                <w:rFonts w:hint="default" w:ascii="Times New Roman" w:hAnsi="Times New Roman" w:eastAsia="宋体" w:cs="Times New Roman"/>
                <w:i w:val="0"/>
                <w:iCs w:val="0"/>
                <w:color w:val="000000"/>
                <w:sz w:val="20"/>
                <w:szCs w:val="20"/>
                <w:highlight w:val="none"/>
                <w:u w:val="none"/>
              </w:rPr>
            </w:pPr>
          </w:p>
        </w:tc>
      </w:tr>
      <w:tr w14:paraId="1916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CAE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F3A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8E5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0CA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D5D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90A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D5D5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19BC7">
            <w:pPr>
              <w:jc w:val="right"/>
              <w:rPr>
                <w:rFonts w:hint="default" w:ascii="Times New Roman" w:hAnsi="Times New Roman" w:eastAsia="宋体" w:cs="Times New Roman"/>
                <w:i w:val="0"/>
                <w:iCs w:val="0"/>
                <w:color w:val="000000"/>
                <w:sz w:val="20"/>
                <w:szCs w:val="20"/>
                <w:highlight w:val="none"/>
                <w:u w:val="none"/>
              </w:rPr>
            </w:pPr>
          </w:p>
        </w:tc>
      </w:tr>
      <w:tr w14:paraId="14E7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F1E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76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866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34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3D1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E40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41D0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7797C">
            <w:pPr>
              <w:jc w:val="right"/>
              <w:rPr>
                <w:rFonts w:hint="default" w:ascii="Times New Roman" w:hAnsi="Times New Roman" w:eastAsia="宋体" w:cs="Times New Roman"/>
                <w:i w:val="0"/>
                <w:iCs w:val="0"/>
                <w:color w:val="000000"/>
                <w:sz w:val="20"/>
                <w:szCs w:val="20"/>
                <w:highlight w:val="none"/>
                <w:u w:val="none"/>
              </w:rPr>
            </w:pPr>
          </w:p>
        </w:tc>
      </w:tr>
      <w:tr w14:paraId="6AAD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E1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EEF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90E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268,368.17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052B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185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268,368.17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388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D7F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E468F">
            <w:pPr>
              <w:jc w:val="right"/>
              <w:rPr>
                <w:rFonts w:hint="default" w:ascii="Times New Roman" w:hAnsi="Times New Roman" w:eastAsia="宋体" w:cs="Times New Roman"/>
                <w:i w:val="0"/>
                <w:iCs w:val="0"/>
                <w:color w:val="000000"/>
                <w:sz w:val="20"/>
                <w:szCs w:val="20"/>
                <w:highlight w:val="none"/>
                <w:u w:val="none"/>
              </w:rPr>
            </w:pPr>
          </w:p>
        </w:tc>
      </w:tr>
      <w:tr w14:paraId="124EE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9658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BA5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7C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AE0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31E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484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676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B7797">
            <w:pPr>
              <w:jc w:val="right"/>
              <w:rPr>
                <w:rFonts w:hint="default" w:ascii="Times New Roman" w:hAnsi="Times New Roman" w:eastAsia="宋体" w:cs="Times New Roman"/>
                <w:i w:val="0"/>
                <w:iCs w:val="0"/>
                <w:color w:val="000000"/>
                <w:sz w:val="20"/>
                <w:szCs w:val="20"/>
                <w:highlight w:val="none"/>
                <w:u w:val="none"/>
              </w:rPr>
            </w:pPr>
          </w:p>
        </w:tc>
      </w:tr>
      <w:tr w14:paraId="48BD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18E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E20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753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92B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4BD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E82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9AB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3AF94">
            <w:pPr>
              <w:jc w:val="right"/>
              <w:rPr>
                <w:rFonts w:hint="default" w:ascii="Times New Roman" w:hAnsi="Times New Roman" w:eastAsia="宋体" w:cs="Times New Roman"/>
                <w:i w:val="0"/>
                <w:iCs w:val="0"/>
                <w:color w:val="000000"/>
                <w:sz w:val="20"/>
                <w:szCs w:val="20"/>
                <w:highlight w:val="none"/>
                <w:u w:val="none"/>
              </w:rPr>
            </w:pPr>
          </w:p>
        </w:tc>
      </w:tr>
      <w:tr w14:paraId="4BD3B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F8F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BA3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15F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CCF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8ED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803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067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D37F9">
            <w:pPr>
              <w:jc w:val="right"/>
              <w:rPr>
                <w:rFonts w:hint="default" w:ascii="Times New Roman" w:hAnsi="Times New Roman" w:eastAsia="宋体" w:cs="Times New Roman"/>
                <w:i w:val="0"/>
                <w:iCs w:val="0"/>
                <w:color w:val="000000"/>
                <w:sz w:val="20"/>
                <w:szCs w:val="20"/>
                <w:highlight w:val="none"/>
                <w:u w:val="none"/>
              </w:rPr>
            </w:pPr>
          </w:p>
        </w:tc>
      </w:tr>
      <w:tr w14:paraId="57A4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1C1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B98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3B6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4B5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34E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378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FA31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D7D8F">
            <w:pPr>
              <w:jc w:val="right"/>
              <w:rPr>
                <w:rFonts w:hint="default" w:ascii="Times New Roman" w:hAnsi="Times New Roman" w:eastAsia="宋体" w:cs="Times New Roman"/>
                <w:i w:val="0"/>
                <w:iCs w:val="0"/>
                <w:color w:val="000000"/>
                <w:sz w:val="20"/>
                <w:szCs w:val="20"/>
                <w:highlight w:val="none"/>
                <w:u w:val="none"/>
              </w:rPr>
            </w:pPr>
          </w:p>
        </w:tc>
      </w:tr>
      <w:tr w14:paraId="25F3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90A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1F5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86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CA3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BF4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146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09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629BC">
            <w:pPr>
              <w:jc w:val="right"/>
              <w:rPr>
                <w:rFonts w:hint="default" w:ascii="Times New Roman" w:hAnsi="Times New Roman" w:eastAsia="宋体" w:cs="Times New Roman"/>
                <w:i w:val="0"/>
                <w:iCs w:val="0"/>
                <w:color w:val="000000"/>
                <w:sz w:val="20"/>
                <w:szCs w:val="20"/>
                <w:highlight w:val="none"/>
                <w:u w:val="none"/>
              </w:rPr>
            </w:pPr>
          </w:p>
        </w:tc>
      </w:tr>
      <w:tr w14:paraId="311D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CC6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DCD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7A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E13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46F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641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126E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17036">
            <w:pPr>
              <w:jc w:val="right"/>
              <w:rPr>
                <w:rFonts w:hint="default" w:ascii="Times New Roman" w:hAnsi="Times New Roman" w:eastAsia="宋体" w:cs="Times New Roman"/>
                <w:i w:val="0"/>
                <w:iCs w:val="0"/>
                <w:color w:val="000000"/>
                <w:sz w:val="20"/>
                <w:szCs w:val="20"/>
                <w:highlight w:val="none"/>
                <w:u w:val="none"/>
              </w:rPr>
            </w:pPr>
          </w:p>
        </w:tc>
      </w:tr>
      <w:tr w14:paraId="1BFB7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0D9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DFE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DD0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58A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31F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904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C4E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A70C7">
            <w:pPr>
              <w:jc w:val="right"/>
              <w:rPr>
                <w:rFonts w:hint="default" w:ascii="Times New Roman" w:hAnsi="Times New Roman" w:eastAsia="宋体" w:cs="Times New Roman"/>
                <w:i w:val="0"/>
                <w:iCs w:val="0"/>
                <w:color w:val="000000"/>
                <w:sz w:val="20"/>
                <w:szCs w:val="20"/>
                <w:highlight w:val="none"/>
                <w:u w:val="none"/>
              </w:rPr>
            </w:pPr>
          </w:p>
        </w:tc>
      </w:tr>
      <w:tr w14:paraId="3D5A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B81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D1A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涉外发展服务支出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6D1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B52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794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3FA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F45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A442D">
            <w:pPr>
              <w:jc w:val="right"/>
              <w:rPr>
                <w:rFonts w:hint="default" w:ascii="Times New Roman" w:hAnsi="Times New Roman" w:eastAsia="宋体" w:cs="Times New Roman"/>
                <w:i w:val="0"/>
                <w:iCs w:val="0"/>
                <w:color w:val="000000"/>
                <w:sz w:val="20"/>
                <w:szCs w:val="20"/>
                <w:highlight w:val="none"/>
                <w:u w:val="none"/>
              </w:rPr>
            </w:pPr>
          </w:p>
        </w:tc>
      </w:tr>
      <w:tr w14:paraId="7133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061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4E7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其他涉外发展服务支出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41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B8E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FAC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EB05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87F0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F2D0A">
            <w:pPr>
              <w:jc w:val="right"/>
              <w:rPr>
                <w:rFonts w:hint="default" w:ascii="Times New Roman" w:hAnsi="Times New Roman" w:eastAsia="宋体" w:cs="Times New Roman"/>
                <w:i w:val="0"/>
                <w:iCs w:val="0"/>
                <w:color w:val="000000"/>
                <w:sz w:val="20"/>
                <w:szCs w:val="20"/>
                <w:highlight w:val="none"/>
                <w:u w:val="none"/>
              </w:rPr>
            </w:pPr>
          </w:p>
        </w:tc>
      </w:tr>
      <w:tr w14:paraId="34E20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5D2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E31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D1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BC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861E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85C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190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88204">
            <w:pPr>
              <w:jc w:val="right"/>
              <w:rPr>
                <w:rFonts w:hint="default" w:ascii="Times New Roman" w:hAnsi="Times New Roman" w:eastAsia="宋体" w:cs="Times New Roman"/>
                <w:i w:val="0"/>
                <w:iCs w:val="0"/>
                <w:color w:val="000000"/>
                <w:sz w:val="20"/>
                <w:szCs w:val="20"/>
                <w:highlight w:val="none"/>
                <w:u w:val="none"/>
              </w:rPr>
            </w:pPr>
          </w:p>
        </w:tc>
      </w:tr>
      <w:tr w14:paraId="15AD7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A3C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70F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54D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C23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C14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8E6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731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4F211">
            <w:pPr>
              <w:jc w:val="right"/>
              <w:rPr>
                <w:rFonts w:hint="default" w:ascii="Times New Roman" w:hAnsi="Times New Roman" w:eastAsia="宋体" w:cs="Times New Roman"/>
                <w:i w:val="0"/>
                <w:iCs w:val="0"/>
                <w:color w:val="000000"/>
                <w:sz w:val="20"/>
                <w:szCs w:val="20"/>
                <w:highlight w:val="none"/>
                <w:u w:val="none"/>
              </w:rPr>
            </w:pPr>
          </w:p>
        </w:tc>
      </w:tr>
      <w:tr w14:paraId="3DAC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AD5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207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81D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195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BEED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ADC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059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59F84">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单位（单位）：石家庄市商务局（本级）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79,612.12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1,359.14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1,359.14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132.93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132.93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268,368.17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347,9584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347,9584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79,612.12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347,9884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347,9884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79,642.12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单位（单位）：石家庄市商务局（本级）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79,612.12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4,0072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75,605.10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3,4892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2,331.82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1,157.21</w:t>
            </w:r>
          </w:p>
        </w:tc>
      </w:tr>
      <w:tr w14:paraId="5D620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19F3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3D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9A6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734A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F2D2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r>
      <w:tr w14:paraId="6AB5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7C77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04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5C0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3C5D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739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r>
      <w:tr w14:paraId="0ED2F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C6FE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972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C19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D87A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316F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r>
      <w:tr w14:paraId="6831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01C9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4EC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海关关务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9F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FDB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8EE2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r>
      <w:tr w14:paraId="3FEA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818F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7CB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95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2,8951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F16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2,331.82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A965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r>
      <w:tr w14:paraId="2A7E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10B7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BBD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5EB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2,239.75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C56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2,239.75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201885">
            <w:pPr>
              <w:jc w:val="right"/>
              <w:rPr>
                <w:rFonts w:hint="default" w:ascii="Times New Roman" w:hAnsi="Times New Roman" w:eastAsia="宋体" w:cs="Times New Roman"/>
                <w:i w:val="0"/>
                <w:iCs w:val="0"/>
                <w:color w:val="000000"/>
                <w:sz w:val="20"/>
                <w:szCs w:val="20"/>
                <w:highlight w:val="none"/>
                <w:u w:val="none"/>
              </w:rPr>
            </w:pPr>
          </w:p>
        </w:tc>
      </w:tr>
      <w:tr w14:paraId="7C220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1B62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581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53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020B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F900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563.19</w:t>
            </w:r>
          </w:p>
        </w:tc>
      </w:tr>
      <w:tr w14:paraId="1D391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FD0A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BE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F4A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577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C10999">
            <w:pPr>
              <w:jc w:val="right"/>
              <w:rPr>
                <w:rFonts w:hint="default" w:ascii="Times New Roman" w:hAnsi="Times New Roman" w:eastAsia="宋体" w:cs="Times New Roman"/>
                <w:i w:val="0"/>
                <w:iCs w:val="0"/>
                <w:color w:val="000000"/>
                <w:sz w:val="20"/>
                <w:szCs w:val="20"/>
                <w:highlight w:val="none"/>
                <w:u w:val="none"/>
              </w:rPr>
            </w:pPr>
          </w:p>
        </w:tc>
      </w:tr>
      <w:tr w14:paraId="2D4B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4100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0E8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A8D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108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9503EF">
            <w:pPr>
              <w:jc w:val="right"/>
              <w:rPr>
                <w:rFonts w:hint="default" w:ascii="Times New Roman" w:hAnsi="Times New Roman" w:eastAsia="宋体" w:cs="Times New Roman"/>
                <w:i w:val="0"/>
                <w:iCs w:val="0"/>
                <w:color w:val="000000"/>
                <w:sz w:val="20"/>
                <w:szCs w:val="20"/>
                <w:highlight w:val="none"/>
                <w:u w:val="none"/>
              </w:rPr>
            </w:pPr>
          </w:p>
        </w:tc>
      </w:tr>
      <w:tr w14:paraId="57BDC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E8BA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BFE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70D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965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1,359.14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70F65A">
            <w:pPr>
              <w:jc w:val="right"/>
              <w:rPr>
                <w:rFonts w:hint="default" w:ascii="Times New Roman" w:hAnsi="Times New Roman" w:eastAsia="宋体" w:cs="Times New Roman"/>
                <w:i w:val="0"/>
                <w:iCs w:val="0"/>
                <w:color w:val="000000"/>
                <w:sz w:val="20"/>
                <w:szCs w:val="20"/>
                <w:highlight w:val="none"/>
                <w:u w:val="none"/>
              </w:rPr>
            </w:pPr>
          </w:p>
        </w:tc>
      </w:tr>
      <w:tr w14:paraId="5E49E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E689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917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F5B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7A6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1,116.65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B34EF2">
            <w:pPr>
              <w:jc w:val="right"/>
              <w:rPr>
                <w:rFonts w:hint="default" w:ascii="Times New Roman" w:hAnsi="Times New Roman" w:eastAsia="宋体" w:cs="Times New Roman"/>
                <w:i w:val="0"/>
                <w:iCs w:val="0"/>
                <w:color w:val="000000"/>
                <w:sz w:val="20"/>
                <w:szCs w:val="20"/>
                <w:highlight w:val="none"/>
                <w:u w:val="none"/>
              </w:rPr>
            </w:pPr>
          </w:p>
        </w:tc>
      </w:tr>
      <w:tr w14:paraId="47BD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9429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2D0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084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36E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582851">
            <w:pPr>
              <w:jc w:val="right"/>
              <w:rPr>
                <w:rFonts w:hint="default" w:ascii="Times New Roman" w:hAnsi="Times New Roman" w:eastAsia="宋体" w:cs="Times New Roman"/>
                <w:i w:val="0"/>
                <w:iCs w:val="0"/>
                <w:color w:val="000000"/>
                <w:sz w:val="20"/>
                <w:szCs w:val="20"/>
                <w:highlight w:val="none"/>
                <w:u w:val="none"/>
              </w:rPr>
            </w:pPr>
          </w:p>
        </w:tc>
      </w:tr>
      <w:tr w14:paraId="1CC78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ECF0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82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C4C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67A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BFBF06">
            <w:pPr>
              <w:jc w:val="right"/>
              <w:rPr>
                <w:rFonts w:hint="default" w:ascii="Times New Roman" w:hAnsi="Times New Roman" w:eastAsia="宋体" w:cs="Times New Roman"/>
                <w:i w:val="0"/>
                <w:iCs w:val="0"/>
                <w:color w:val="000000"/>
                <w:sz w:val="20"/>
                <w:szCs w:val="20"/>
                <w:highlight w:val="none"/>
                <w:u w:val="none"/>
              </w:rPr>
            </w:pPr>
          </w:p>
        </w:tc>
      </w:tr>
      <w:tr w14:paraId="2DE8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17A2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5C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CC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47C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30D9A4">
            <w:pPr>
              <w:jc w:val="right"/>
              <w:rPr>
                <w:rFonts w:hint="default" w:ascii="Times New Roman" w:hAnsi="Times New Roman" w:eastAsia="宋体" w:cs="Times New Roman"/>
                <w:i w:val="0"/>
                <w:iCs w:val="0"/>
                <w:color w:val="000000"/>
                <w:sz w:val="20"/>
                <w:szCs w:val="20"/>
                <w:highlight w:val="none"/>
                <w:u w:val="none"/>
              </w:rPr>
            </w:pPr>
          </w:p>
        </w:tc>
      </w:tr>
      <w:tr w14:paraId="01512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A724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5F1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6A1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5E5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132.93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7D2D54">
            <w:pPr>
              <w:jc w:val="right"/>
              <w:rPr>
                <w:rFonts w:hint="default" w:ascii="Times New Roman" w:hAnsi="Times New Roman" w:eastAsia="宋体" w:cs="Times New Roman"/>
                <w:i w:val="0"/>
                <w:iCs w:val="0"/>
                <w:color w:val="000000"/>
                <w:sz w:val="20"/>
                <w:szCs w:val="20"/>
                <w:highlight w:val="none"/>
                <w:u w:val="none"/>
              </w:rPr>
            </w:pPr>
          </w:p>
        </w:tc>
      </w:tr>
      <w:tr w14:paraId="78415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10C2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5D7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586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E98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D2CA69">
            <w:pPr>
              <w:jc w:val="right"/>
              <w:rPr>
                <w:rFonts w:hint="default" w:ascii="Times New Roman" w:hAnsi="Times New Roman" w:eastAsia="宋体" w:cs="Times New Roman"/>
                <w:i w:val="0"/>
                <w:iCs w:val="0"/>
                <w:color w:val="000000"/>
                <w:sz w:val="20"/>
                <w:szCs w:val="20"/>
                <w:highlight w:val="none"/>
                <w:u w:val="none"/>
              </w:rPr>
            </w:pPr>
          </w:p>
        </w:tc>
      </w:tr>
      <w:tr w14:paraId="461AF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76B9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190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EB0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692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272A76">
            <w:pPr>
              <w:jc w:val="right"/>
              <w:rPr>
                <w:rFonts w:hint="default" w:ascii="Times New Roman" w:hAnsi="Times New Roman" w:eastAsia="宋体" w:cs="Times New Roman"/>
                <w:i w:val="0"/>
                <w:iCs w:val="0"/>
                <w:color w:val="000000"/>
                <w:sz w:val="20"/>
                <w:szCs w:val="20"/>
                <w:highlight w:val="none"/>
                <w:u w:val="none"/>
              </w:rPr>
            </w:pPr>
          </w:p>
        </w:tc>
      </w:tr>
      <w:tr w14:paraId="21F4B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5FEA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59C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AAA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FFE4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69D2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25BD0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FD36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03A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485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D220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E79C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45DF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C0F0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ABB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C62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E754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2512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032E7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9717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0A5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CFE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5A8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96A0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r>
      <w:tr w14:paraId="0FB2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AB8E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B3D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80E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AF3C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8721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r>
      <w:tr w14:paraId="71A1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6FB9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4DF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DF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6E11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23E5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r>
      <w:tr w14:paraId="418E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8CF6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9EA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涉外发展服务支出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B0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0C27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0145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r>
      <w:tr w14:paraId="1BA18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C56B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222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其他涉外发展服务支出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3E0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3CE6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AE96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r>
      <w:tr w14:paraId="7CAFA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BAD0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6B7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E44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E05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15C90C">
            <w:pPr>
              <w:jc w:val="right"/>
              <w:rPr>
                <w:rFonts w:hint="default" w:ascii="Times New Roman" w:hAnsi="Times New Roman" w:eastAsia="宋体" w:cs="Times New Roman"/>
                <w:i w:val="0"/>
                <w:iCs w:val="0"/>
                <w:color w:val="000000"/>
                <w:sz w:val="20"/>
                <w:szCs w:val="20"/>
                <w:highlight w:val="none"/>
                <w:u w:val="none"/>
              </w:rPr>
            </w:pPr>
          </w:p>
        </w:tc>
      </w:tr>
      <w:tr w14:paraId="25AB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67E4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28C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6B5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280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B13B9F">
            <w:pPr>
              <w:jc w:val="right"/>
              <w:rPr>
                <w:rFonts w:hint="default" w:ascii="Times New Roman" w:hAnsi="Times New Roman" w:eastAsia="宋体" w:cs="Times New Roman"/>
                <w:i w:val="0"/>
                <w:iCs w:val="0"/>
                <w:color w:val="000000"/>
                <w:sz w:val="20"/>
                <w:szCs w:val="20"/>
                <w:highlight w:val="none"/>
                <w:u w:val="none"/>
              </w:rPr>
            </w:pPr>
          </w:p>
        </w:tc>
      </w:tr>
      <w:tr w14:paraId="77E36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9990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B6E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B1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9A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194180">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单位（单位）：石家庄市商务局（本级）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2,237.45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328.23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635.85</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446.41</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4984</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7.22</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196.34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68.23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46.14</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2.91</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70.71</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62.22</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40.26</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183.13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93.96</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1,440.94</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47.58</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1,144.79</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11.42</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85.14</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44.87</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3,678.39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328.63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单位（单位）：石家庄市商务局（本级）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0AC3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295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9F3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9D5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A7C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1C5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751A6">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3C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E9EAD">
            <w:pPr>
              <w:jc w:val="right"/>
              <w:rPr>
                <w:rFonts w:hint="default" w:ascii="Times New Roman" w:hAnsi="Times New Roman" w:eastAsia="宋体" w:cs="Times New Roman"/>
                <w:i w:val="0"/>
                <w:iCs w:val="0"/>
                <w:color w:val="000000"/>
                <w:sz w:val="20"/>
                <w:szCs w:val="20"/>
                <w:highlight w:val="none"/>
                <w:u w:val="none"/>
              </w:rPr>
            </w:pPr>
          </w:p>
        </w:tc>
      </w:tr>
      <w:tr w14:paraId="1200E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16D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0C4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8D0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788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A97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32A76">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0C3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E8FF8">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单位（单位）：石家庄市商务局（本级）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单位（单位）：石家庄市商务局（本级）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20.32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52.50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34.50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3.23</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49.54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15.88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33.48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17.98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15.50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0.18</w:t>
            </w: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CA771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59CC207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46340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本单位2025年度收、支总计（含结转和结余）均为347,988.32万元。与2024年度决算相比，收支各增加172,023.21万元，增长97.8%，主要原因是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5E47DB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AC567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本单位2025年度本年收入合计347,958.32万元，其中：财政拨款收入347,9584万元，占10</w:t>
      </w:r>
      <w:r>
        <w:rPr>
          <w:rFonts w:hint="eastAsia" w:ascii="Times New Roman" w:eastAsia="仿宋_GB2312"/>
          <w:b w:val="0"/>
          <w:sz w:val="32"/>
          <w:szCs w:val="32"/>
          <w:lang w:eastAsia="zh-CN"/>
        </w:rPr>
        <w:t>0</w:t>
      </w:r>
      <w:r>
        <w:rPr>
          <w:rFonts w:ascii="Times New Roman" w:eastAsia="仿宋_GB2312"/>
          <w:b w:val="0"/>
          <w:sz w:val="32"/>
          <w:szCs w:val="32"/>
        </w:rPr>
        <w:t>%；上级补助收入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%；事业收入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%；经营收入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%；附属单位上缴收入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%；其他收入0.28万元，占</w:t>
      </w:r>
      <w:r>
        <w:rPr>
          <w:rFonts w:hint="eastAsia" w:ascii="Times New Roman" w:eastAsia="仿宋_GB2312"/>
          <w:b w:val="0"/>
          <w:sz w:val="32"/>
          <w:szCs w:val="32"/>
          <w:lang w:eastAsia="zh-CN"/>
        </w:rPr>
        <w:t>0</w:t>
      </w:r>
      <w:r>
        <w:rPr>
          <w:rFonts w:ascii="Times New Roman" w:eastAsia="仿宋_GB2312"/>
          <w:b w:val="0"/>
          <w:sz w:val="32"/>
          <w:szCs w:val="32"/>
        </w:rPr>
        <w:t>%。</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DDEE1B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4D870D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本单位2025年度本年支出合计347,958.32万元，其中：基本支出4,007.30万元，占1.2%；项目支出343,9513万元，占98.8%；经营支出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%；上缴上级支出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%；对附属单位补助支出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E596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0B0800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37758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本单位2025年度财政拨款收、支总计（含结转和结余）均为347,9884万元。与2024年度相比，财政拨款收支各增加178,230.79万元，增长105%，主要原因是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1779AC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本单位2025年度财政拨款本年收入347,9584万元,比上年增加178,826.70万元，增长105.7%，主要原因是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；本年支出347,9584万元，比上年增加178,230.79万元，增长105%，主要原因是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。具体情况如下：</w:t>
      </w:r>
    </w:p>
    <w:p w14:paraId="519C5D5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一般公共预算财政拨款本年收入79,612.12万元,比上年增加41,308.25万元，增长107.8%，主要原因是</w:t>
      </w:r>
      <w:r>
        <w:rPr>
          <w:rFonts w:hint="eastAsia" w:ascii="Times New Roman" w:eastAsia="仿宋_GB2312"/>
          <w:b w:val="0"/>
          <w:sz w:val="32"/>
          <w:szCs w:val="32"/>
          <w:lang w:eastAsia="zh-CN"/>
        </w:rPr>
        <w:t>省、市配套下达消费品以旧换新资金</w:t>
      </w:r>
      <w:r>
        <w:rPr>
          <w:rFonts w:ascii="Times New Roman" w:eastAsia="仿宋_GB2312"/>
          <w:b w:val="0"/>
          <w:sz w:val="32"/>
          <w:szCs w:val="32"/>
        </w:rPr>
        <w:t>；本年支出79,612.12万元，比上年增加40,712.34万元，增长104.7%，主要原因是</w:t>
      </w:r>
      <w:r>
        <w:rPr>
          <w:rFonts w:hint="eastAsia" w:ascii="Times New Roman" w:eastAsia="仿宋_GB2312"/>
          <w:b w:val="0"/>
          <w:sz w:val="32"/>
          <w:szCs w:val="32"/>
          <w:lang w:eastAsia="zh-CN"/>
        </w:rPr>
        <w:t>省、市配套下达消费品以旧换新资金</w:t>
      </w:r>
      <w:r>
        <w:rPr>
          <w:rFonts w:ascii="Times New Roman" w:eastAsia="仿宋_GB2312"/>
          <w:b w:val="0"/>
          <w:sz w:val="32"/>
          <w:szCs w:val="32"/>
        </w:rPr>
        <w:t>。</w:t>
      </w:r>
    </w:p>
    <w:p w14:paraId="08B2F9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政府性基金预算财政拨款本年收入268,345.93万元，比上年增加137,518.45万元，增长105.1%，主要原因是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；本年支出268,345.93万元，比上年增加137,518.45万元，增长105.1%，主要原因是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4DE5CE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；本年支出</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358BE9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C586C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本单位2025年度财政拨款本年收入347,9584万元，完成年初预算的4,238.4%，比年初预算增加339,748.38万元，决算数大于预算数主要原因是</w:t>
      </w:r>
      <w:r>
        <w:rPr>
          <w:rFonts w:hint="eastAsia" w:ascii="Times New Roman" w:eastAsia="仿宋_GB2312"/>
          <w:b w:val="0"/>
          <w:sz w:val="32"/>
          <w:szCs w:val="32"/>
          <w:lang w:eastAsia="zh-CN"/>
        </w:rPr>
        <w:t>中央、省、市分批次下达消费品以旧换新资金</w:t>
      </w:r>
      <w:r>
        <w:rPr>
          <w:rFonts w:ascii="Times New Roman" w:eastAsia="仿宋_GB2312"/>
          <w:b w:val="0"/>
          <w:sz w:val="32"/>
          <w:szCs w:val="32"/>
        </w:rPr>
        <w:t>；本年支出347,9584万元，完成年初预算的4,238.4%，比年初预算增加339,748.38万元，决算数大于预算数主要原因是</w:t>
      </w:r>
      <w:r>
        <w:rPr>
          <w:rFonts w:hint="eastAsia" w:ascii="Times New Roman" w:eastAsia="仿宋_GB2312"/>
          <w:b w:val="0"/>
          <w:sz w:val="32"/>
          <w:szCs w:val="32"/>
          <w:lang w:eastAsia="zh-CN"/>
        </w:rPr>
        <w:t>中央、省、市分批次下达消费品以旧换新资金</w:t>
      </w:r>
      <w:r>
        <w:rPr>
          <w:rFonts w:ascii="Times New Roman" w:eastAsia="仿宋_GB2312"/>
          <w:b w:val="0"/>
          <w:sz w:val="32"/>
          <w:szCs w:val="32"/>
        </w:rPr>
        <w:t>。具体情况如下：</w:t>
      </w:r>
    </w:p>
    <w:p w14:paraId="7ACF2E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一般公共预算财政拨款本年收入完成年初预算的969.8%，比年初预算增加71,402.66万元，主要原因是</w:t>
      </w:r>
      <w:r>
        <w:rPr>
          <w:rFonts w:hint="eastAsia" w:ascii="Times New Roman" w:eastAsia="仿宋_GB2312"/>
          <w:b w:val="0"/>
          <w:sz w:val="32"/>
          <w:szCs w:val="32"/>
          <w:lang w:eastAsia="zh-CN"/>
        </w:rPr>
        <w:t>省、市分批次下达消费品以旧换新配套资金</w:t>
      </w:r>
      <w:r>
        <w:rPr>
          <w:rFonts w:ascii="Times New Roman" w:eastAsia="仿宋_GB2312"/>
          <w:b w:val="0"/>
          <w:sz w:val="32"/>
          <w:szCs w:val="32"/>
        </w:rPr>
        <w:t>；支出完成年初预算的969.8%，比年初预算增加71,402.66万元，主要原因是</w:t>
      </w:r>
      <w:r>
        <w:rPr>
          <w:rFonts w:hint="eastAsia" w:ascii="Times New Roman" w:eastAsia="仿宋_GB2312"/>
          <w:b w:val="0"/>
          <w:sz w:val="32"/>
          <w:szCs w:val="32"/>
          <w:lang w:eastAsia="zh-CN"/>
        </w:rPr>
        <w:t>省、市分批次下达消费品以旧换新配套资金</w:t>
      </w:r>
      <w:r>
        <w:rPr>
          <w:rFonts w:ascii="Times New Roman" w:eastAsia="仿宋_GB2312"/>
          <w:b w:val="0"/>
          <w:sz w:val="32"/>
          <w:szCs w:val="32"/>
        </w:rPr>
        <w:t>。</w:t>
      </w:r>
    </w:p>
    <w:p w14:paraId="65201B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政府性基金预算财政拨款本年收入完成年初预算的134,172,965%，比年初预算增加268,345.73万元，主要原因是</w:t>
      </w:r>
      <w:r>
        <w:rPr>
          <w:rFonts w:hint="eastAsia" w:ascii="Times New Roman" w:eastAsia="仿宋_GB2312"/>
          <w:b w:val="0"/>
          <w:sz w:val="32"/>
          <w:szCs w:val="32"/>
          <w:lang w:eastAsia="zh-CN"/>
        </w:rPr>
        <w:t>中央分批次下达消费品以旧换新资金</w:t>
      </w:r>
      <w:r>
        <w:rPr>
          <w:rFonts w:ascii="Times New Roman" w:eastAsia="仿宋_GB2312"/>
          <w:b w:val="0"/>
          <w:sz w:val="32"/>
          <w:szCs w:val="32"/>
        </w:rPr>
        <w:t>；支出完成年初预算的134,172,965%，比年初预算增加268,345.73万元，主要原因是</w:t>
      </w:r>
      <w:r>
        <w:rPr>
          <w:rFonts w:hint="eastAsia" w:ascii="Times New Roman" w:eastAsia="仿宋_GB2312"/>
          <w:b w:val="0"/>
          <w:sz w:val="32"/>
          <w:szCs w:val="32"/>
          <w:lang w:eastAsia="zh-CN"/>
        </w:rPr>
        <w:t>中央分批次下达消费品以旧换新资金</w:t>
      </w:r>
      <w:r>
        <w:rPr>
          <w:rFonts w:ascii="Times New Roman" w:eastAsia="仿宋_GB2312"/>
          <w:b w:val="0"/>
          <w:sz w:val="32"/>
          <w:szCs w:val="32"/>
        </w:rPr>
        <w:t>。</w:t>
      </w:r>
    </w:p>
    <w:p w14:paraId="7E0C01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F4B74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987F7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2025年度财政拨款支出347,9584万元，主要用于以下方面：</w:t>
      </w:r>
    </w:p>
    <w:p w14:paraId="5D43D8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E08DF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一般公共服务（类）支出3,4892万元，占1%；外交（类）支出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（类）支出1,359.14万元，占0.4%；卫生健康（类）支出132.93万元，占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%；资源勘探信息等（类）支出22.24万元，占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%；商业服务业等（类）支出74,425.65万元，占21.4%；金融（类）支出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%；住房保障（类）支出183.13万元，占0.1%；粮油物资储备（类）支出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7D5D19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8CCAC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%；资源勘探信息等（类）支出268,345.93万元，占77.1%；商业服务业等（类）支出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117A11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0D2A74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23C2356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15B57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2025年度财政拨款基本支出4,0072万元，其中：</w:t>
      </w:r>
    </w:p>
    <w:p w14:paraId="3FD5A4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人员经费3,678.39万元，主要包括基本工资、津贴补贴、奖金、伙食补助费、绩效工资、机关事业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43A5A6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328.63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A36309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72B596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B67DD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本单位2025年度“三公”经费财政拨款支出预算为765万元，支出决算为49.54万元，完成预算的65.1%，较预算减少26.52万元，降低34.9%，主要原因是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；较2024年度决算增加183万元，增长57.2%，主要原因是</w:t>
      </w:r>
      <w:r>
        <w:rPr>
          <w:rFonts w:hint="eastAsia" w:ascii="Times New Roman" w:eastAsia="仿宋_GB2312"/>
          <w:b w:val="0"/>
          <w:sz w:val="32"/>
          <w:szCs w:val="32"/>
          <w:lang w:eastAsia="zh-CN"/>
        </w:rPr>
        <w:t>增加了出国活动和公务用车购置</w:t>
      </w:r>
      <w:r>
        <w:rPr>
          <w:rFonts w:ascii="Times New Roman" w:eastAsia="仿宋_GB2312"/>
          <w:b w:val="0"/>
          <w:sz w:val="32"/>
          <w:szCs w:val="32"/>
        </w:rPr>
        <w:t>。</w:t>
      </w:r>
    </w:p>
    <w:p w14:paraId="41C4CE0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C9CAF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本单位2025年度因公出国（境）费支出预算为20.32万元,支出决算15.88万元。完成预算的78.1%。因公出国（境）费支出较预算减少4.44万元，降低21.9%,主要原因是</w:t>
      </w:r>
      <w:r>
        <w:rPr>
          <w:rFonts w:hint="eastAsia" w:ascii="Times New Roman" w:eastAsia="仿宋_GB2312"/>
          <w:b w:val="0"/>
          <w:sz w:val="32"/>
          <w:szCs w:val="32"/>
          <w:lang w:eastAsia="zh-CN"/>
        </w:rPr>
        <w:t>按相关规定严控因公出国</w:t>
      </w:r>
      <w:r>
        <w:rPr>
          <w:rFonts w:ascii="Times New Roman" w:eastAsia="仿宋_GB2312"/>
          <w:b w:val="0"/>
          <w:sz w:val="32"/>
          <w:szCs w:val="32"/>
        </w:rPr>
        <w:t>（境）费支出；较上年增加15.88万元，增长10</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根据工作安排开展出国活动</w:t>
      </w:r>
      <w:r>
        <w:rPr>
          <w:rFonts w:ascii="Times New Roman" w:eastAsia="仿宋_GB2312"/>
          <w:b w:val="0"/>
          <w:sz w:val="32"/>
          <w:szCs w:val="32"/>
        </w:rPr>
        <w:t>。因公出国（境）团组2个、共4人、参加其他单位组织的因公出国（境）团组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240F0E6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本单位2025年度公务用车购置及运行维护费预算为52.50万元，支出决算33.48万元，完成预算的63.8%,较预算减少192万元，降低36.2%,主要原因是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；较上年增加3.54万元，增长11.8%,主要原因是</w:t>
      </w:r>
      <w:r>
        <w:rPr>
          <w:rFonts w:hint="eastAsia" w:ascii="Times New Roman" w:eastAsia="仿宋_GB2312"/>
          <w:b w:val="0"/>
          <w:sz w:val="32"/>
          <w:szCs w:val="32"/>
          <w:lang w:eastAsia="zh-CN"/>
        </w:rPr>
        <w:t>发生公务用车购置经费支出</w:t>
      </w:r>
      <w:r>
        <w:rPr>
          <w:rFonts w:ascii="Times New Roman" w:eastAsia="仿宋_GB2312"/>
          <w:b w:val="0"/>
          <w:sz w:val="32"/>
          <w:szCs w:val="32"/>
        </w:rPr>
        <w:t>。其中：</w:t>
      </w:r>
    </w:p>
    <w:p w14:paraId="25E22AD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公务用车购置费支出17.98万元：</w:t>
      </w:r>
      <w:r>
        <w:rPr>
          <w:rFonts w:ascii="Times New Roman" w:eastAsia="仿宋_GB2312"/>
          <w:b w:val="0"/>
          <w:sz w:val="32"/>
          <w:szCs w:val="32"/>
        </w:rPr>
        <w:t>本单位2025年度公务用车购置量1辆，发生“公务用车购置”经费支出17.98万元。公务用车购置费支出较预算减少</w:t>
      </w:r>
      <w:r>
        <w:rPr>
          <w:rFonts w:hint="eastAsia" w:ascii="Times New Roman" w:eastAsia="仿宋_GB2312"/>
          <w:b w:val="0"/>
          <w:sz w:val="32"/>
          <w:szCs w:val="32"/>
          <w:lang w:eastAsia="zh-CN"/>
        </w:rPr>
        <w:t>0</w:t>
      </w:r>
      <w:r>
        <w:rPr>
          <w:rFonts w:ascii="Times New Roman" w:eastAsia="仿宋_GB2312"/>
          <w:b w:val="0"/>
          <w:sz w:val="32"/>
          <w:szCs w:val="32"/>
        </w:rPr>
        <w:t>2万元，降低0.1%,主要原因是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；较上年增加7.50万元，增长71.6%,主要原因是</w:t>
      </w:r>
      <w:r>
        <w:rPr>
          <w:rFonts w:hint="eastAsia" w:ascii="Times New Roman" w:eastAsia="仿宋_GB2312"/>
          <w:b w:val="0"/>
          <w:sz w:val="32"/>
          <w:szCs w:val="32"/>
          <w:lang w:eastAsia="zh-CN"/>
        </w:rPr>
        <w:t>按照公车购置计划进行采购</w:t>
      </w:r>
      <w:r>
        <w:rPr>
          <w:rFonts w:ascii="Times New Roman" w:eastAsia="仿宋_GB2312"/>
          <w:b w:val="0"/>
          <w:sz w:val="32"/>
          <w:szCs w:val="32"/>
        </w:rPr>
        <w:t>。</w:t>
      </w:r>
    </w:p>
    <w:p w14:paraId="2F5A10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公务用车运行维护费支出15.50万元：</w:t>
      </w:r>
      <w:r>
        <w:rPr>
          <w:rFonts w:ascii="Times New Roman" w:eastAsia="仿宋_GB2312"/>
          <w:b w:val="0"/>
          <w:sz w:val="32"/>
          <w:szCs w:val="32"/>
        </w:rPr>
        <w:t>本单位2025年度单位公务用车保有量10辆，发生运行维护费支出15.50万元。公车运行维护费支出较预算减少190万元，降低55.1%,主要原因是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；较上年减少3.96万元，降低20.3%，主要原因是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w:t>
      </w:r>
    </w:p>
    <w:p w14:paraId="4D337C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本单位2025年度公务接待费支出预算为3.23万元，支出决算0.18万元，完成预算的5.6%。公务接待费支出较预算减少35万元，降低94.4%,主要原因是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；较上年度减少1.39万元，降低88.5%,主要原因是</w:t>
      </w:r>
      <w:r>
        <w:rPr>
          <w:rFonts w:hint="eastAsia" w:ascii="方正仿宋_GBK" w:hAnsi="方正仿宋_GBK" w:eastAsia="方正仿宋_GBK" w:cs="方正仿宋_GBK"/>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。本年度共发生公务接待2批次、12人次。</w:t>
      </w:r>
    </w:p>
    <w:p w14:paraId="6D7E07B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939EC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本单位2025年度机关运行经费支出328.63万元，较2024年度减少26.38万元，降低7.4%。主要原因是</w:t>
      </w:r>
      <w:r>
        <w:rPr>
          <w:rFonts w:hint="eastAsia" w:ascii="方正仿宋_GBK" w:hAnsi="方正仿宋_GBK" w:eastAsia="方正仿宋_GBK" w:cs="方正仿宋_GBK"/>
          <w:kern w:val="0"/>
          <w:sz w:val="32"/>
          <w:szCs w:val="32"/>
          <w:highlight w:val="none"/>
          <w:lang w:val="en-US" w:eastAsia="zh-CN"/>
        </w:rPr>
        <w:t>按照有关规定，持续压减机关运行成本</w:t>
      </w:r>
      <w:r>
        <w:rPr>
          <w:rFonts w:ascii="Times New Roman" w:eastAsia="仿宋_GB2312"/>
          <w:b w:val="0"/>
          <w:sz w:val="32"/>
          <w:szCs w:val="32"/>
        </w:rPr>
        <w:t>。</w:t>
      </w:r>
    </w:p>
    <w:p w14:paraId="541AED9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03A9F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本单位2025年度政府采购支出总额1,646.61万元，从采购类型来看，政府采购货物支出52.32万元、政府采购工程支出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万元、政府采购服务支出1,594.29万元。授予中小企业合同金额1,587.93万元，占政府采购支出总额的96.4%，其中授予小微企业合同金额1,453.93万元，占政府采购支出总额的88.3%。</w:t>
      </w:r>
    </w:p>
    <w:p w14:paraId="41BE9BE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42A9B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10辆，比上年减少4辆，主要是。其中，副部（省）级及以上领导用车0辆，主要负责人用车0辆，机要通信用车1辆，应急保障用车1辆，执法执勤用车0辆，特种专业技术用车0辆，离退休干部用车5辆，其他用车3辆，其他用车主要是。单位价值100万元（含）以上设备（不含车辆）0台（套）。</w:t>
      </w:r>
    </w:p>
    <w:p w14:paraId="78CDA8D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3236B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1A41D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根据预算绩效管理要求，本单位组织对2025年度本级预算项目支出全面开展绩效自评，共涉及资金</w:t>
      </w:r>
      <w:r>
        <w:rPr>
          <w:rFonts w:hint="eastAsia" w:ascii="方正仿宋_GBK" w:hAnsi="方正仿宋_GBK" w:eastAsia="方正仿宋_GBK" w:cs="方正仿宋_GBK"/>
          <w:b w:val="0"/>
          <w:sz w:val="32"/>
          <w:szCs w:val="32"/>
          <w:lang w:val="en-US" w:eastAsia="zh-CN"/>
        </w:rPr>
        <w:t>357972.94</w:t>
      </w:r>
      <w:r>
        <w:rPr>
          <w:rFonts w:hint="eastAsia" w:ascii="方正仿宋_GBK" w:hAnsi="方正仿宋_GBK" w:eastAsia="方正仿宋_GBK" w:cs="方正仿宋_GBK"/>
          <w:b w:val="0"/>
          <w:sz w:val="32"/>
          <w:szCs w:val="32"/>
        </w:rPr>
        <w:t>万元。组织对</w:t>
      </w:r>
      <w:r>
        <w:rPr>
          <w:rFonts w:hint="eastAsia" w:ascii="方正仿宋_GBK" w:hAnsi="方正仿宋_GBK" w:eastAsia="方正仿宋_GBK" w:cs="方正仿宋_GBK"/>
          <w:b w:val="0"/>
          <w:sz w:val="32"/>
          <w:szCs w:val="32"/>
          <w:lang w:eastAsia="zh-CN"/>
        </w:rPr>
        <w:t>肉菜储备及惠民补贴</w:t>
      </w:r>
      <w:r>
        <w:rPr>
          <w:rFonts w:hint="eastAsia" w:ascii="方正仿宋_GBK" w:hAnsi="方正仿宋_GBK" w:eastAsia="方正仿宋_GBK" w:cs="方正仿宋_GBK"/>
          <w:b w:val="0"/>
          <w:sz w:val="32"/>
          <w:szCs w:val="32"/>
        </w:rPr>
        <w:t>等</w:t>
      </w:r>
      <w:r>
        <w:rPr>
          <w:rFonts w:hint="eastAsia" w:ascii="方正仿宋_GBK" w:hAnsi="方正仿宋_GBK" w:eastAsia="方正仿宋_GBK" w:cs="方正仿宋_GBK"/>
          <w:b w:val="0"/>
          <w:sz w:val="32"/>
          <w:szCs w:val="32"/>
          <w:lang w:val="en-US" w:eastAsia="zh-CN"/>
        </w:rPr>
        <w:t>2</w:t>
      </w:r>
      <w:r>
        <w:rPr>
          <w:rFonts w:hint="eastAsia" w:ascii="方正仿宋_GBK" w:hAnsi="方正仿宋_GBK" w:eastAsia="方正仿宋_GBK" w:cs="方正仿宋_GBK"/>
          <w:b w:val="0"/>
          <w:sz w:val="32"/>
          <w:szCs w:val="32"/>
        </w:rPr>
        <w:t>个项目开展了部门重点评价，涉及一般公共预算支出</w:t>
      </w:r>
      <w:r>
        <w:rPr>
          <w:rFonts w:hint="eastAsia" w:ascii="方正仿宋_GBK" w:hAnsi="方正仿宋_GBK" w:eastAsia="方正仿宋_GBK" w:cs="方正仿宋_GBK"/>
          <w:b w:val="0"/>
          <w:sz w:val="32"/>
          <w:szCs w:val="32"/>
          <w:lang w:val="en-US" w:eastAsia="zh-CN"/>
        </w:rPr>
        <w:t>2525</w:t>
      </w:r>
      <w:r>
        <w:rPr>
          <w:rFonts w:hint="eastAsia" w:ascii="方正仿宋_GBK" w:hAnsi="方正仿宋_GBK" w:eastAsia="方正仿宋_GBK" w:cs="方正仿宋_GBK"/>
          <w:b w:val="0"/>
          <w:sz w:val="32"/>
          <w:szCs w:val="32"/>
        </w:rPr>
        <w:t>万元，政府性基金预算支出</w:t>
      </w:r>
      <w:r>
        <w:rPr>
          <w:rFonts w:hint="eastAsia" w:ascii="方正仿宋_GBK" w:hAnsi="方正仿宋_GBK" w:eastAsia="方正仿宋_GBK" w:cs="方正仿宋_GBK"/>
          <w:b w:val="0"/>
          <w:sz w:val="32"/>
          <w:szCs w:val="32"/>
          <w:lang w:val="en-US" w:eastAsia="zh-CN"/>
        </w:rPr>
        <w:t>0</w:t>
      </w:r>
      <w:r>
        <w:rPr>
          <w:rFonts w:hint="eastAsia" w:ascii="方正仿宋_GBK" w:hAnsi="方正仿宋_GBK" w:eastAsia="方正仿宋_GBK" w:cs="方正仿宋_GBK"/>
          <w:b w:val="0"/>
          <w:sz w:val="32"/>
          <w:szCs w:val="32"/>
        </w:rPr>
        <w:t>万元，国有资本经营预算支出</w:t>
      </w:r>
      <w:r>
        <w:rPr>
          <w:rFonts w:hint="eastAsia" w:ascii="方正仿宋_GBK" w:hAnsi="方正仿宋_GBK" w:eastAsia="方正仿宋_GBK" w:cs="方正仿宋_GBK"/>
          <w:b w:val="0"/>
          <w:sz w:val="32"/>
          <w:szCs w:val="32"/>
          <w:lang w:val="en-US" w:eastAsia="zh-CN"/>
        </w:rPr>
        <w:t>0</w:t>
      </w:r>
      <w:r>
        <w:rPr>
          <w:rFonts w:hint="eastAsia" w:ascii="方正仿宋_GBK" w:hAnsi="方正仿宋_GBK" w:eastAsia="方正仿宋_GBK" w:cs="方正仿宋_GBK"/>
          <w:b w:val="0"/>
          <w:sz w:val="32"/>
          <w:szCs w:val="32"/>
        </w:rPr>
        <w:t>万元，从评价情况来看，</w:t>
      </w:r>
      <w:r>
        <w:rPr>
          <w:rFonts w:hint="eastAsia" w:ascii="方正仿宋_GBK" w:hAnsi="方正仿宋_GBK" w:eastAsia="方正仿宋_GBK" w:cs="方正仿宋_GBK"/>
          <w:kern w:val="0"/>
          <w:sz w:val="32"/>
          <w:szCs w:val="32"/>
          <w:highlight w:val="none"/>
          <w:rtl w:val="0"/>
          <w:lang w:val="en-US" w:eastAsia="zh-CN"/>
        </w:rPr>
        <w:t>我单位结合实际工作，总体绩效目标设定比较准确，符合绩效指标基本情况，绩效评价达到了预期效果</w:t>
      </w:r>
      <w:r>
        <w:rPr>
          <w:rFonts w:hint="eastAsia" w:ascii="方正仿宋_GBK" w:hAnsi="方正仿宋_GBK" w:eastAsia="方正仿宋_GBK" w:cs="方正仿宋_GBK"/>
          <w:b w:val="0"/>
          <w:sz w:val="32"/>
          <w:szCs w:val="32"/>
        </w:rPr>
        <w:t>。</w:t>
      </w:r>
    </w:p>
    <w:p w14:paraId="6BD3E4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6C7946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肉菜储备及惠民补贴</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34FA3A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仿宋_GB2312"/>
          <w:b w:val="0"/>
          <w:color w:val="000000" w:themeColor="text1"/>
          <w:sz w:val="32"/>
          <w:szCs w:val="32"/>
          <w:lang w:eastAsia="zh-CN"/>
          <w14:textFill>
            <w14:solidFill>
              <w14:schemeClr w14:val="tx1"/>
            </w14:solidFill>
          </w14:textFill>
        </w:rPr>
        <w:t>消费品以旧换新专班工作经费</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Times New Roman" w:hAnsi="Times New Roman" w:eastAsia="仿宋_GB2312"/>
          <w:b w:val="0"/>
          <w:color w:val="000000" w:themeColor="text1"/>
          <w:sz w:val="32"/>
          <w:szCs w:val="32"/>
          <w:lang w:eastAsia="zh-CN"/>
          <w14:textFill>
            <w14:solidFill>
              <w14:schemeClr w14:val="tx1"/>
            </w14:solidFill>
          </w14:textFill>
        </w:rPr>
        <w:t>绩效自评情况：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根据年初设定的绩效目标，</w:t>
      </w:r>
      <w:r>
        <w:rPr>
          <w:rFonts w:hint="eastAsia" w:ascii="Times New Roman" w:hAnsi="Times New Roman" w:eastAsia="仿宋_GB2312"/>
          <w:b w:val="0"/>
          <w:color w:val="000000" w:themeColor="text1"/>
          <w:sz w:val="32"/>
          <w:szCs w:val="32"/>
          <w:lang w:eastAsia="zh-CN"/>
          <w14:textFill>
            <w14:solidFill>
              <w14:schemeClr w14:val="tx1"/>
            </w14:solidFill>
          </w14:textFill>
        </w:rPr>
        <w:t>消费品以旧换新专班工作经费</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项目绩效自评得分为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96.9</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分（绩效自评表附后）。全年预算数为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140</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万元，执行数为</w:t>
      </w:r>
      <w:r>
        <w:rPr>
          <w:rFonts w:ascii="仿宋" w:eastAsia="仿宋"/>
          <w:color w:val="000000" w:themeColor="text1"/>
          <w:sz w:val="32"/>
          <w:szCs w:val="32"/>
          <w:highlight w:val="none"/>
          <w:lang w:val="en-US" w:eastAsia="zh-CN"/>
          <w14:textFill>
            <w14:solidFill>
              <w14:schemeClr w14:val="tx1"/>
            </w14:solidFill>
          </w14:textFill>
        </w:rPr>
        <w:t>96.1</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万元，完成预算的</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68.64</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%。项目绩效目标完成情况：通过项目实施，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完成了年初设定的各项绩效目标，落实省市消费品以旧换新工作要求，全力支持消费品以旧换新工作开展。未发现问题。</w:t>
      </w:r>
    </w:p>
    <w:p w14:paraId="7C3BCC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
          <w:b w:val="0"/>
          <w:color w:val="000000" w:themeColor="text1"/>
          <w:sz w:val="32"/>
          <w:szCs w:val="32"/>
          <w:lang w:eastAsia="zh-CN"/>
          <w14:textFill>
            <w14:solidFill>
              <w14:schemeClr w14:val="tx1"/>
            </w14:solidFill>
          </w14:textFill>
        </w:rPr>
      </w:pPr>
      <w:r>
        <w:rPr>
          <w:rFonts w:ascii="Times New Roman" w:hAnsi="Times New Roman" w:eastAsia="仿宋_GB2312"/>
          <w:b w:val="0"/>
          <w:color w:val="000000" w:themeColor="text1"/>
          <w:sz w:val="32"/>
          <w:szCs w:val="32"/>
          <w14:textFill>
            <w14:solidFill>
              <w14:schemeClr w14:val="tx1"/>
            </w14:solidFill>
          </w14:textFill>
        </w:rPr>
        <w:t>2025年市场统计监测资金（市场运行监测补贴）</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Times New Roman" w:hAnsi="Times New Roman" w:eastAsia="仿宋_GB2312"/>
          <w:b w:val="0"/>
          <w:color w:val="000000" w:themeColor="text1"/>
          <w:sz w:val="32"/>
          <w:szCs w:val="32"/>
          <w:lang w:eastAsia="zh-CN"/>
          <w14:textFill>
            <w14:solidFill>
              <w14:schemeClr w14:val="tx1"/>
            </w14:solidFill>
          </w14:textFill>
        </w:rPr>
        <w:t>绩效自评情况：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根据年初设定的绩效目标，</w:t>
      </w:r>
      <w:r>
        <w:rPr>
          <w:rFonts w:ascii="仿宋_GB2312" w:eastAsia="仿宋_GB2312" w:cs="ArialUnicodeMS"/>
          <w:color w:val="000000" w:themeColor="text1"/>
          <w:kern w:val="0"/>
          <w:sz w:val="32"/>
          <w:szCs w:val="32"/>
          <w:lang w:val="en-US" w:eastAsia="zh-CN"/>
          <w14:textFill>
            <w14:solidFill>
              <w14:schemeClr w14:val="tx1"/>
            </w14:solidFill>
          </w14:textFill>
        </w:rPr>
        <w:t>2025年市场统计监测资金（市场运行监测补贴）</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绩效自评得分为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95.15</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36.28</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36.2709</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万元，完成预算的</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99.97</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%。项目绩效目标完成情况：通过项目实施，基本完成了年初设定的各项绩效目标。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有效调动了企业信息报送积极性，确保了信息报送率</w:t>
      </w:r>
      <w:r>
        <w:rPr>
          <w:rFonts w:hint="eastAsia" w:ascii="仿宋" w:eastAsia="仿宋" w:cs="仿宋"/>
          <w:color w:val="000000" w:themeColor="text1"/>
          <w:spacing w:val="14"/>
          <w:sz w:val="32"/>
          <w:szCs w:val="32"/>
          <w:highlight w:val="none"/>
          <w:lang w:eastAsia="zh-CN"/>
          <w14:textFill>
            <w14:solidFill>
              <w14:schemeClr w14:val="tx1"/>
            </w14:solidFill>
          </w14:textFill>
        </w:rPr>
        <w:t>。未发现问题。</w:t>
      </w:r>
    </w:p>
    <w:p w14:paraId="6C41D437">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ascii="仿宋" w:eastAsia="仿宋"/>
          <w:color w:val="000000" w:themeColor="text1"/>
          <w:sz w:val="32"/>
          <w:szCs w:val="32"/>
          <w14:textFill>
            <w14:solidFill>
              <w14:schemeClr w14:val="tx1"/>
            </w14:solidFill>
          </w14:textFill>
        </w:rPr>
        <w:t>示范试点项目工作经费项目</w:t>
      </w:r>
      <w:r>
        <w:rPr>
          <w:rFonts w:hint="eastAsia" w:ascii="仿宋" w:eastAsia="仿宋"/>
          <w:color w:val="000000" w:themeColor="text1"/>
          <w:sz w:val="32"/>
          <w:szCs w:val="32"/>
          <w:highlight w:val="none"/>
          <w:lang w:eastAsia="zh-CN"/>
          <w14:textFill>
            <w14:solidFill>
              <w14:schemeClr w14:val="tx1"/>
            </w14:solidFill>
          </w14:textFill>
        </w:rPr>
        <w:t>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w:t>
      </w:r>
      <w:r>
        <w:rPr>
          <w:rFonts w:hint="eastAsia" w:ascii="方正仿宋_GBK" w:eastAsia="方正仿宋_GBK" w:cs="方正仿宋_GBK"/>
          <w:b w:val="0"/>
          <w:color w:val="000000" w:themeColor="text1"/>
          <w:sz w:val="32"/>
          <w:szCs w:val="32"/>
          <w14:textFill>
            <w14:solidFill>
              <w14:schemeClr w14:val="tx1"/>
            </w14:solidFill>
          </w14:textFill>
        </w:rPr>
        <w:t>为</w:t>
      </w:r>
      <w:r>
        <w:rPr>
          <w:rFonts w:ascii="仿宋_GB2312" w:eastAsia="仿宋_GB2312" w:cs="ArialUnicodeMS"/>
          <w:color w:val="000000" w:themeColor="text1"/>
          <w:sz w:val="32"/>
          <w:szCs w:val="32"/>
          <w14:textFill>
            <w14:solidFill>
              <w14:schemeClr w14:val="tx1"/>
            </w14:solidFill>
          </w14:textFill>
        </w:rPr>
        <w:t>97.89</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55</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43.4</w:t>
      </w:r>
      <w:r>
        <w:rPr>
          <w:rFonts w:ascii="Times New Roman" w:hAnsi="Times New Roman" w:eastAsia="仿宋_GB2312"/>
          <w:b w:val="0"/>
          <w:color w:val="000000" w:themeColor="text1"/>
          <w:sz w:val="32"/>
          <w:szCs w:val="32"/>
          <w14:textFill>
            <w14:solidFill>
              <w14:schemeClr w14:val="tx1"/>
            </w14:solidFill>
          </w14:textFill>
        </w:rPr>
        <w:t>万元，完成预算</w:t>
      </w:r>
      <w:r>
        <w:rPr>
          <w:rFonts w:hint="eastAsia" w:ascii="方正仿宋_GBK" w:eastAsia="方正仿宋_GBK" w:cs="方正仿宋_GBK"/>
          <w:b w:val="0"/>
          <w:color w:val="000000" w:themeColor="text1"/>
          <w:sz w:val="32"/>
          <w:szCs w:val="32"/>
          <w14:textFill>
            <w14:solidFill>
              <w14:schemeClr w14:val="tx1"/>
            </w14:solidFill>
          </w14:textFill>
        </w:rPr>
        <w:t>的</w:t>
      </w:r>
      <w:r>
        <w:rPr>
          <w:rFonts w:ascii="仿宋" w:eastAsia="仿宋" w:cs="方正仿宋_GBK"/>
          <w:color w:val="000000" w:themeColor="text1"/>
          <w:sz w:val="32"/>
          <w:szCs w:val="32"/>
          <w:lang w:val="en-US" w:eastAsia="zh-CN"/>
          <w14:textFill>
            <w14:solidFill>
              <w14:schemeClr w14:val="tx1"/>
            </w14:solidFill>
          </w14:textFill>
        </w:rPr>
        <w:t>78.91</w:t>
      </w:r>
      <w:r>
        <w:rPr>
          <w:rFonts w:hint="eastAsia" w:ascii="方正仿宋_GBK" w:eastAsia="方正仿宋_GBK" w:cs="方正仿宋_GBK"/>
          <w:b w:val="0"/>
          <w:color w:val="000000" w:themeColor="text1"/>
          <w:sz w:val="32"/>
          <w:szCs w:val="32"/>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通过项目实施，完成了年初设定的各项绩效目标，</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有效</w:t>
      </w:r>
      <w:r>
        <w:rPr>
          <w:rFonts w:ascii="仿宋_GB2312" w:eastAsia="仿宋_GB2312" w:cs="ArialUnicodeMS"/>
          <w:color w:val="000000" w:themeColor="text1"/>
          <w:kern w:val="0"/>
          <w:sz w:val="32"/>
          <w:szCs w:val="32"/>
          <w:lang w:val="en-US" w:eastAsia="zh-CN"/>
          <w14:textFill>
            <w14:solidFill>
              <w14:schemeClr w14:val="tx1"/>
            </w14:solidFill>
          </w14:textFill>
        </w:rPr>
        <w:t>推进示范试点工作，顺利推动国家试点建设有序进行。</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0AB3AD3D">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hint="eastAsia" w:ascii="仿宋" w:eastAsia="仿宋"/>
          <w:color w:val="000000" w:themeColor="text1"/>
          <w:sz w:val="32"/>
          <w:szCs w:val="32"/>
          <w:highlight w:val="none"/>
          <w:lang w:eastAsia="zh-CN"/>
          <w14:textFill>
            <w14:solidFill>
              <w14:schemeClr w14:val="tx1"/>
            </w14:solidFill>
          </w14:textFill>
        </w:rPr>
        <w:t>肉菜储备及惠民补贴经费项目绩效自评情况：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w:t>
      </w:r>
      <w:r>
        <w:rPr>
          <w:rFonts w:hint="eastAsia" w:ascii="方正仿宋_GBK" w:eastAsia="方正仿宋_GBK" w:cs="方正仿宋_GBK"/>
          <w:b w:val="0"/>
          <w:color w:val="000000" w:themeColor="text1"/>
          <w:sz w:val="32"/>
          <w:szCs w:val="32"/>
          <w14:textFill>
            <w14:solidFill>
              <w14:schemeClr w14:val="tx1"/>
            </w14:solidFill>
          </w14:textFill>
        </w:rPr>
        <w:t>为</w:t>
      </w:r>
      <w:r>
        <w:rPr>
          <w:rFonts w:hint="eastAsia" w:ascii="仿宋_GB2312" w:eastAsia="仿宋_GB2312" w:cs="ArialUnicodeMS"/>
          <w:color w:val="000000" w:themeColor="text1"/>
          <w:sz w:val="32"/>
          <w:szCs w:val="32"/>
          <w:lang w:val="en-US" w:eastAsia="zh-CN"/>
          <w14:textFill>
            <w14:solidFill>
              <w14:schemeClr w14:val="tx1"/>
            </w14:solidFill>
          </w14:textFill>
        </w:rPr>
        <w:t>9</w:t>
      </w:r>
      <w:r>
        <w:rPr>
          <w:rFonts w:ascii="仿宋_GB2312" w:eastAsia="仿宋_GB2312" w:cs="ArialUnicodeMS"/>
          <w:color w:val="000000" w:themeColor="text1"/>
          <w:sz w:val="32"/>
          <w:szCs w:val="32"/>
          <w:lang w:val="en-US" w:eastAsia="zh-CN"/>
          <w14:textFill>
            <w14:solidFill>
              <w14:schemeClr w14:val="tx1"/>
            </w14:solidFill>
          </w14:textFill>
        </w:rPr>
        <w:t>0.54</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hint="eastAsia" w:ascii="仿宋" w:eastAsia="仿宋"/>
          <w:color w:val="000000" w:themeColor="text1"/>
          <w:sz w:val="32"/>
          <w:szCs w:val="32"/>
          <w:highlight w:val="none"/>
          <w14:textFill>
            <w14:solidFill>
              <w14:schemeClr w14:val="tx1"/>
            </w14:solidFill>
          </w14:textFill>
        </w:rPr>
        <w:t>1525.00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1189.8764</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78.02</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根据省商务厅相关要求，按规定开展省级肉菜储备工作，确保储备发挥好应急保供作用，</w:t>
      </w:r>
      <w:r>
        <w:rPr>
          <w:rFonts w:hint="eastAsia" w:ascii="仿宋" w:eastAsia="仿宋"/>
          <w:color w:val="000000" w:themeColor="text1"/>
          <w:sz w:val="32"/>
          <w:szCs w:val="32"/>
          <w:highlight w:val="none"/>
          <w14:textFill>
            <w14:solidFill>
              <w14:schemeClr w14:val="tx1"/>
            </w14:solidFill>
          </w14:textFill>
        </w:rPr>
        <w:t>维护了经济稳定发展</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41E4910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ascii="仿宋" w:eastAsia="仿宋"/>
          <w:color w:val="000000" w:themeColor="text1"/>
          <w:sz w:val="32"/>
          <w:szCs w:val="32"/>
          <w:lang w:eastAsia="zh-CN"/>
          <w14:textFill>
            <w14:solidFill>
              <w14:schemeClr w14:val="tx1"/>
            </w14:solidFill>
          </w14:textFill>
        </w:rPr>
        <w:t>2025廊坊国际经济贸易洽谈会经费</w:t>
      </w:r>
      <w:r>
        <w:rPr>
          <w:rFonts w:hint="eastAsia" w:ascii="仿宋" w:eastAsia="仿宋"/>
          <w:color w:val="000000" w:themeColor="text1"/>
          <w:sz w:val="32"/>
          <w:szCs w:val="32"/>
          <w:highlight w:val="none"/>
          <w:lang w:eastAsia="zh-CN"/>
          <w14:textFill>
            <w14:solidFill>
              <w14:schemeClr w14:val="tx1"/>
            </w14:solidFill>
          </w14:textFill>
        </w:rPr>
        <w:t>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根据年初设定的绩效目标，项目绩效自评得分为</w:t>
      </w:r>
      <w:r>
        <w:rPr>
          <w:rFonts w:hint="eastAsia" w:ascii="仿宋" w:eastAsia="仿宋"/>
          <w:color w:val="000000" w:themeColor="text1"/>
          <w:sz w:val="32"/>
          <w:szCs w:val="32"/>
          <w:highlight w:val="none"/>
          <w14:textFill>
            <w14:solidFill>
              <w14:schemeClr w14:val="tx1"/>
            </w14:solidFill>
          </w14:textFill>
        </w:rPr>
        <w:t>9</w:t>
      </w:r>
      <w:r>
        <w:rPr>
          <w:rFonts w:ascii="仿宋" w:eastAsia="仿宋"/>
          <w:color w:val="000000" w:themeColor="text1"/>
          <w:sz w:val="32"/>
          <w:szCs w:val="32"/>
          <w:highlight w:val="none"/>
          <w14:textFill>
            <w14:solidFill>
              <w14:schemeClr w14:val="tx1"/>
            </w14:solidFill>
          </w14:textFill>
        </w:rPr>
        <w:t>7.18</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90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78.13185</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86.81</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设计搭建了多业态融合服务消费典型场景展，9家企业参与了我市多业态融合消费场景展，展示了我市多业态消费理念</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21BD4733">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hAnsi="Times New Roman" w:eastAsia="仿宋"/>
          <w:b w:val="0"/>
          <w:color w:val="000000" w:themeColor="text1"/>
          <w:sz w:val="32"/>
          <w:szCs w:val="32"/>
          <w:lang w:eastAsia="zh-CN"/>
          <w14:textFill>
            <w14:solidFill>
              <w14:schemeClr w14:val="tx1"/>
            </w14:solidFill>
          </w14:textFill>
        </w:rPr>
      </w:pPr>
      <w:r>
        <w:rPr>
          <w:rFonts w:hint="eastAsia" w:ascii="Times New Roman" w:hAnsi="Times New Roman" w:eastAsia="仿宋_GB2312"/>
          <w:b w:val="0"/>
          <w:color w:val="000000" w:themeColor="text1"/>
          <w:sz w:val="32"/>
          <w:szCs w:val="32"/>
          <w14:textFill>
            <w14:solidFill>
              <w14:schemeClr w14:val="tx1"/>
            </w14:solidFill>
          </w14:textFill>
        </w:rPr>
        <w:t>现代商贸物业产业专项资金（支持扩大消费）</w:t>
      </w:r>
      <w:r>
        <w:rPr>
          <w:rFonts w:hint="eastAsia" w:ascii="Times New Roman" w:hAnsi="Times New Roman" w:eastAsia="仿宋_GB2312"/>
          <w:b w:val="0"/>
          <w:color w:val="000000" w:themeColor="text1"/>
          <w:sz w:val="32"/>
          <w:szCs w:val="32"/>
          <w:lang w:eastAsia="zh-CN"/>
          <w14:textFill>
            <w14:solidFill>
              <w14:schemeClr w14:val="tx1"/>
            </w14:solidFill>
          </w14:textFill>
        </w:rPr>
        <w:t>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根据年初设定的绩效目标，项目绩效自评得分为</w:t>
      </w:r>
      <w:r>
        <w:rPr>
          <w:rFonts w:hint="eastAsia" w:ascii="仿宋" w:eastAsia="仿宋"/>
          <w:color w:val="000000" w:themeColor="text1"/>
          <w:sz w:val="32"/>
          <w:szCs w:val="32"/>
          <w:highlight w:val="none"/>
          <w14:textFill>
            <w14:solidFill>
              <w14:schemeClr w14:val="tx1"/>
            </w14:solidFill>
          </w14:textFill>
        </w:rPr>
        <w:t>9</w:t>
      </w:r>
      <w:r>
        <w:rPr>
          <w:rFonts w:ascii="仿宋" w:eastAsia="仿宋"/>
          <w:color w:val="000000" w:themeColor="text1"/>
          <w:sz w:val="32"/>
          <w:szCs w:val="32"/>
          <w:highlight w:val="none"/>
          <w14:textFill>
            <w14:solidFill>
              <w14:schemeClr w14:val="tx1"/>
            </w14:solidFill>
          </w14:textFill>
        </w:rPr>
        <w:t>3.6</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1</w:t>
      </w:r>
      <w:r>
        <w:rPr>
          <w:rFonts w:hint="eastAsia" w:ascii="仿宋" w:eastAsia="仿宋"/>
          <w:color w:val="000000" w:themeColor="text1"/>
          <w:sz w:val="32"/>
          <w:szCs w:val="32"/>
          <w:highlight w:val="none"/>
          <w14:textFill>
            <w14:solidFill>
              <w14:schemeClr w14:val="tx1"/>
            </w14:solidFill>
          </w14:textFill>
        </w:rPr>
        <w:t>000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757.71</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75.77</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hint="eastAsia" w:ascii="仿宋" w:eastAsia="仿宋"/>
          <w:color w:val="000000" w:themeColor="text1"/>
          <w:sz w:val="32"/>
          <w:szCs w:val="32"/>
          <w:highlight w:val="none"/>
          <w14:textFill>
            <w14:solidFill>
              <w14:schemeClr w14:val="tx1"/>
            </w14:solidFill>
          </w14:textFill>
        </w:rPr>
        <w:t>扩大了促消费工作，通过开展家电、汽车、电商等领域的促消费活动，提振了消费信心、活跃了市场氛围，推动了商贸经济高质量发展</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18085CCD">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hAnsi="Times New Roman" w:eastAsia="仿宋_GB2312"/>
          <w:b w:val="0"/>
          <w:color w:val="000000" w:themeColor="text1"/>
          <w:sz w:val="32"/>
          <w:szCs w:val="32"/>
          <w:lang w:eastAsia="zh-CN"/>
          <w14:textFill>
            <w14:solidFill>
              <w14:schemeClr w14:val="tx1"/>
            </w14:solidFill>
          </w14:textFill>
        </w:rPr>
      </w:pPr>
      <w:r>
        <w:rPr>
          <w:rFonts w:ascii="方正仿宋_GBK" w:eastAsia="方正仿宋_GBK" w:cs="方正仿宋_GBK"/>
          <w:b w:val="0"/>
          <w:color w:val="000000" w:themeColor="text1"/>
          <w:sz w:val="32"/>
          <w:szCs w:val="32"/>
          <w14:textFill>
            <w14:solidFill>
              <w14:schemeClr w14:val="tx1"/>
            </w14:solidFill>
          </w14:textFill>
        </w:rPr>
        <w:t>自贸工作经费</w:t>
      </w:r>
      <w:r>
        <w:rPr>
          <w:rFonts w:hint="eastAsia" w:ascii="方正仿宋_GBK" w:eastAsia="方正仿宋_GBK" w:cs="方正仿宋_GBK"/>
          <w:b w:val="0"/>
          <w:color w:val="000000" w:themeColor="text1"/>
          <w:sz w:val="32"/>
          <w:szCs w:val="32"/>
          <w14:textFill>
            <w14:solidFill>
              <w14:schemeClr w14:val="tx1"/>
            </w14:solidFill>
          </w14:textFill>
        </w:rPr>
        <w:t>项目绩效自评情况：根据年初设定的绩效目标，项目绩效自评得分为</w:t>
      </w:r>
      <w:r>
        <w:rPr>
          <w:rFonts w:ascii="方正仿宋_GBK" w:eastAsia="方正仿宋_GBK" w:cs="方正仿宋_GBK"/>
          <w:b w:val="0"/>
          <w:color w:val="000000" w:themeColor="text1"/>
          <w:sz w:val="32"/>
          <w:szCs w:val="32"/>
          <w:lang w:val="en-US" w:eastAsia="zh-CN"/>
          <w14:textFill>
            <w14:solidFill>
              <w14:schemeClr w14:val="tx1"/>
            </w14:solidFill>
          </w14:textFill>
        </w:rPr>
        <w:t>95</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ascii="方正仿宋_GBK" w:eastAsia="方正仿宋_GBK" w:cs="方正仿宋_GBK"/>
          <w:b w:val="0"/>
          <w:color w:val="000000" w:themeColor="text1"/>
          <w:sz w:val="32"/>
          <w:szCs w:val="32"/>
          <w:lang w:val="en-US" w:eastAsia="zh-CN"/>
          <w14:textFill>
            <w14:solidFill>
              <w14:schemeClr w14:val="tx1"/>
            </w14:solidFill>
          </w14:textFill>
        </w:rPr>
        <w:t>30</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ascii="方正仿宋_GBK" w:eastAsia="方正仿宋_GBK" w:cs="方正仿宋_GBK"/>
          <w:b w:val="0"/>
          <w:color w:val="000000" w:themeColor="text1"/>
          <w:sz w:val="32"/>
          <w:szCs w:val="32"/>
          <w:lang w:val="en-US" w:eastAsia="zh-CN"/>
          <w14:textFill>
            <w14:solidFill>
              <w14:schemeClr w14:val="tx1"/>
            </w14:solidFill>
          </w14:textFill>
        </w:rPr>
        <w:t>21.1519</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ascii="方正仿宋_GBK" w:eastAsia="方正仿宋_GBK" w:cs="方正仿宋_GBK"/>
          <w:b w:val="0"/>
          <w:color w:val="000000" w:themeColor="text1"/>
          <w:sz w:val="32"/>
          <w:szCs w:val="32"/>
          <w:lang w:val="en-US" w:eastAsia="zh-CN"/>
          <w14:textFill>
            <w14:solidFill>
              <w14:schemeClr w14:val="tx1"/>
            </w14:solidFill>
          </w14:textFill>
        </w:rPr>
        <w:t>70.51</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促进了</w:t>
      </w:r>
      <w:r>
        <w:rPr>
          <w:rFonts w:ascii="方正仿宋_GBK" w:eastAsia="方正仿宋_GBK" w:cs="方正仿宋_GBK"/>
          <w:color w:val="000000" w:themeColor="text1"/>
          <w:kern w:val="0"/>
          <w:sz w:val="32"/>
          <w:szCs w:val="32"/>
          <w:lang w:val="en-US" w:eastAsia="zh-CN"/>
          <w14:textFill>
            <w14:solidFill>
              <w14:schemeClr w14:val="tx1"/>
            </w14:solidFill>
          </w14:textFill>
        </w:rPr>
        <w:t>正定片区外向型经济指标快速增长，保税业态日益丰富，构建了对外投资、外资基金双向通道</w:t>
      </w:r>
      <w:r>
        <w:rPr>
          <w:rFonts w:hint="eastAsia" w:ascii="Times New Roman" w:hAnsi="Times New Roman" w:eastAsia="仿宋_GB2312"/>
          <w:b w:val="0"/>
          <w:color w:val="000000" w:themeColor="text1"/>
          <w:sz w:val="32"/>
          <w:szCs w:val="32"/>
          <w:lang w:eastAsia="zh-CN"/>
          <w14:textFill>
            <w14:solidFill>
              <w14:schemeClr w14:val="tx1"/>
            </w14:solidFill>
          </w14:textFill>
        </w:rPr>
        <w:t>。未发现问题。</w:t>
      </w:r>
    </w:p>
    <w:p w14:paraId="2276246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Times New Roman" w:hAnsi="Times New Roman" w:eastAsia="仿宋_GB2312"/>
          <w:b w:val="0"/>
          <w:color w:val="000000" w:themeColor="text1"/>
          <w:sz w:val="32"/>
          <w:szCs w:val="32"/>
          <w14:textFill>
            <w14:solidFill>
              <w14:schemeClr w14:val="tx1"/>
            </w14:solidFill>
          </w14:textFill>
        </w:rPr>
        <w:t>会展洽</w:t>
      </w:r>
      <w:r>
        <w:rPr>
          <w:rFonts w:hint="eastAsia" w:ascii="方正仿宋_GBK" w:eastAsia="方正仿宋_GBK" w:cs="方正仿宋_GBK"/>
          <w:b w:val="0"/>
          <w:color w:val="000000" w:themeColor="text1"/>
          <w:sz w:val="32"/>
          <w:szCs w:val="32"/>
          <w14:textFill>
            <w14:solidFill>
              <w14:schemeClr w14:val="tx1"/>
            </w14:solidFill>
          </w14:textFill>
        </w:rPr>
        <w:t>谈等项目经费（含境外)项目绩效自评情况：根据年初设定的绩效目标，项目绩效自评得分为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w:t>
      </w:r>
      <w:r>
        <w:rPr>
          <w:rFonts w:ascii="方正仿宋_GBK" w:eastAsia="方正仿宋_GBK" w:cs="方正仿宋_GBK"/>
          <w:b w:val="0"/>
          <w:color w:val="000000" w:themeColor="text1"/>
          <w:sz w:val="32"/>
          <w:szCs w:val="32"/>
          <w:lang w:val="en-US" w:eastAsia="zh-CN"/>
          <w14:textFill>
            <w14:solidFill>
              <w14:schemeClr w14:val="tx1"/>
            </w14:solidFill>
          </w14:textFill>
        </w:rPr>
        <w:t>6.65</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ascii="方正仿宋_GBK" w:eastAsia="方正仿宋_GBK" w:cs="方正仿宋_GBK"/>
          <w:b w:val="0"/>
          <w:color w:val="000000" w:themeColor="text1"/>
          <w:sz w:val="32"/>
          <w:szCs w:val="32"/>
          <w:lang w:val="en-US" w:eastAsia="zh-CN"/>
          <w14:textFill>
            <w14:solidFill>
              <w14:schemeClr w14:val="tx1"/>
            </w14:solidFill>
          </w14:textFill>
        </w:rPr>
        <w:t>120</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ascii="方正仿宋_GBK" w:eastAsia="方正仿宋_GBK" w:cs="方正仿宋_GBK"/>
          <w:b w:val="0"/>
          <w:color w:val="000000" w:themeColor="text1"/>
          <w:sz w:val="32"/>
          <w:szCs w:val="32"/>
          <w:lang w:val="en-US" w:eastAsia="zh-CN"/>
          <w14:textFill>
            <w14:solidFill>
              <w14:schemeClr w14:val="tx1"/>
            </w14:solidFill>
          </w14:textFill>
        </w:rPr>
        <w:t>103.8742</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ascii="方正仿宋_GBK" w:eastAsia="方正仿宋_GBK" w:cs="方正仿宋_GBK"/>
          <w:b w:val="0"/>
          <w:color w:val="000000" w:themeColor="text1"/>
          <w:sz w:val="32"/>
          <w:szCs w:val="32"/>
          <w:lang w:val="en-US" w:eastAsia="zh-CN"/>
          <w14:textFill>
            <w14:solidFill>
              <w14:schemeClr w14:val="tx1"/>
            </w14:solidFill>
          </w14:textFill>
        </w:rPr>
        <w:t>86.56</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w:t>
      </w:r>
      <w:r>
        <w:rPr>
          <w:rFonts w:ascii="方正仿宋_GBK" w:eastAsia="方正仿宋_GBK" w:cs="方正仿宋_GBK"/>
          <w:color w:val="000000" w:themeColor="text1"/>
          <w:kern w:val="0"/>
          <w:sz w:val="32"/>
          <w:szCs w:val="32"/>
          <w:lang w:val="en-US" w:eastAsia="zh-CN"/>
          <w14:textFill>
            <w14:solidFill>
              <w14:schemeClr w14:val="tx1"/>
            </w14:solidFill>
          </w14:textFill>
        </w:rPr>
        <w:t>充分利用国际性展会平台宣传我市形象、推介优势产业产品、拓展合作渠道、促进购销订单增长，</w:t>
      </w:r>
      <w:r>
        <w:rPr>
          <w:rFonts w:hint="eastAsia" w:ascii="方正仿宋_GBK" w:eastAsia="方正仿宋_GBK" w:cs="方正仿宋_GBK"/>
          <w:b w:val="0"/>
          <w:color w:val="000000" w:themeColor="text1"/>
          <w:sz w:val="32"/>
          <w:szCs w:val="32"/>
          <w14:textFill>
            <w14:solidFill>
              <w14:schemeClr w14:val="tx1"/>
            </w14:solidFill>
          </w14:textFill>
        </w:rPr>
        <w:t>促进我市会展业发展</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27335670">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sz w:val="32"/>
          <w:szCs w:val="32"/>
          <w:lang w:eastAsia="zh-CN"/>
        </w:rPr>
        <w:t>专家咨询费项目绩效自评情况：</w:t>
      </w:r>
      <w:r>
        <w:rPr>
          <w:rFonts w:hint="eastAsia" w:ascii="方正仿宋_GBK" w:eastAsia="方正仿宋_GBK" w:cs="方正仿宋_GBK"/>
          <w:b w:val="0"/>
          <w:color w:val="000000" w:themeColor="text1"/>
          <w:sz w:val="32"/>
          <w:szCs w:val="32"/>
          <w14:textFill>
            <w14:solidFill>
              <w14:schemeClr w14:val="tx1"/>
            </w14:solidFill>
          </w14:textFill>
        </w:rPr>
        <w:t>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100</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155</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154.96</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99.98</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完成了年初设定的各项绩效目标，通过咨询委托第三方、专家，更加客观公正处理相关工作，显著提高工作效率</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36355CA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eastAsia="仿宋_GB2312"/>
          <w:sz w:val="32"/>
          <w:szCs w:val="32"/>
          <w:lang w:eastAsia="zh-CN"/>
        </w:rPr>
      </w:pP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物业管理费绩效自评情况：</w:t>
      </w:r>
      <w:r>
        <w:rPr>
          <w:rFonts w:hint="eastAsia" w:ascii="方正仿宋_GBK" w:eastAsia="方正仿宋_GBK" w:cs="方正仿宋_GBK"/>
          <w:b w:val="0"/>
          <w:color w:val="000000" w:themeColor="text1"/>
          <w:sz w:val="32"/>
          <w:szCs w:val="32"/>
          <w14:textFill>
            <w14:solidFill>
              <w14:schemeClr w14:val="tx1"/>
            </w14:solidFill>
          </w14:textFill>
        </w:rPr>
        <w:t>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100</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19.48</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19.48</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100</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完成了年初设定的各项绩效目标，能够管理和维护好办公用房环境和秩序，营造良好办公环境</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1A623B4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572D6E3">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4907196">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6061A86">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DE6DBCB">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8F42E32">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6F825F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3CAC743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ECD0521">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5921AA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9FF3218">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0AC7085">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Times New Roman" w:eastAsia="仿宋_GB2312"/>
          <w:b/>
          <w:sz w:val="32"/>
          <w:szCs w:val="32"/>
          <w:lang w:eastAsia="zh-CN"/>
        </w:rPr>
        <w:drawing>
          <wp:inline distT="0" distB="0" distL="114300" distR="114300">
            <wp:extent cx="5749925" cy="7827010"/>
            <wp:effectExtent l="0" t="0" r="3175" b="2540"/>
            <wp:docPr id="17" name="图片 17" descr="微信图片_20260901173221_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0901173221_34_2"/>
                    <pic:cNvPicPr>
                      <a:picLocks noChangeAspect="1"/>
                    </pic:cNvPicPr>
                  </pic:nvPicPr>
                  <pic:blipFill>
                    <a:blip r:embed="rId19"/>
                    <a:stretch>
                      <a:fillRect/>
                    </a:stretch>
                  </pic:blipFill>
                  <pic:spPr>
                    <a:xfrm>
                      <a:off x="0" y="0"/>
                      <a:ext cx="5749925" cy="782701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8159750"/>
            <wp:effectExtent l="0" t="0" r="3175" b="12700"/>
            <wp:docPr id="16" name="图片 16" descr="微信图片_20260901173257_3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0901173257_35_2"/>
                    <pic:cNvPicPr>
                      <a:picLocks noChangeAspect="1"/>
                    </pic:cNvPicPr>
                  </pic:nvPicPr>
                  <pic:blipFill>
                    <a:blip r:embed="rId20"/>
                    <a:stretch>
                      <a:fillRect/>
                    </a:stretch>
                  </pic:blipFill>
                  <pic:spPr>
                    <a:xfrm>
                      <a:off x="0" y="0"/>
                      <a:ext cx="5749925" cy="815975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693410" cy="8171180"/>
            <wp:effectExtent l="0" t="0" r="2540" b="1270"/>
            <wp:docPr id="15" name="图片 15" descr="微信图片_20260901173413_3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0901173413_36_2"/>
                    <pic:cNvPicPr>
                      <a:picLocks noChangeAspect="1"/>
                    </pic:cNvPicPr>
                  </pic:nvPicPr>
                  <pic:blipFill>
                    <a:blip r:embed="rId21"/>
                    <a:stretch>
                      <a:fillRect/>
                    </a:stretch>
                  </pic:blipFill>
                  <pic:spPr>
                    <a:xfrm>
                      <a:off x="0" y="0"/>
                      <a:ext cx="5693410" cy="817118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8042910"/>
            <wp:effectExtent l="0" t="0" r="3175" b="15240"/>
            <wp:docPr id="14" name="图片 14" descr="微信图片_20260901173433_3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901173433_37_2"/>
                    <pic:cNvPicPr>
                      <a:picLocks noChangeAspect="1"/>
                    </pic:cNvPicPr>
                  </pic:nvPicPr>
                  <pic:blipFill>
                    <a:blip r:embed="rId22"/>
                    <a:stretch>
                      <a:fillRect/>
                    </a:stretch>
                  </pic:blipFill>
                  <pic:spPr>
                    <a:xfrm>
                      <a:off x="0" y="0"/>
                      <a:ext cx="5749925" cy="804291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7440295"/>
            <wp:effectExtent l="0" t="0" r="3175" b="8255"/>
            <wp:docPr id="13" name="图片 13" descr="微信图片_20260901173455_3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901173455_38_2"/>
                    <pic:cNvPicPr>
                      <a:picLocks noChangeAspect="1"/>
                    </pic:cNvPicPr>
                  </pic:nvPicPr>
                  <pic:blipFill>
                    <a:blip r:embed="rId23"/>
                    <a:stretch>
                      <a:fillRect/>
                    </a:stretch>
                  </pic:blipFill>
                  <pic:spPr>
                    <a:xfrm>
                      <a:off x="0" y="0"/>
                      <a:ext cx="5749925" cy="7440295"/>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615940" cy="8162925"/>
            <wp:effectExtent l="0" t="0" r="3810" b="9525"/>
            <wp:docPr id="12" name="图片 12" descr="微信图片_20260901173515_3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60901173515_39_2"/>
                    <pic:cNvPicPr>
                      <a:picLocks noChangeAspect="1"/>
                    </pic:cNvPicPr>
                  </pic:nvPicPr>
                  <pic:blipFill>
                    <a:blip r:embed="rId24"/>
                    <a:stretch>
                      <a:fillRect/>
                    </a:stretch>
                  </pic:blipFill>
                  <pic:spPr>
                    <a:xfrm>
                      <a:off x="0" y="0"/>
                      <a:ext cx="5615940" cy="8162925"/>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8083550"/>
            <wp:effectExtent l="0" t="0" r="3175" b="12700"/>
            <wp:docPr id="10" name="图片 10" descr="微信图片_20260901173544_4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901173544_40_2"/>
                    <pic:cNvPicPr>
                      <a:picLocks noChangeAspect="1"/>
                    </pic:cNvPicPr>
                  </pic:nvPicPr>
                  <pic:blipFill>
                    <a:blip r:embed="rId25"/>
                    <a:stretch>
                      <a:fillRect/>
                    </a:stretch>
                  </pic:blipFill>
                  <pic:spPr>
                    <a:xfrm>
                      <a:off x="0" y="0"/>
                      <a:ext cx="5749925" cy="808355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7647305"/>
            <wp:effectExtent l="0" t="0" r="3175" b="10795"/>
            <wp:docPr id="8" name="图片 8" descr="微信图片_20260901173604_4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901173604_41_2"/>
                    <pic:cNvPicPr>
                      <a:picLocks noChangeAspect="1"/>
                    </pic:cNvPicPr>
                  </pic:nvPicPr>
                  <pic:blipFill>
                    <a:blip r:embed="rId26"/>
                    <a:stretch>
                      <a:fillRect/>
                    </a:stretch>
                  </pic:blipFill>
                  <pic:spPr>
                    <a:xfrm>
                      <a:off x="0" y="0"/>
                      <a:ext cx="5749925" cy="7647305"/>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54370" cy="8155305"/>
            <wp:effectExtent l="0" t="0" r="17780" b="17145"/>
            <wp:docPr id="6" name="图片 6" descr="微信图片_20260901173622_4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901173622_42_2"/>
                    <pic:cNvPicPr>
                      <a:picLocks noChangeAspect="1"/>
                    </pic:cNvPicPr>
                  </pic:nvPicPr>
                  <pic:blipFill>
                    <a:blip r:embed="rId27"/>
                    <a:stretch>
                      <a:fillRect/>
                    </a:stretch>
                  </pic:blipFill>
                  <pic:spPr>
                    <a:xfrm>
                      <a:off x="0" y="0"/>
                      <a:ext cx="5754370" cy="8155305"/>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54370" cy="8092440"/>
            <wp:effectExtent l="0" t="0" r="17780" b="3810"/>
            <wp:docPr id="3" name="图片 3" descr="微信图片_20260901173640_4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901173640_43_2"/>
                    <pic:cNvPicPr>
                      <a:picLocks noChangeAspect="1"/>
                    </pic:cNvPicPr>
                  </pic:nvPicPr>
                  <pic:blipFill>
                    <a:blip r:embed="rId28"/>
                    <a:stretch>
                      <a:fillRect/>
                    </a:stretch>
                  </pic:blipFill>
                  <pic:spPr>
                    <a:xfrm>
                      <a:off x="0" y="0"/>
                      <a:ext cx="5754370" cy="8092440"/>
                    </a:xfrm>
                    <a:prstGeom prst="rect">
                      <a:avLst/>
                    </a:prstGeom>
                  </pic:spPr>
                </pic:pic>
              </a:graphicData>
            </a:graphic>
          </wp:inline>
        </w:drawing>
      </w:r>
      <w:r>
        <w:rPr>
          <w:rFonts w:hint="eastAsia" w:ascii="Times New Roman" w:eastAsia="仿宋_GB2312"/>
          <w:b/>
          <w:sz w:val="32"/>
          <w:szCs w:val="32"/>
          <w:lang w:eastAsia="zh-CN"/>
        </w:rPr>
        <w:drawing>
          <wp:inline distT="0" distB="0" distL="114300" distR="114300">
            <wp:extent cx="5749925" cy="8056245"/>
            <wp:effectExtent l="0" t="0" r="3175" b="1905"/>
            <wp:docPr id="2" name="图片 2" descr="微信图片_20260901173703_4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01173703_44_2"/>
                    <pic:cNvPicPr>
                      <a:picLocks noChangeAspect="1"/>
                    </pic:cNvPicPr>
                  </pic:nvPicPr>
                  <pic:blipFill>
                    <a:blip r:embed="rId29"/>
                    <a:stretch>
                      <a:fillRect/>
                    </a:stretch>
                  </pic:blipFill>
                  <pic:spPr>
                    <a:xfrm>
                      <a:off x="0" y="0"/>
                      <a:ext cx="5749925" cy="8056245"/>
                    </a:xfrm>
                    <a:prstGeom prst="rect">
                      <a:avLst/>
                    </a:prstGeom>
                  </pic:spPr>
                </pic:pic>
              </a:graphicData>
            </a:graphic>
          </wp:inline>
        </w:drawing>
      </w:r>
      <w:bookmarkStart w:id="0" w:name="_GoBack"/>
      <w:bookmarkEnd w:id="0"/>
    </w:p>
    <w:p w14:paraId="35326E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14:paraId="3A8C79AC">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472116C0">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6E447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4C810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255CF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5451B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0CF6CEB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83386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98A22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7A7F5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5EF627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0187A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98BB89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12E93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C8573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9A88D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E88B7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1B3241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7E977B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CA0A4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88160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1CB03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86E85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auto"/>
    <w:pitch w:val="default"/>
    <w:sig w:usb0="00000000" w:usb1="00000000"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B9A9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19EB">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C8B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AD36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DFCA556"/>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6FFB4D94"/>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A7FF5C22"/>
    <w:rsid w:val="DF7F4CF6"/>
    <w:rsid w:val="DFF79C9C"/>
    <w:rsid w:val="EECE2FCD"/>
    <w:rsid w:val="F1DD851B"/>
    <w:rsid w:val="F5A2B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347988.32</c:v>
                </c:pt>
                <c:pt idx="1">
                  <c:v>175965.12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3479580438.63</c:v>
                </c:pt>
                <c:pt idx="1">
                  <c:v>0</c:v>
                </c:pt>
                <c:pt idx="2">
                  <c:v>0</c:v>
                </c:pt>
                <c:pt idx="3">
                  <c:v>0</c:v>
                </c:pt>
                <c:pt idx="4">
                  <c:v>0</c:v>
                </c:pt>
                <c:pt idx="5">
                  <c:v>2798.15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40072981.3</c:v>
                </c:pt>
                <c:pt idx="1">
                  <c:v>3439510255.48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169131.34</c:v>
                </c:pt>
                <c:pt idx="1">
                  <c:v>169727.26</c:v>
                </c:pt>
                <c:pt idx="2">
                  <c:v>38303.86</c:v>
                </c:pt>
                <c:pt idx="3">
                  <c:v>38899.78</c:v>
                </c:pt>
                <c:pt idx="4">
                  <c:v>130827.48</c:v>
                </c:pt>
                <c:pt idx="5">
                  <c:v>130827.48</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347958.04</c:v>
                </c:pt>
                <c:pt idx="1">
                  <c:v>347958.04</c:v>
                </c:pt>
                <c:pt idx="2">
                  <c:v>79612.12</c:v>
                </c:pt>
                <c:pt idx="3">
                  <c:v>79612.12</c:v>
                </c:pt>
                <c:pt idx="4">
                  <c:v>268345.93</c:v>
                </c:pt>
                <c:pt idx="5">
                  <c:v>268345.93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8209.66</c:v>
                </c:pt>
                <c:pt idx="1">
                  <c:v>8209.66</c:v>
                </c:pt>
                <c:pt idx="2">
                  <c:v>8209.46</c:v>
                </c:pt>
                <c:pt idx="3">
                  <c:v>8209.46</c:v>
                </c:pt>
                <c:pt idx="4">
                  <c:v>0.2</c:v>
                </c:pt>
                <c:pt idx="5">
                  <c:v>0.2</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347958.04</c:v>
                </c:pt>
                <c:pt idx="1">
                  <c:v>347958.04</c:v>
                </c:pt>
                <c:pt idx="2">
                  <c:v>79612.12</c:v>
                </c:pt>
                <c:pt idx="3">
                  <c:v>79612.12</c:v>
                </c:pt>
                <c:pt idx="4">
                  <c:v>268345.93</c:v>
                </c:pt>
                <c:pt idx="5">
                  <c:v>268345.93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61</Pages>
  <Words>1660</Words>
  <Characters>6225</Characters>
  <Lines>86</Lines>
  <Paragraphs>24</Paragraphs>
  <TotalTime>0</TotalTime>
  <ScaleCrop>false</ScaleCrop>
  <LinksUpToDate>false</LinksUpToDate>
  <CharactersWithSpaces>6550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uos</cp:lastModifiedBy>
  <cp:lastPrinted>2023-08-04T17:00:00Z</cp:lastPrinted>
  <dcterms:modified xsi:type="dcterms:W3CDTF">2026-09-01T18:51:44Z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