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石家庄市商品市场规划建设中心</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322005</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059045D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石家庄市商品市场规划建设中心</w:t>
      </w:r>
    </w:p>
    <w:p w14:paraId="12DFC0D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09F5098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石家庄市商品市场规划建设中心</w:t>
      </w:r>
    </w:p>
    <w:p w14:paraId="4D6CA9EF">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10E6EE72">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9C70FC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20469A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53057E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0C5E1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6F60AB0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DBD0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15836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80ED8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FE478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C554E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0E53F1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1C946E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A6653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B1537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4279185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127A51B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10EB9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029C7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1C05D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14F9D3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87B50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E3CA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C9C4C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2679D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A12435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568C64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86983F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D132EB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一、单位职责</w:t>
      </w:r>
    </w:p>
    <w:p w14:paraId="3EA8A0D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Times New Roman" w:eastAsia="仿宋_GB2312"/>
          <w:sz w:val="32"/>
          <w:szCs w:val="32"/>
        </w:rPr>
      </w:pPr>
      <w:r>
        <w:rPr>
          <w:rFonts w:hint="eastAsia" w:ascii="仿宋_GB2312" w:eastAsia="仿宋_GB2312" w:cs="ArialUnicodeMS"/>
          <w:kern w:val="0"/>
          <w:sz w:val="32"/>
          <w:szCs w:val="32"/>
          <w:highlight w:val="none"/>
          <w:lang w:val="en-US" w:eastAsia="zh-CN"/>
        </w:rPr>
        <w:t>本单位负责商品市场建设工作，负责肉菜粮油流通追溯体系建设，对肉菜粮油流通全过程监控，为肉菜粮油流通追溯提供信息服务等相关工作，负责为商贸流通企业提供创业指导、信息服务等相关工作。</w:t>
      </w:r>
    </w:p>
    <w:p w14:paraId="544D42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750F6B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石家庄市商品市场规划建设中心</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eastAsia="zh-CN"/>
              </w:rPr>
              <w:t>参公事业单位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A4FCD1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部门（单位）：石家庄市商品市场规划建设中心</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153.14</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48.13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部门（单位）：石家庄市商品市场规划建设中心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222.63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24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9F6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B67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05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791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A1C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80E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314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E7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A4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0A4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059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5761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5A4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C05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144.85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4A7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51C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A7B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91C7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26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8A53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B01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0299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AF4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E19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70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F19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404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2D1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1090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9B41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C4E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5EE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8CE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4C4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99D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035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EC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673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AE1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96F1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5201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6B42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D49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D97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079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7F8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CFD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5716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B47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133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671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486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FA0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552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41C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155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6F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49A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198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A6A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05B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6C2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12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6EF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8B3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346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9F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163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5A9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20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F30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C1F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F2A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0CD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F7A9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2CC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308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B21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11A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793E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5DE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5BA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94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5E3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E1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302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93A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48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E3D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9D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AFA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F5C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24A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BC7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2E8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DCB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8ED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A33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DE1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A3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DE74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1BAB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82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E0C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4D7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A3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8C7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41C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928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35C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2F4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2C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04E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8DC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3F1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F4C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4FD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D7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7ECD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2E9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AB5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07B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475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5E4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CE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3DD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964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278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35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A8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CE2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759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6CF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28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12.98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917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8F2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D4B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A91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967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部门（单位）：石家庄市商品市场规划建设中心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127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BDC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638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85C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8E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1C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EF5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9C52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D810A">
            <w:pPr>
              <w:jc w:val="right"/>
              <w:rPr>
                <w:rFonts w:hint="default" w:ascii="Times New Roman" w:hAnsi="Times New Roman" w:eastAsia="宋体" w:cs="Times New Roman"/>
                <w:i w:val="0"/>
                <w:iCs w:val="0"/>
                <w:color w:val="000000"/>
                <w:sz w:val="20"/>
                <w:szCs w:val="20"/>
                <w:highlight w:val="none"/>
                <w:u w:val="none"/>
              </w:rPr>
            </w:pPr>
          </w:p>
        </w:tc>
      </w:tr>
      <w:tr w14:paraId="7825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AFE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43E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4C7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CE8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01A4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0CD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3C2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91D2D">
            <w:pPr>
              <w:jc w:val="right"/>
              <w:rPr>
                <w:rFonts w:hint="default" w:ascii="Times New Roman" w:hAnsi="Times New Roman" w:eastAsia="宋体" w:cs="Times New Roman"/>
                <w:i w:val="0"/>
                <w:iCs w:val="0"/>
                <w:color w:val="000000"/>
                <w:sz w:val="20"/>
                <w:szCs w:val="20"/>
                <w:highlight w:val="none"/>
                <w:u w:val="none"/>
              </w:rPr>
            </w:pPr>
          </w:p>
        </w:tc>
      </w:tr>
      <w:tr w14:paraId="75E67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F01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3AC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B99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DA9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AFA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DE5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16C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E7FA2">
            <w:pPr>
              <w:jc w:val="right"/>
              <w:rPr>
                <w:rFonts w:hint="default" w:ascii="Times New Roman" w:hAnsi="Times New Roman" w:eastAsia="宋体" w:cs="Times New Roman"/>
                <w:i w:val="0"/>
                <w:iCs w:val="0"/>
                <w:color w:val="000000"/>
                <w:sz w:val="20"/>
                <w:szCs w:val="20"/>
                <w:highlight w:val="none"/>
                <w:u w:val="none"/>
              </w:rPr>
            </w:pPr>
          </w:p>
        </w:tc>
      </w:tr>
      <w:tr w14:paraId="718A5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40A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574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1C5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2A8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B0AB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548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C90A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B619F">
            <w:pPr>
              <w:jc w:val="right"/>
              <w:rPr>
                <w:rFonts w:hint="default" w:ascii="Times New Roman" w:hAnsi="Times New Roman" w:eastAsia="宋体" w:cs="Times New Roman"/>
                <w:i w:val="0"/>
                <w:iCs w:val="0"/>
                <w:color w:val="000000"/>
                <w:sz w:val="20"/>
                <w:szCs w:val="20"/>
                <w:highlight w:val="none"/>
                <w:u w:val="none"/>
              </w:rPr>
            </w:pPr>
          </w:p>
        </w:tc>
      </w:tr>
      <w:tr w14:paraId="05745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2B5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A65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580F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EE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C4C9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045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DA09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1DA69">
            <w:pPr>
              <w:jc w:val="right"/>
              <w:rPr>
                <w:rFonts w:hint="default" w:ascii="Times New Roman" w:hAnsi="Times New Roman" w:eastAsia="宋体" w:cs="Times New Roman"/>
                <w:i w:val="0"/>
                <w:iCs w:val="0"/>
                <w:color w:val="000000"/>
                <w:sz w:val="20"/>
                <w:szCs w:val="20"/>
                <w:highlight w:val="none"/>
                <w:u w:val="none"/>
              </w:rPr>
            </w:pPr>
          </w:p>
        </w:tc>
      </w:tr>
      <w:tr w14:paraId="70D54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BF2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3C3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90C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E6BC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9FC5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D27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464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10F6F">
            <w:pPr>
              <w:jc w:val="right"/>
              <w:rPr>
                <w:rFonts w:hint="default" w:ascii="Times New Roman" w:hAnsi="Times New Roman" w:eastAsia="宋体" w:cs="Times New Roman"/>
                <w:i w:val="0"/>
                <w:iCs w:val="0"/>
                <w:color w:val="000000"/>
                <w:sz w:val="20"/>
                <w:szCs w:val="20"/>
                <w:highlight w:val="none"/>
                <w:u w:val="none"/>
              </w:rPr>
            </w:pPr>
          </w:p>
        </w:tc>
      </w:tr>
      <w:tr w14:paraId="0E1D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0E6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993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CCD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98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DDB9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B9B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978D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29ACF">
            <w:pPr>
              <w:jc w:val="right"/>
              <w:rPr>
                <w:rFonts w:hint="default" w:ascii="Times New Roman" w:hAnsi="Times New Roman" w:eastAsia="宋体" w:cs="Times New Roman"/>
                <w:i w:val="0"/>
                <w:iCs w:val="0"/>
                <w:color w:val="000000"/>
                <w:sz w:val="20"/>
                <w:szCs w:val="20"/>
                <w:highlight w:val="none"/>
                <w:u w:val="none"/>
              </w:rPr>
            </w:pPr>
          </w:p>
        </w:tc>
      </w:tr>
      <w:tr w14:paraId="1D3FA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2F0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E7D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F41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35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2ADB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D8C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D07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779B7">
            <w:pPr>
              <w:jc w:val="right"/>
              <w:rPr>
                <w:rFonts w:hint="default" w:ascii="Times New Roman" w:hAnsi="Times New Roman" w:eastAsia="宋体" w:cs="Times New Roman"/>
                <w:i w:val="0"/>
                <w:iCs w:val="0"/>
                <w:color w:val="000000"/>
                <w:sz w:val="20"/>
                <w:szCs w:val="20"/>
                <w:highlight w:val="none"/>
                <w:u w:val="none"/>
              </w:rPr>
            </w:pPr>
          </w:p>
        </w:tc>
      </w:tr>
      <w:tr w14:paraId="297F7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6ED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97D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01D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A71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C3D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4C1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053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255AB">
            <w:pPr>
              <w:jc w:val="right"/>
              <w:rPr>
                <w:rFonts w:hint="default" w:ascii="Times New Roman" w:hAnsi="Times New Roman" w:eastAsia="宋体" w:cs="Times New Roman"/>
                <w:i w:val="0"/>
                <w:iCs w:val="0"/>
                <w:color w:val="000000"/>
                <w:sz w:val="20"/>
                <w:szCs w:val="20"/>
                <w:highlight w:val="none"/>
                <w:u w:val="none"/>
              </w:rPr>
            </w:pPr>
          </w:p>
        </w:tc>
      </w:tr>
      <w:tr w14:paraId="6653B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E91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70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8D0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A17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0AD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B80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94D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E30BA">
            <w:pPr>
              <w:jc w:val="right"/>
              <w:rPr>
                <w:rFonts w:hint="default" w:ascii="Times New Roman" w:hAnsi="Times New Roman" w:eastAsia="宋体" w:cs="Times New Roman"/>
                <w:i w:val="0"/>
                <w:iCs w:val="0"/>
                <w:color w:val="000000"/>
                <w:sz w:val="20"/>
                <w:szCs w:val="20"/>
                <w:highlight w:val="none"/>
                <w:u w:val="none"/>
              </w:rPr>
            </w:pPr>
          </w:p>
        </w:tc>
      </w:tr>
      <w:tr w14:paraId="40DCC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446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36C8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236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B40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87EF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330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6F7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7B490">
            <w:pPr>
              <w:jc w:val="right"/>
              <w:rPr>
                <w:rFonts w:hint="default" w:ascii="Times New Roman" w:hAnsi="Times New Roman" w:eastAsia="宋体" w:cs="Times New Roman"/>
                <w:i w:val="0"/>
                <w:iCs w:val="0"/>
                <w:color w:val="000000"/>
                <w:sz w:val="20"/>
                <w:szCs w:val="20"/>
                <w:highlight w:val="none"/>
                <w:u w:val="none"/>
              </w:rPr>
            </w:pPr>
          </w:p>
        </w:tc>
      </w:tr>
      <w:tr w14:paraId="73593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F9F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0D0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78E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FDA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032B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CAF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FDC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00D46">
            <w:pPr>
              <w:jc w:val="right"/>
              <w:rPr>
                <w:rFonts w:hint="default" w:ascii="Times New Roman" w:hAnsi="Times New Roman" w:eastAsia="宋体" w:cs="Times New Roman"/>
                <w:i w:val="0"/>
                <w:iCs w:val="0"/>
                <w:color w:val="000000"/>
                <w:sz w:val="20"/>
                <w:szCs w:val="20"/>
                <w:highlight w:val="none"/>
                <w:u w:val="none"/>
              </w:rPr>
            </w:pPr>
          </w:p>
        </w:tc>
      </w:tr>
      <w:tr w14:paraId="4D16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D80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2AF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B58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269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2A3A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8DB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971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58627">
            <w:pPr>
              <w:jc w:val="right"/>
              <w:rPr>
                <w:rFonts w:hint="default" w:ascii="Times New Roman" w:hAnsi="Times New Roman" w:eastAsia="宋体" w:cs="Times New Roman"/>
                <w:i w:val="0"/>
                <w:iCs w:val="0"/>
                <w:color w:val="000000"/>
                <w:sz w:val="20"/>
                <w:szCs w:val="20"/>
                <w:highlight w:val="none"/>
                <w:u w:val="none"/>
              </w:rPr>
            </w:pPr>
          </w:p>
        </w:tc>
      </w:tr>
      <w:tr w14:paraId="3B69B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A21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903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978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2D1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0CC2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90C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42FC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D712B">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部门（单位）：石家庄市商品市场规划建设中心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153.14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153.14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48.13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222.63</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部门（单位）：石家庄市商品市场规划建设中心</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8.29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r>
      <w:tr w14:paraId="3717B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1040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F0D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181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BF5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2837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r>
      <w:tr w14:paraId="4A008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F41F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09F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0EC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B18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144.85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54FE2F1">
            <w:pPr>
              <w:jc w:val="right"/>
              <w:rPr>
                <w:rFonts w:hint="default" w:ascii="Times New Roman" w:hAnsi="Times New Roman" w:eastAsia="宋体" w:cs="Times New Roman"/>
                <w:i w:val="0"/>
                <w:iCs w:val="0"/>
                <w:color w:val="000000"/>
                <w:sz w:val="20"/>
                <w:szCs w:val="20"/>
                <w:highlight w:val="none"/>
                <w:u w:val="none"/>
              </w:rPr>
            </w:pPr>
          </w:p>
        </w:tc>
      </w:tr>
      <w:tr w14:paraId="360CE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CE79C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9F3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903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B02B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846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8.29</w:t>
            </w:r>
          </w:p>
        </w:tc>
      </w:tr>
      <w:tr w14:paraId="2C3AC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573E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FEF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C08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6E3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D775DC">
            <w:pPr>
              <w:jc w:val="right"/>
              <w:rPr>
                <w:rFonts w:hint="default" w:ascii="Times New Roman" w:hAnsi="Times New Roman" w:eastAsia="宋体" w:cs="Times New Roman"/>
                <w:i w:val="0"/>
                <w:iCs w:val="0"/>
                <w:color w:val="000000"/>
                <w:sz w:val="20"/>
                <w:szCs w:val="20"/>
                <w:highlight w:val="none"/>
                <w:u w:val="none"/>
              </w:rPr>
            </w:pPr>
          </w:p>
        </w:tc>
      </w:tr>
      <w:tr w14:paraId="66EB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3455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B3A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91D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A2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B23AB0">
            <w:pPr>
              <w:jc w:val="right"/>
              <w:rPr>
                <w:rFonts w:hint="default" w:ascii="Times New Roman" w:hAnsi="Times New Roman" w:eastAsia="宋体" w:cs="Times New Roman"/>
                <w:i w:val="0"/>
                <w:iCs w:val="0"/>
                <w:color w:val="000000"/>
                <w:sz w:val="20"/>
                <w:szCs w:val="20"/>
                <w:highlight w:val="none"/>
                <w:u w:val="none"/>
              </w:rPr>
            </w:pPr>
          </w:p>
        </w:tc>
      </w:tr>
      <w:tr w14:paraId="5345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937F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84F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88F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14F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CBCDC2">
            <w:pPr>
              <w:jc w:val="right"/>
              <w:rPr>
                <w:rFonts w:hint="default" w:ascii="Times New Roman" w:hAnsi="Times New Roman" w:eastAsia="宋体" w:cs="Times New Roman"/>
                <w:i w:val="0"/>
                <w:iCs w:val="0"/>
                <w:color w:val="000000"/>
                <w:sz w:val="20"/>
                <w:szCs w:val="20"/>
                <w:highlight w:val="none"/>
                <w:u w:val="none"/>
              </w:rPr>
            </w:pPr>
          </w:p>
        </w:tc>
      </w:tr>
      <w:tr w14:paraId="3375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9CE0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DC7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A0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32D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0EC854">
            <w:pPr>
              <w:jc w:val="right"/>
              <w:rPr>
                <w:rFonts w:hint="default" w:ascii="Times New Roman" w:hAnsi="Times New Roman" w:eastAsia="宋体" w:cs="Times New Roman"/>
                <w:i w:val="0"/>
                <w:iCs w:val="0"/>
                <w:color w:val="000000"/>
                <w:sz w:val="20"/>
                <w:szCs w:val="20"/>
                <w:highlight w:val="none"/>
                <w:u w:val="none"/>
              </w:rPr>
            </w:pPr>
          </w:p>
        </w:tc>
      </w:tr>
      <w:tr w14:paraId="7B4B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9CB3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369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754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7FF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8B0844">
            <w:pPr>
              <w:jc w:val="right"/>
              <w:rPr>
                <w:rFonts w:hint="default" w:ascii="Times New Roman" w:hAnsi="Times New Roman" w:eastAsia="宋体" w:cs="Times New Roman"/>
                <w:i w:val="0"/>
                <w:iCs w:val="0"/>
                <w:color w:val="000000"/>
                <w:sz w:val="20"/>
                <w:szCs w:val="20"/>
                <w:highlight w:val="none"/>
                <w:u w:val="none"/>
              </w:rPr>
            </w:pPr>
          </w:p>
        </w:tc>
      </w:tr>
      <w:tr w14:paraId="09FBF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B1C0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98C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CEA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013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042D4C">
            <w:pPr>
              <w:jc w:val="right"/>
              <w:rPr>
                <w:rFonts w:hint="default" w:ascii="Times New Roman" w:hAnsi="Times New Roman" w:eastAsia="宋体" w:cs="Times New Roman"/>
                <w:i w:val="0"/>
                <w:iCs w:val="0"/>
                <w:color w:val="000000"/>
                <w:sz w:val="20"/>
                <w:szCs w:val="20"/>
                <w:highlight w:val="none"/>
                <w:u w:val="none"/>
              </w:rPr>
            </w:pPr>
          </w:p>
        </w:tc>
      </w:tr>
      <w:tr w14:paraId="308D0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ACCB4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F08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F8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8C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2856B1">
            <w:pPr>
              <w:jc w:val="right"/>
              <w:rPr>
                <w:rFonts w:hint="default" w:ascii="Times New Roman" w:hAnsi="Times New Roman" w:eastAsia="宋体" w:cs="Times New Roman"/>
                <w:i w:val="0"/>
                <w:iCs w:val="0"/>
                <w:color w:val="000000"/>
                <w:sz w:val="20"/>
                <w:szCs w:val="20"/>
                <w:highlight w:val="none"/>
                <w:u w:val="none"/>
              </w:rPr>
            </w:pPr>
          </w:p>
        </w:tc>
      </w:tr>
      <w:tr w14:paraId="2A8E3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C507D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B9D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07B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CB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14AB4A">
            <w:pPr>
              <w:jc w:val="right"/>
              <w:rPr>
                <w:rFonts w:hint="default" w:ascii="Times New Roman" w:hAnsi="Times New Roman" w:eastAsia="宋体" w:cs="Times New Roman"/>
                <w:i w:val="0"/>
                <w:iCs w:val="0"/>
                <w:color w:val="000000"/>
                <w:sz w:val="20"/>
                <w:szCs w:val="20"/>
                <w:highlight w:val="none"/>
                <w:u w:val="none"/>
              </w:rPr>
            </w:pPr>
          </w:p>
        </w:tc>
      </w:tr>
      <w:tr w14:paraId="6E84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624269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86E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95B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BD3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B75BAB">
            <w:pPr>
              <w:jc w:val="right"/>
              <w:rPr>
                <w:rFonts w:hint="default" w:ascii="Times New Roman" w:hAnsi="Times New Roman" w:eastAsia="宋体" w:cs="Times New Roman"/>
                <w:i w:val="0"/>
                <w:iCs w:val="0"/>
                <w:color w:val="000000"/>
                <w:sz w:val="20"/>
                <w:szCs w:val="20"/>
                <w:highlight w:val="none"/>
                <w:u w:val="none"/>
              </w:rPr>
            </w:pPr>
          </w:p>
        </w:tc>
      </w:tr>
      <w:tr w14:paraId="02970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5B095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06F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AE6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72E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1DFC27">
            <w:pPr>
              <w:jc w:val="right"/>
              <w:rPr>
                <w:rFonts w:hint="default" w:ascii="Times New Roman" w:hAnsi="Times New Roman" w:eastAsia="宋体" w:cs="Times New Roman"/>
                <w:i w:val="0"/>
                <w:iCs w:val="0"/>
                <w:color w:val="000000"/>
                <w:sz w:val="20"/>
                <w:szCs w:val="20"/>
                <w:highlight w:val="none"/>
                <w:u w:val="none"/>
              </w:rPr>
            </w:pPr>
          </w:p>
        </w:tc>
      </w:tr>
      <w:tr w14:paraId="0DECD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8F88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76C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05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032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12.98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44165C">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部门（单位）：石家庄市商品市场规划建设中心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155.33</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45.51</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313</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4.80</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4.84</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3.53</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0.31</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12.98</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6.11</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40.98</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40.97</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eastAsia"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eastAsia="宋体" w:cs="Times New Roman"/>
                <w:i w:val="0"/>
                <w:iCs w:val="0"/>
                <w:color w:val="000000"/>
                <w:kern w:val="0"/>
                <w:sz w:val="18"/>
                <w:szCs w:val="18"/>
                <w:u w:val="none"/>
                <w:lang w:val="en-US" w:eastAsia="zh-CN" w:bidi="ar"/>
              </w:rPr>
              <w:t>1</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5.40</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2.29</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196.31</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部门（单位）：石家庄市商品市场规划建设中心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部门（单位）：石家庄市商品市场规划建设中心</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部门（单位）：石家庄市商品市场规划建设中心</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9.40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9.40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1.40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8.97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8.97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7.58</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72329F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09830C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4FEBCA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本单位2025年度收、支总计（含结转和结余）均为222.63万元。与2024年度决算相比，收支各增加4.51万元，增长2.1%，主要原因是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6B2390B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0C3337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本单位2025年度本年收入合计222.63万元，其中：财政拨款收入222.63万元，占10</w:t>
      </w:r>
      <w:r>
        <w:rPr>
          <w:rFonts w:hint="eastAsia" w:ascii="Times New Roman" w:eastAsia="仿宋_GB2312"/>
          <w:b w:val="0"/>
          <w:sz w:val="32"/>
          <w:szCs w:val="32"/>
          <w:lang w:eastAsia="zh-CN"/>
        </w:rPr>
        <w:t>0</w:t>
      </w:r>
      <w:r>
        <w:rPr>
          <w:rFonts w:ascii="Times New Roman" w:eastAsia="仿宋_GB2312"/>
          <w:b w:val="0"/>
          <w:sz w:val="32"/>
          <w:szCs w:val="32"/>
        </w:rPr>
        <w:t>%；上级补助收入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%；事业收入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%；经营收入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%；附属单位上缴收入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52521A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360" w:lineRule="auto"/>
        <w:ind w:firstLine="640" w:firstLineChars="200"/>
        <w:jc w:val="left"/>
        <w:textAlignment w:val="auto"/>
        <w:outlineLvl w:val="1"/>
        <w:rPr>
          <w:rFonts w:ascii="Times New Roman" w:eastAsia="黑体"/>
          <w:sz w:val="32"/>
          <w:szCs w:val="32"/>
        </w:rPr>
      </w:pPr>
      <w:r>
        <w:rPr>
          <w:rFonts w:ascii="Times New Roman" w:eastAsia="黑体"/>
          <w:b w:val="0"/>
          <w:sz w:val="32"/>
          <w:szCs w:val="32"/>
        </w:rPr>
        <w:t>三、支出决算情况说明</w:t>
      </w:r>
    </w:p>
    <w:p w14:paraId="0100FE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本单位2025年度本年支出合计222.63万元，其中：基本支出214.34万元，占96.3%；项目支出8.29万元，占3.7%；经营支出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%；上缴上级支出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%；对附属单位补助支出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9E851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DCA9F82">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04828E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本单位2025年度财政拨款收、支总计（含结转和结余）均为222.63万元。与2024年度相比，财政拨款收支各增加4.51万元，增长2.1%，主要原因是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w:t>
      </w:r>
    </w:p>
    <w:p w14:paraId="77CF6F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本单位2025年度财政拨款本年收入222.63万元,比上年增加4.51万元，增长2.1%，主要原因是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；本年支出222.63万元，比上年增加4.51万元，增长2.1%，主要原因是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。具体情况如下：</w:t>
      </w:r>
    </w:p>
    <w:p w14:paraId="7183593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一般公共预算财政拨款本年收入222.63万元,比上年增加4.51万元，增长2.1%，主要原因是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；本年支出222.63万元，比上年增加4.51万元，增长2.1%，主要原因是</w:t>
      </w:r>
      <w:r>
        <w:rPr>
          <w:rFonts w:hint="eastAsia" w:ascii="Times New Roman" w:eastAsia="仿宋_GB2312"/>
          <w:b w:val="0"/>
          <w:sz w:val="32"/>
          <w:szCs w:val="32"/>
          <w:lang w:eastAsia="zh-CN"/>
        </w:rPr>
        <w:t>人员调基增资等</w:t>
      </w:r>
      <w:r>
        <w:rPr>
          <w:rFonts w:ascii="Times New Roman" w:eastAsia="仿宋_GB2312"/>
          <w:b w:val="0"/>
          <w:sz w:val="32"/>
          <w:szCs w:val="32"/>
        </w:rPr>
        <w:t>。</w:t>
      </w:r>
    </w:p>
    <w:p w14:paraId="528D1B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；本年支出</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288254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；本年支出</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66FBD6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042105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本单位2025年度财政拨款本年收入222.63万元，完成年初预算的89.4%，比年初预算减少26.47万元，决算数小于预算数主要原因是</w:t>
      </w:r>
      <w:r>
        <w:rPr>
          <w:rFonts w:hint="eastAsia" w:ascii="方正仿宋_GBK" w:hAnsi="方正仿宋_GBK" w:eastAsia="方正仿宋_GBK" w:cs="方正仿宋_GBK"/>
          <w:kern w:val="0"/>
          <w:sz w:val="32"/>
          <w:szCs w:val="32"/>
          <w:highlight w:val="none"/>
          <w:rtl w:val="0"/>
          <w:lang w:val="en-US" w:eastAsia="zh-CN"/>
        </w:rPr>
        <w:t>调整了部分经费预算</w:t>
      </w:r>
      <w:r>
        <w:rPr>
          <w:rFonts w:ascii="Times New Roman" w:eastAsia="仿宋_GB2312"/>
          <w:b w:val="0"/>
          <w:sz w:val="32"/>
          <w:szCs w:val="32"/>
        </w:rPr>
        <w:t>；本年支出222.63万元，完成年初预算的89.4%，比年初预算减少26.47万元，决算数小于预算数主要原因是</w:t>
      </w:r>
      <w:r>
        <w:rPr>
          <w:rFonts w:hint="eastAsia" w:ascii="方正仿宋_GBK" w:hAnsi="方正仿宋_GBK" w:eastAsia="方正仿宋_GBK" w:cs="方正仿宋_GBK"/>
          <w:kern w:val="0"/>
          <w:sz w:val="32"/>
          <w:szCs w:val="32"/>
          <w:highlight w:val="none"/>
          <w:rtl w:val="0"/>
          <w:lang w:val="en-US" w:eastAsia="zh-CN"/>
        </w:rPr>
        <w:t>调整了部分经费预算</w:t>
      </w:r>
      <w:r>
        <w:rPr>
          <w:rFonts w:ascii="Times New Roman" w:eastAsia="仿宋_GB2312"/>
          <w:b w:val="0"/>
          <w:sz w:val="32"/>
          <w:szCs w:val="32"/>
        </w:rPr>
        <w:t>。具体情况如下：</w:t>
      </w:r>
    </w:p>
    <w:p w14:paraId="4DE4F3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一般公共预算财政拨款本年收入完成年初预算的89.4%，比年初预算减少26.47万元，主要原因是</w:t>
      </w:r>
      <w:r>
        <w:rPr>
          <w:rFonts w:hint="eastAsia" w:ascii="方正仿宋_GBK" w:hAnsi="方正仿宋_GBK" w:eastAsia="方正仿宋_GBK" w:cs="方正仿宋_GBK"/>
          <w:kern w:val="0"/>
          <w:sz w:val="32"/>
          <w:szCs w:val="32"/>
          <w:highlight w:val="none"/>
          <w:rtl w:val="0"/>
          <w:lang w:val="en-US" w:eastAsia="zh-CN"/>
        </w:rPr>
        <w:t>调整了部分经费预算</w:t>
      </w:r>
      <w:r>
        <w:rPr>
          <w:rFonts w:ascii="Times New Roman" w:eastAsia="仿宋_GB2312"/>
          <w:b w:val="0"/>
          <w:sz w:val="32"/>
          <w:szCs w:val="32"/>
        </w:rPr>
        <w:t>；支出完成年初预算的89.4%，比年初预算减少26.47万元，主要原因是</w:t>
      </w:r>
      <w:r>
        <w:rPr>
          <w:rFonts w:hint="eastAsia" w:ascii="方正仿宋_GBK" w:hAnsi="方正仿宋_GBK" w:eastAsia="方正仿宋_GBK" w:cs="方正仿宋_GBK"/>
          <w:kern w:val="0"/>
          <w:sz w:val="32"/>
          <w:szCs w:val="32"/>
          <w:highlight w:val="none"/>
          <w:rtl w:val="0"/>
          <w:lang w:val="en-US" w:eastAsia="zh-CN"/>
        </w:rPr>
        <w:t>调整了部分经费预算</w:t>
      </w:r>
      <w:r>
        <w:rPr>
          <w:rFonts w:ascii="Times New Roman" w:eastAsia="仿宋_GB2312"/>
          <w:b w:val="0"/>
          <w:sz w:val="32"/>
          <w:szCs w:val="32"/>
        </w:rPr>
        <w:t>。</w:t>
      </w:r>
    </w:p>
    <w:p w14:paraId="29023A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7DFD55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无预算</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29968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3B7BE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2025年度财政拨款支出222.63万元，主要用于以下方面：</w:t>
      </w:r>
    </w:p>
    <w:p w14:paraId="0CC65F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887CA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一般公共服务（类）支出153.14万元，占68.8%；外交（类）支出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（类）支出48.13万元，占21.6%；卫生健康（类）支出8.37万元，占3.8%；节能环保（类）支出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%；住房保障（类）支出12.98万元，占5.8%；粮油物资储备（类）支出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68070F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BF109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052417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1809B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44A8351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7D2B92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2025年度财政拨款基本支出214.34万元，其中：</w:t>
      </w:r>
    </w:p>
    <w:p w14:paraId="0736DE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196.31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2B7695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183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24D70A3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05B8AF8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AB8BD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本单位2025年度“三公”经费财政拨款支出预算为9.40万元，支出决算为8.97万元，完成预算的95.4%，较预算减少0.43万元，降低4.6%，主要原因是</w:t>
      </w:r>
      <w:r>
        <w:rPr>
          <w:rFonts w:hint="eastAsia" w:ascii="仿宋_GB2312" w:eastAsia="仿宋_GB2312" w:cs="ArialUnicodeMS"/>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；较2024年度决算增加8.47万元，增长1,694%，主要原因是</w:t>
      </w:r>
      <w:r>
        <w:rPr>
          <w:rFonts w:hint="eastAsia" w:ascii="Times New Roman" w:eastAsia="仿宋_GB2312"/>
          <w:b w:val="0"/>
          <w:sz w:val="32"/>
          <w:szCs w:val="32"/>
          <w:lang w:eastAsia="zh-CN"/>
        </w:rPr>
        <w:t>发生了公务用车购置</w:t>
      </w:r>
      <w:r>
        <w:rPr>
          <w:rFonts w:ascii="Times New Roman" w:eastAsia="仿宋_GB2312"/>
          <w:b w:val="0"/>
          <w:sz w:val="32"/>
          <w:szCs w:val="32"/>
        </w:rPr>
        <w:t>。</w:t>
      </w:r>
    </w:p>
    <w:p w14:paraId="45687C3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D935C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%。因公出国（境）费支出较预算增加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方正仿宋_GBK" w:hAnsi="方正仿宋_GBK" w:eastAsia="方正仿宋_GBK" w:cs="方正仿宋_GBK"/>
          <w:b w:val="0"/>
          <w:sz w:val="32"/>
          <w:szCs w:val="32"/>
          <w:lang w:eastAsia="zh-CN"/>
        </w:rPr>
        <w:t>无出国任务</w:t>
      </w:r>
      <w:r>
        <w:rPr>
          <w:rFonts w:ascii="Times New Roman" w:eastAsia="仿宋_GB2312"/>
          <w:b w:val="0"/>
          <w:sz w:val="32"/>
          <w:szCs w:val="32"/>
        </w:rPr>
        <w:t>；较上年增加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方正仿宋_GBK" w:hAnsi="方正仿宋_GBK" w:eastAsia="方正仿宋_GBK" w:cs="方正仿宋_GBK"/>
          <w:b w:val="0"/>
          <w:sz w:val="32"/>
          <w:szCs w:val="32"/>
          <w:lang w:eastAsia="zh-CN"/>
        </w:rPr>
        <w:t>无出国任务</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人/无本部门组织的出国（境）团组。</w:t>
      </w:r>
    </w:p>
    <w:p w14:paraId="1673F43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本单位2025年度公务用车购置及运行维护费预算为9.40万元，支出决算8.97万元，完成预算的95.4%,较预算减少0.43万元，降低4.6%,主要原因是</w:t>
      </w:r>
      <w:r>
        <w:rPr>
          <w:rFonts w:hint="eastAsia" w:ascii="仿宋_GB2312" w:eastAsia="仿宋_GB2312" w:cs="ArialUnicodeMS"/>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；较上年增加8.47万元，增长1,694%,主要原因是</w:t>
      </w:r>
      <w:r>
        <w:rPr>
          <w:rFonts w:hint="eastAsia" w:ascii="Times New Roman" w:eastAsia="仿宋_GB2312"/>
          <w:b w:val="0"/>
          <w:sz w:val="32"/>
          <w:szCs w:val="32"/>
          <w:lang w:eastAsia="zh-CN"/>
        </w:rPr>
        <w:t>发生了公务用车购置支出</w:t>
      </w:r>
      <w:r>
        <w:rPr>
          <w:rFonts w:ascii="Times New Roman" w:eastAsia="仿宋_GB2312"/>
          <w:b w:val="0"/>
          <w:sz w:val="32"/>
          <w:szCs w:val="32"/>
        </w:rPr>
        <w:t>。其中：</w:t>
      </w:r>
    </w:p>
    <w:p w14:paraId="5EAAD11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公务用车购置费支出7.58万元：</w:t>
      </w:r>
      <w:r>
        <w:rPr>
          <w:rFonts w:ascii="Times New Roman" w:eastAsia="仿宋_GB2312"/>
          <w:b w:val="0"/>
          <w:sz w:val="32"/>
          <w:szCs w:val="32"/>
        </w:rPr>
        <w:t>本单位2025年度公务用车购置量1辆，发生“公务用车购置”经费支出7.58万元。公务用车购置费支出较预算减少0.42万元，降低5.3%,主要原因是</w:t>
      </w:r>
      <w:r>
        <w:rPr>
          <w:rFonts w:hint="eastAsia" w:ascii="仿宋_GB2312" w:eastAsia="仿宋_GB2312" w:cs="ArialUnicodeMS"/>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；较上年增加7.58万元，增长10</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发生了公务用车购置支出</w:t>
      </w:r>
      <w:r>
        <w:rPr>
          <w:rFonts w:ascii="Times New Roman" w:eastAsia="仿宋_GB2312"/>
          <w:b w:val="0"/>
          <w:sz w:val="32"/>
          <w:szCs w:val="32"/>
        </w:rPr>
        <w:t>。</w:t>
      </w:r>
    </w:p>
    <w:p w14:paraId="21D9095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公务用车运行维护费支出1.39万元：</w:t>
      </w:r>
      <w:r>
        <w:rPr>
          <w:rFonts w:ascii="Times New Roman" w:eastAsia="仿宋_GB2312"/>
          <w:b w:val="0"/>
          <w:sz w:val="32"/>
          <w:szCs w:val="32"/>
        </w:rPr>
        <w:t>本单位2025年度单位公务用车保有量1辆，发生运行维护费支出1.39万元。公车运行维护费支出较预算减少</w:t>
      </w:r>
      <w:r>
        <w:rPr>
          <w:rFonts w:hint="eastAsia" w:ascii="Times New Roman" w:eastAsia="仿宋_GB2312"/>
          <w:b w:val="0"/>
          <w:sz w:val="32"/>
          <w:szCs w:val="32"/>
          <w:lang w:eastAsia="zh-CN"/>
        </w:rPr>
        <w:t>0</w:t>
      </w:r>
      <w:r>
        <w:rPr>
          <w:rFonts w:ascii="Times New Roman" w:eastAsia="仿宋_GB2312"/>
          <w:b w:val="0"/>
          <w:sz w:val="32"/>
          <w:szCs w:val="32"/>
        </w:rPr>
        <w:t>1万元，降低0.7%,主要原因是</w:t>
      </w:r>
      <w:r>
        <w:rPr>
          <w:rFonts w:hint="eastAsia" w:ascii="仿宋_GB2312" w:eastAsia="仿宋_GB2312" w:cs="ArialUnicodeMS"/>
          <w:kern w:val="0"/>
          <w:sz w:val="32"/>
          <w:szCs w:val="32"/>
          <w:highlight w:val="none"/>
          <w:lang w:val="en-US" w:eastAsia="zh-CN"/>
        </w:rPr>
        <w:t>我单位认真贯彻落实关于厉行节约的各项要求，采取有力措施，严格控制“三公”经费支出</w:t>
      </w:r>
      <w:r>
        <w:rPr>
          <w:rFonts w:ascii="Times New Roman" w:eastAsia="仿宋_GB2312"/>
          <w:b w:val="0"/>
          <w:sz w:val="32"/>
          <w:szCs w:val="32"/>
        </w:rPr>
        <w:t>；较上年增加0.89万元，增长178%，主要原因是</w:t>
      </w:r>
      <w:r>
        <w:rPr>
          <w:rFonts w:hint="eastAsia" w:ascii="Times New Roman" w:eastAsia="仿宋_GB2312"/>
          <w:b w:val="0"/>
          <w:sz w:val="32"/>
          <w:szCs w:val="32"/>
          <w:lang w:eastAsia="zh-CN"/>
        </w:rPr>
        <w:t>购置车辆后相应的车辆维护费有所增加</w:t>
      </w:r>
      <w:r>
        <w:rPr>
          <w:rFonts w:ascii="Times New Roman" w:eastAsia="仿宋_GB2312"/>
          <w:b w:val="0"/>
          <w:sz w:val="32"/>
          <w:szCs w:val="32"/>
        </w:rPr>
        <w:t>。</w:t>
      </w:r>
    </w:p>
    <w:p w14:paraId="797971C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%。公务接待费支出较预算增加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无接待活动</w:t>
      </w:r>
      <w:r>
        <w:rPr>
          <w:rFonts w:ascii="Times New Roman" w:eastAsia="仿宋_GB2312"/>
          <w:b w:val="0"/>
          <w:sz w:val="32"/>
          <w:szCs w:val="32"/>
        </w:rPr>
        <w:t>；较上年度增加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无接待活动</w:t>
      </w:r>
      <w:r>
        <w:rPr>
          <w:rFonts w:ascii="Times New Roman" w:eastAsia="仿宋_GB2312"/>
          <w:b w:val="0"/>
          <w:sz w:val="32"/>
          <w:szCs w:val="32"/>
        </w:rPr>
        <w:t>。本年度共发生公务接待0批次、0人次。</w:t>
      </w:r>
    </w:p>
    <w:p w14:paraId="64BBFD2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752A92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本单位2025年度机关运行经费支出183万元，较2024年度减少2.35万元，降低11.5%。主要原因是</w:t>
      </w:r>
      <w:r>
        <w:rPr>
          <w:rFonts w:hint="eastAsia" w:ascii="方正仿宋_GBK" w:hAnsi="方正仿宋_GBK" w:eastAsia="方正仿宋_GBK" w:cs="方正仿宋_GBK"/>
          <w:kern w:val="0"/>
          <w:sz w:val="32"/>
          <w:szCs w:val="32"/>
          <w:highlight w:val="none"/>
          <w:lang w:val="en-US" w:eastAsia="zh-CN"/>
        </w:rPr>
        <w:t>按照有关规定，持续压减机关运行成本</w:t>
      </w:r>
      <w:r>
        <w:rPr>
          <w:rFonts w:ascii="Times New Roman" w:eastAsia="仿宋_GB2312"/>
          <w:b w:val="0"/>
          <w:sz w:val="32"/>
          <w:szCs w:val="32"/>
        </w:rPr>
        <w:t>。</w:t>
      </w:r>
    </w:p>
    <w:p w14:paraId="4180CC6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0B9DFA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w:t>
      </w:r>
      <w:r>
        <w:rPr>
          <w:rFonts w:hint="eastAsia" w:ascii="Times New Roman" w:eastAsia="仿宋_GB2312"/>
          <w:b w:val="0"/>
          <w:sz w:val="32"/>
          <w:szCs w:val="32"/>
          <w:lang w:eastAsia="zh-CN"/>
        </w:rPr>
        <w:t>0</w:t>
      </w:r>
      <w:r>
        <w:rPr>
          <w:rFonts w:ascii="Times New Roman" w:eastAsia="仿宋_GB2312"/>
          <w:b w:val="0"/>
          <w:sz w:val="32"/>
          <w:szCs w:val="32"/>
        </w:rPr>
        <w:t>万元，从采购类型来看，政府采购货物支出</w:t>
      </w:r>
      <w:r>
        <w:rPr>
          <w:rFonts w:hint="eastAsia" w:ascii="Times New Roman" w:eastAsia="仿宋_GB2312"/>
          <w:b w:val="0"/>
          <w:sz w:val="32"/>
          <w:szCs w:val="32"/>
          <w:lang w:eastAsia="zh-CN"/>
        </w:rPr>
        <w:t>0</w:t>
      </w:r>
      <w:r>
        <w:rPr>
          <w:rFonts w:ascii="Times New Roman" w:eastAsia="仿宋_GB2312"/>
          <w:b w:val="0"/>
          <w:sz w:val="32"/>
          <w:szCs w:val="32"/>
        </w:rPr>
        <w:t>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w:t>
      </w:r>
      <w:r>
        <w:rPr>
          <w:rFonts w:hint="eastAsia" w:ascii="Times New Roman" w:eastAsia="仿宋_GB2312"/>
          <w:b w:val="0"/>
          <w:sz w:val="32"/>
          <w:szCs w:val="32"/>
          <w:lang w:eastAsia="zh-CN"/>
        </w:rPr>
        <w:t>0</w:t>
      </w:r>
      <w:r>
        <w:rPr>
          <w:rFonts w:ascii="Times New Roman" w:eastAsia="仿宋_GB2312"/>
          <w:b w:val="0"/>
          <w:sz w:val="32"/>
          <w:szCs w:val="32"/>
        </w:rPr>
        <w:t>万元。授予中小企业合同金额</w:t>
      </w:r>
      <w:r>
        <w:rPr>
          <w:rFonts w:hint="eastAsia" w:ascii="Times New Roman" w:eastAsia="仿宋_GB2312"/>
          <w:b w:val="0"/>
          <w:sz w:val="32"/>
          <w:szCs w:val="32"/>
          <w:lang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eastAsia="zh-CN"/>
        </w:rPr>
        <w:t>0</w:t>
      </w:r>
      <w:r>
        <w:rPr>
          <w:rFonts w:ascii="Times New Roman" w:eastAsia="仿宋_GB2312"/>
          <w:b w:val="0"/>
          <w:sz w:val="32"/>
          <w:szCs w:val="32"/>
        </w:rPr>
        <w:t>%，其中授予小微企业合同金额</w:t>
      </w:r>
      <w:r>
        <w:rPr>
          <w:rFonts w:hint="eastAsia" w:ascii="Times New Roman" w:eastAsia="仿宋_GB2312"/>
          <w:b w:val="0"/>
          <w:sz w:val="32"/>
          <w:szCs w:val="32"/>
          <w:lang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eastAsia="zh-CN"/>
        </w:rPr>
        <w:t>0</w:t>
      </w:r>
      <w:r>
        <w:rPr>
          <w:rFonts w:ascii="Times New Roman" w:eastAsia="仿宋_GB2312"/>
          <w:b w:val="0"/>
          <w:sz w:val="32"/>
          <w:szCs w:val="32"/>
        </w:rPr>
        <w:t>%。</w:t>
      </w:r>
    </w:p>
    <w:p w14:paraId="445BCE8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6180DB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截至2025年12月31日，本单位共有车辆1辆，比上年增加1辆，主要是</w:t>
      </w:r>
      <w:r>
        <w:rPr>
          <w:rFonts w:hint="eastAsia" w:ascii="Times New Roman" w:eastAsia="仿宋_GB2312"/>
          <w:b w:val="0"/>
          <w:sz w:val="32"/>
          <w:szCs w:val="32"/>
          <w:lang w:eastAsia="zh-CN"/>
        </w:rPr>
        <w:t>发生了公务用车购置</w:t>
      </w:r>
      <w:r>
        <w:rPr>
          <w:rFonts w:ascii="Times New Roman" w:eastAsia="仿宋_GB2312"/>
          <w:b w:val="0"/>
          <w:sz w:val="32"/>
          <w:szCs w:val="32"/>
        </w:rPr>
        <w:t>。其中，副部（省）级及以上领导用车0辆，主要负责人用车0辆，机要通信用车1辆，应急保障用车0辆，执法执勤用车0辆，特种专业技术用车0辆，离退休干部用车0辆，其他用车0辆，其他用车主要是。单位价值100万元（含）以上设备（不含车辆）0台（套）。</w:t>
      </w:r>
    </w:p>
    <w:p w14:paraId="079D303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1CC2E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4035A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12.38</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12.38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00F19D3D">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ascii="Times New Roman" w:eastAsia="仿宋_GB2312"/>
          <w:b w:val="0"/>
          <w:sz w:val="32"/>
          <w:szCs w:val="32"/>
        </w:rPr>
        <w:t>组织对</w:t>
      </w:r>
      <w:r>
        <w:rPr>
          <w:rFonts w:hint="eastAsia" w:ascii="Times New Roman" w:eastAsia="仿宋_GB2312"/>
          <w:b w:val="0"/>
          <w:sz w:val="32"/>
          <w:szCs w:val="32"/>
          <w:lang w:val="en-US" w:eastAsia="zh-CN"/>
        </w:rPr>
        <w:t>0</w:t>
      </w:r>
      <w:r>
        <w:rPr>
          <w:rFonts w:ascii="Times New Roman" w:eastAsia="仿宋_GB2312"/>
          <w:b w:val="0"/>
          <w:sz w:val="32"/>
          <w:szCs w:val="32"/>
        </w:rPr>
        <w:t>个项目开展了部门重点评价，涉及一般公共预算支出万元，政府性基金预算支出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w:t>
      </w:r>
      <w:r>
        <w:rPr>
          <w:rFonts w:hint="eastAsia" w:ascii="Times New Roman" w:eastAsia="仿宋_GB2312"/>
          <w:b w:val="0"/>
          <w:sz w:val="32"/>
          <w:szCs w:val="32"/>
          <w:lang w:eastAsia="zh-CN"/>
        </w:rPr>
        <w:t>。</w:t>
      </w:r>
    </w:p>
    <w:p w14:paraId="483604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FB5D9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lang w:val="en-US" w:eastAsia="zh-CN"/>
        </w:rPr>
        <w:t>2</w:t>
      </w:r>
      <w:r>
        <w:rPr>
          <w:rFonts w:ascii="Times New Roman" w:eastAsia="仿宋_GB2312"/>
          <w:b w:val="0"/>
          <w:sz w:val="32"/>
          <w:szCs w:val="32"/>
        </w:rPr>
        <w:t>个项目绩效自评结果。</w:t>
      </w:r>
    </w:p>
    <w:p w14:paraId="7CB553D0">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Times New Roman" w:eastAsia="仿宋_GB2312"/>
          <w:b w:val="0"/>
          <w:sz w:val="32"/>
          <w:szCs w:val="32"/>
          <w:lang w:eastAsia="zh-CN"/>
        </w:rPr>
        <w:t>公务用车购置经费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94.5</w:t>
      </w:r>
      <w:r>
        <w:rPr>
          <w:rFonts w:ascii="Times New Roman" w:eastAsia="仿宋_GB2312"/>
          <w:b w:val="0"/>
          <w:sz w:val="32"/>
          <w:szCs w:val="32"/>
        </w:rPr>
        <w:t>分（绩效自评表附后）</w:t>
      </w:r>
      <w:r>
        <w:rPr>
          <w:rFonts w:hint="eastAsia" w:ascii="Times New Roman" w:eastAsia="仿宋_GB2312"/>
          <w:b w:val="0"/>
          <w:sz w:val="32"/>
          <w:szCs w:val="32"/>
          <w:lang w:eastAsia="zh-CN"/>
        </w:rPr>
        <w:t>。</w:t>
      </w:r>
      <w:r>
        <w:rPr>
          <w:rFonts w:ascii="Times New Roman" w:eastAsia="仿宋_GB2312"/>
          <w:b w:val="0"/>
          <w:sz w:val="32"/>
          <w:szCs w:val="32"/>
        </w:rPr>
        <w:t>全年预算数为</w:t>
      </w:r>
      <w:r>
        <w:rPr>
          <w:rFonts w:hint="eastAsia" w:ascii="Times New Roman" w:eastAsia="仿宋_GB2312"/>
          <w:b w:val="0"/>
          <w:sz w:val="32"/>
          <w:szCs w:val="32"/>
          <w:lang w:val="en-US" w:eastAsia="zh-CN"/>
        </w:rPr>
        <w:t>8</w:t>
      </w:r>
      <w:r>
        <w:rPr>
          <w:rFonts w:ascii="Times New Roman" w:eastAsia="仿宋_GB2312"/>
          <w:b w:val="0"/>
          <w:sz w:val="32"/>
          <w:szCs w:val="32"/>
        </w:rPr>
        <w:t>万元，执行数为</w:t>
      </w:r>
      <w:r>
        <w:rPr>
          <w:rFonts w:hint="eastAsia" w:ascii="Times New Roman" w:eastAsia="仿宋_GB2312"/>
          <w:b w:val="0"/>
          <w:sz w:val="32"/>
          <w:szCs w:val="32"/>
          <w:lang w:val="en-US" w:eastAsia="zh-CN"/>
        </w:rPr>
        <w:t>7.58</w:t>
      </w:r>
      <w:r>
        <w:rPr>
          <w:rFonts w:ascii="Times New Roman" w:eastAsia="仿宋_GB2312"/>
          <w:b w:val="0"/>
          <w:sz w:val="32"/>
          <w:szCs w:val="32"/>
        </w:rPr>
        <w:t>万元，完成预算的</w:t>
      </w:r>
      <w:r>
        <w:rPr>
          <w:rFonts w:hint="eastAsia" w:ascii="Times New Roman" w:eastAsia="仿宋_GB2312"/>
          <w:b w:val="0"/>
          <w:sz w:val="32"/>
          <w:szCs w:val="32"/>
          <w:lang w:val="en-US" w:eastAsia="zh-CN"/>
        </w:rPr>
        <w:t>94.75</w:t>
      </w:r>
      <w:r>
        <w:rPr>
          <w:rFonts w:ascii="Times New Roman" w:eastAsia="仿宋_GB2312"/>
          <w:b w:val="0"/>
          <w:sz w:val="32"/>
          <w:szCs w:val="32"/>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完成了年初设定的各项绩效目标，通过购置公务用车，更好地确保公务用车出行安全，更好发挥机要应急等工作职能</w:t>
      </w:r>
      <w:r>
        <w:rPr>
          <w:rFonts w:hint="eastAsia" w:ascii="方正仿宋_GBK" w:eastAsia="方正仿宋_GBK" w:cs="方正仿宋_GBK"/>
          <w:b w:val="0"/>
          <w:color w:val="000000" w:themeColor="text1"/>
          <w:sz w:val="32"/>
          <w:szCs w:val="32"/>
          <w:lang w:eastAsia="zh-CN"/>
          <w14:textFill>
            <w14:solidFill>
              <w14:schemeClr w14:val="tx1"/>
            </w14:solidFill>
          </w14:textFill>
        </w:rPr>
        <w:t>。</w:t>
      </w:r>
    </w:p>
    <w:p w14:paraId="28486906">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方正仿宋_GBK" w:eastAsia="方正仿宋_GBK" w:cs="方正仿宋_GBK"/>
          <w:b w:val="0"/>
          <w:color w:val="000000" w:themeColor="text1"/>
          <w:sz w:val="32"/>
          <w:szCs w:val="32"/>
          <w:lang w:eastAsia="zh-CN"/>
          <w14:textFill>
            <w14:solidFill>
              <w14:schemeClr w14:val="tx1"/>
            </w14:solidFill>
          </w14:textFill>
        </w:rPr>
        <w:t>公务用车租赁费</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91.62</w:t>
      </w:r>
      <w:r>
        <w:rPr>
          <w:rFonts w:ascii="Times New Roman" w:eastAsia="仿宋_GB2312"/>
          <w:b w:val="0"/>
          <w:sz w:val="32"/>
          <w:szCs w:val="32"/>
        </w:rPr>
        <w:t>分（绩效自评表附后）</w:t>
      </w:r>
      <w:r>
        <w:rPr>
          <w:rFonts w:hint="eastAsia" w:ascii="Times New Roman" w:eastAsia="仿宋_GB2312"/>
          <w:b w:val="0"/>
          <w:sz w:val="32"/>
          <w:szCs w:val="32"/>
          <w:lang w:eastAsia="zh-CN"/>
        </w:rPr>
        <w:t>。</w:t>
      </w:r>
      <w:r>
        <w:rPr>
          <w:rFonts w:ascii="Times New Roman" w:eastAsia="仿宋_GB2312"/>
          <w:b w:val="0"/>
          <w:sz w:val="32"/>
          <w:szCs w:val="32"/>
        </w:rPr>
        <w:t>全年预算数为</w:t>
      </w:r>
      <w:r>
        <w:rPr>
          <w:rFonts w:hint="eastAsia" w:ascii="Times New Roman" w:eastAsia="仿宋_GB2312"/>
          <w:b w:val="0"/>
          <w:sz w:val="32"/>
          <w:szCs w:val="32"/>
          <w:lang w:val="en-US" w:eastAsia="zh-CN"/>
        </w:rPr>
        <w:t>4.38</w:t>
      </w:r>
      <w:r>
        <w:rPr>
          <w:rFonts w:ascii="Times New Roman" w:eastAsia="仿宋_GB2312"/>
          <w:b w:val="0"/>
          <w:sz w:val="32"/>
          <w:szCs w:val="32"/>
        </w:rPr>
        <w:t>万元，执行数为</w:t>
      </w:r>
      <w:r>
        <w:rPr>
          <w:rFonts w:hint="eastAsia" w:ascii="Times New Roman" w:eastAsia="仿宋_GB2312"/>
          <w:b w:val="0"/>
          <w:sz w:val="32"/>
          <w:szCs w:val="32"/>
          <w:lang w:val="en-US" w:eastAsia="zh-CN"/>
        </w:rPr>
        <w:t>0.708</w:t>
      </w:r>
      <w:r>
        <w:rPr>
          <w:rFonts w:ascii="Times New Roman" w:eastAsia="仿宋_GB2312"/>
          <w:b w:val="0"/>
          <w:sz w:val="32"/>
          <w:szCs w:val="32"/>
        </w:rPr>
        <w:t>万元，完成预算的</w:t>
      </w:r>
      <w:r>
        <w:rPr>
          <w:rFonts w:hint="eastAsia" w:ascii="Times New Roman" w:eastAsia="仿宋_GB2312"/>
          <w:b w:val="0"/>
          <w:sz w:val="32"/>
          <w:szCs w:val="32"/>
          <w:lang w:val="en-US" w:eastAsia="zh-CN"/>
        </w:rPr>
        <w:t>16.16</w:t>
      </w:r>
      <w:r>
        <w:rPr>
          <w:rFonts w:ascii="Times New Roman" w:eastAsia="仿宋_GB2312"/>
          <w:b w:val="0"/>
          <w:sz w:val="32"/>
          <w:szCs w:val="32"/>
        </w:rPr>
        <w:t>%。项目绩效目标完成情况：</w:t>
      </w:r>
      <w:r>
        <w:rPr>
          <w:rFonts w:hint="eastAsia" w:ascii="Times New Roman" w:eastAsia="仿宋_GB2312"/>
          <w:b w:val="0"/>
          <w:sz w:val="32"/>
          <w:szCs w:val="32"/>
          <w:lang w:eastAsia="zh-CN"/>
        </w:rPr>
        <w:t>因年中按照有关要求进行了车辆退租</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，无法完全达到绩效目标。但通过租赁公务用车，更好地保障日常公务出行</w:t>
      </w:r>
      <w:r>
        <w:rPr>
          <w:rFonts w:hint="eastAsia" w:ascii="方正仿宋_GBK" w:eastAsia="方正仿宋_GBK" w:cs="方正仿宋_GBK"/>
          <w:b w:val="0"/>
          <w:color w:val="000000" w:themeColor="text1"/>
          <w:sz w:val="32"/>
          <w:szCs w:val="32"/>
          <w:lang w:eastAsia="zh-CN"/>
          <w14:textFill>
            <w14:solidFill>
              <w14:schemeClr w14:val="tx1"/>
            </w14:solidFill>
          </w14:textFill>
        </w:rPr>
        <w:t>。</w:t>
      </w:r>
    </w:p>
    <w:p w14:paraId="2256A502">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51620A75">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735DFDC3">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3DD072AC">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62174748">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136115E9">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0D7F6121">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3EBDC7E4">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03C7F997">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291A9412">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710DD6FC">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394E5906">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0F9715EE">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45449D49">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p>
    <w:p w14:paraId="71277EFA">
      <w:pPr>
        <w:widowControl/>
        <w:spacing w:before="0" w:beforeLines="0" w:beforeAutospacing="0" w:after="0" w:afterLines="0" w:afterAutospacing="0" w:line="360" w:lineRule="auto"/>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bookmarkStart w:id="0" w:name="_GoBack"/>
      <w:bookmarkEnd w:id="0"/>
    </w:p>
    <w:p w14:paraId="6598F5A3">
      <w:pPr>
        <w:widowControl/>
        <w:spacing w:before="0" w:beforeLines="0" w:beforeAutospacing="0" w:after="0" w:afterLines="0" w:afterAutospacing="0" w:line="360" w:lineRule="auto"/>
        <w:ind w:firstLine="640" w:firstLineChars="200"/>
        <w:jc w:val="left"/>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方正仿宋_GBK" w:eastAsia="方正仿宋_GBK" w:cs="方正仿宋_GBK"/>
          <w:b w:val="0"/>
          <w:color w:val="000000" w:themeColor="text1"/>
          <w:sz w:val="32"/>
          <w:szCs w:val="32"/>
          <w:lang w:eastAsia="zh-CN"/>
          <w14:textFill>
            <w14:solidFill>
              <w14:schemeClr w14:val="tx1"/>
            </w14:solidFill>
          </w14:textFill>
        </w:rPr>
        <w:drawing>
          <wp:inline distT="0" distB="0" distL="114300" distR="114300">
            <wp:extent cx="5754370" cy="8092440"/>
            <wp:effectExtent l="0" t="0" r="17780" b="3810"/>
            <wp:docPr id="3" name="图片 3" descr="微信图片_20260901173640_4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901173640_43_2"/>
                    <pic:cNvPicPr>
                      <a:picLocks noChangeAspect="1"/>
                    </pic:cNvPicPr>
                  </pic:nvPicPr>
                  <pic:blipFill>
                    <a:blip r:embed="rId19"/>
                    <a:stretch>
                      <a:fillRect/>
                    </a:stretch>
                  </pic:blipFill>
                  <pic:spPr>
                    <a:xfrm>
                      <a:off x="0" y="0"/>
                      <a:ext cx="5754370" cy="8092440"/>
                    </a:xfrm>
                    <a:prstGeom prst="rect">
                      <a:avLst/>
                    </a:prstGeom>
                  </pic:spPr>
                </pic:pic>
              </a:graphicData>
            </a:graphic>
          </wp:inline>
        </w:drawing>
      </w:r>
      <w:r>
        <w:rPr>
          <w:rFonts w:hint="eastAsia" w:ascii="方正仿宋_GBK" w:eastAsia="方正仿宋_GBK" w:cs="方正仿宋_GBK"/>
          <w:b w:val="0"/>
          <w:color w:val="000000" w:themeColor="text1"/>
          <w:sz w:val="32"/>
          <w:szCs w:val="32"/>
          <w:lang w:eastAsia="zh-CN"/>
          <w14:textFill>
            <w14:solidFill>
              <w14:schemeClr w14:val="tx1"/>
            </w14:solidFill>
          </w14:textFill>
        </w:rPr>
        <w:drawing>
          <wp:inline distT="0" distB="0" distL="114300" distR="114300">
            <wp:extent cx="5749925" cy="8002270"/>
            <wp:effectExtent l="0" t="0" r="3175" b="17780"/>
            <wp:docPr id="2" name="图片 2" descr="微信图片_20260901191428_4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901191428_45_2"/>
                    <pic:cNvPicPr>
                      <a:picLocks noChangeAspect="1"/>
                    </pic:cNvPicPr>
                  </pic:nvPicPr>
                  <pic:blipFill>
                    <a:blip r:embed="rId20"/>
                    <a:stretch>
                      <a:fillRect/>
                    </a:stretch>
                  </pic:blipFill>
                  <pic:spPr>
                    <a:xfrm>
                      <a:off x="0" y="0"/>
                      <a:ext cx="5749925" cy="8002270"/>
                    </a:xfrm>
                    <a:prstGeom prst="rect">
                      <a:avLst/>
                    </a:prstGeom>
                  </pic:spPr>
                </pic:pic>
              </a:graphicData>
            </a:graphic>
          </wp:inline>
        </w:drawing>
      </w:r>
    </w:p>
    <w:p w14:paraId="135195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0459B3C2">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Times New Roman" w:eastAsia="仿宋_GB2312"/>
          <w:sz w:val="32"/>
          <w:szCs w:val="32"/>
          <w:lang w:val="en-US" w:eastAsia="zh-CN"/>
        </w:rPr>
        <w:t>无。</w:t>
      </w:r>
    </w:p>
    <w:p w14:paraId="3B12A1B9">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79C398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7DF1F4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106739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71C5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160BEC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F00579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4817F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F7794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0E468B2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03F4A3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525E98C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3BCCD4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7833C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8610C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F8560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9C5DF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552E35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3A948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5B7AD1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25559F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BA4703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auto"/>
    <w:pitch w:val="default"/>
    <w:sig w:usb0="00000000" w:usb1="00000000"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9AE3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8961D">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910CC">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A32E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26467"/>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F7F774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222.63</c:v>
                </c:pt>
                <c:pt idx="1">
                  <c:v>218.12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2226263.24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2143383.24</c:v>
                </c:pt>
                <c:pt idx="1">
                  <c:v>82880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218.12</c:v>
                </c:pt>
                <c:pt idx="1">
                  <c:v>218.12</c:v>
                </c:pt>
                <c:pt idx="2">
                  <c:v>218.12</c:v>
                </c:pt>
                <c:pt idx="3">
                  <c:v>218.12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222.63</c:v>
                </c:pt>
                <c:pt idx="1">
                  <c:v>222.63</c:v>
                </c:pt>
                <c:pt idx="2">
                  <c:v>222.63</c:v>
                </c:pt>
                <c:pt idx="3">
                  <c:v>222.63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249.1</c:v>
                </c:pt>
                <c:pt idx="1">
                  <c:v>249.1</c:v>
                </c:pt>
                <c:pt idx="2">
                  <c:v>249.1</c:v>
                </c:pt>
                <c:pt idx="3">
                  <c:v>249.1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222.63</c:v>
                </c:pt>
                <c:pt idx="1">
                  <c:v>222.63</c:v>
                </c:pt>
                <c:pt idx="2">
                  <c:v>222.63</c:v>
                </c:pt>
                <c:pt idx="3">
                  <c:v>222.63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1660</Words>
  <Characters>6225</Characters>
  <Lines>86</Lines>
  <Paragraphs>24</Paragraphs>
  <TotalTime>6</TotalTime>
  <ScaleCrop>false</ScaleCrop>
  <LinksUpToDate>false</LinksUpToDate>
  <CharactersWithSpaces>6550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uos</cp:lastModifiedBy>
  <cp:lastPrinted>2023-08-04T17:00:00Z</cp:lastPrinted>
  <dcterms:modified xsi:type="dcterms:W3CDTF">2026-09-01T19:17:40Z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