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true"/>
                    </pic:cNvPicPr>
                  </pic:nvPicPr>
                  <pic:blipFill>
                    <a:blip r:embed="rId17"/>
                    <a:srcRect/>
                    <a:stretch>
                      <a:fillRect/>
                    </a:stretch>
                  </pic:blipFill>
                  <pic:spPr>
                    <a:xfrm>
                      <a:off x="0" y="0"/>
                      <a:ext cx="7569835" cy="10692130"/>
                    </a:xfrm>
                    <a:prstGeom prst="rect">
                      <a:avLst/>
                    </a:prstGeom>
                  </pic:spPr>
                </pic:pic>
              </a:graphicData>
            </a:graphic>
          </wp:anchor>
        </w:drawing>
      </w:r>
      <w:bookmarkStart w:id="0" w:name="_GoBack"/>
      <w:bookmarkEnd w:id="0"/>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true"/>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true"/>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CXKyc01wAAAAoBAAAPAAAAAAAAAAEAIAAAADgAAABkcnMvZG93bnJldi54bWxQSwECFAAU&#10;AAAACACHTuJA90Jf3dwBAACGAwAADgAAAAAAAAABACAAAAA8AQAAZHJzL2Uyb0RvYy54bWxQSwUG&#10;AAAAAAYABgBZAQAAi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中共石家庄市委社会工作部（本级）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214001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b w:val="0"/>
          <w:sz w:val="72"/>
          <w:szCs w:val="72"/>
        </w:rPr>
      </w:pPr>
      <w:r>
        <w:rPr>
          <w:rFonts w:ascii="Times New Roman" w:eastAsia="方正小标宋_GBK"/>
          <w:b w:val="0"/>
          <w:sz w:val="72"/>
          <w:szCs w:val="72"/>
        </w:rPr>
        <w:t>中共石家庄市委</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社会工作部（本级）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中共石家庄市委社会工作部（本级）</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5"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6"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sectPr>
          <w:headerReference r:id="rId8" w:type="first"/>
          <w:footerReference r:id="rId10" w:type="first"/>
          <w:headerReference r:id="rId7" w:type="default"/>
          <w:footerReference r:id="rId9"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footerReference r:id="rId12" w:type="first"/>
          <w:footerReference r:id="rId11"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both"/>
        <w:rPr>
          <w:rFonts w:ascii="Times New Roman" w:eastAsia="仿宋_GB2312"/>
          <w:b w:val="0"/>
          <w:sz w:val="32"/>
          <w:szCs w:val="32"/>
        </w:rPr>
      </w:pPr>
      <w:r>
        <w:rPr>
          <w:rFonts w:ascii="Times New Roman" w:eastAsia="仿宋_GB2312"/>
          <w:b w:val="0"/>
          <w:sz w:val="32"/>
          <w:szCs w:val="32"/>
        </w:rPr>
        <w:t xml:space="preserve">根据《中共石家庄市委社会工作部职能配置、内设机构和人员编制规定》，中共石家庄市委社会工作部的主要职责是： </w:t>
      </w:r>
    </w:p>
    <w:p>
      <w:pPr>
        <w:widowControl/>
        <w:numPr>
          <w:ilvl w:val="0"/>
          <w:numId w:val="2"/>
        </w:numPr>
        <w:spacing w:before="0" w:beforeLines="0" w:beforeAutospacing="0" w:after="0" w:afterLines="0" w:afterAutospacing="0" w:line="360" w:lineRule="auto"/>
        <w:ind w:firstLine="640" w:firstLineChars="200"/>
        <w:jc w:val="both"/>
        <w:rPr>
          <w:rFonts w:ascii="Times New Roman" w:eastAsia="仿宋_GB2312"/>
          <w:b w:val="0"/>
          <w:sz w:val="32"/>
          <w:szCs w:val="32"/>
        </w:rPr>
      </w:pPr>
      <w:r>
        <w:rPr>
          <w:rFonts w:ascii="Times New Roman" w:eastAsia="仿宋_GB2312"/>
          <w:b w:val="0"/>
          <w:sz w:val="32"/>
          <w:szCs w:val="32"/>
        </w:rPr>
        <w:t>负责推动基层民主政治建设有关工作，指导监督群众性自治组织规范化建设，组织指导乡（镇）、街道办事处和基层群众自治组织、社区干部培训工作。</w:t>
      </w:r>
    </w:p>
    <w:p>
      <w:pPr>
        <w:widowControl/>
        <w:numPr>
          <w:ilvl w:val="0"/>
          <w:numId w:val="2"/>
        </w:numPr>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负责指导全市社会组织党建工作，指导全市性行业协会商会基层党组织建设、党员队伍建设、思想政治工作、党的群众工作和党风廉政建设。指导行业协会商会群团组织工作和党建其他工作。</w:t>
      </w:r>
    </w:p>
    <w:p>
      <w:pPr>
        <w:widowControl/>
        <w:numPr>
          <w:ilvl w:val="0"/>
          <w:numId w:val="2"/>
        </w:numPr>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指导混合所有制企业、非公有制企业和新经济组织、新就业群体党建工作，承担相关企业单位、就业群体中党员教育、管理、监督和服务的具体指导协调工作。</w:t>
      </w:r>
    </w:p>
    <w:p>
      <w:pPr>
        <w:widowControl/>
        <w:numPr>
          <w:ilvl w:val="0"/>
          <w:numId w:val="2"/>
        </w:numPr>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负责社会工作人才队伍建设、志愿服务人才队伍建设和阵地建设工作，负责开展社会工作服务和志愿服务培训，组织开展全市性、示范性志愿服务重大活动，联系指导石家庄市志愿服务联合会等。</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中共石家庄市委社会工作部（本级）</w:t>
            </w:r>
          </w:p>
        </w:tc>
        <w:tc>
          <w:tcPr>
            <w:tcW w:w="2445" w:type="dxa"/>
          </w:tcPr>
          <w:p>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行政机关</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部门（单位）：中共石家庄市委社会工作部（本级）</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部门（单位）：中共石家庄市委社会工作部（本级）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906.45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906.45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社会工作事务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731.66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部门（单位）：中共石家庄市委社会工作部（本级）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723.28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183.17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731.66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社会工作事务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731.66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731.66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23.50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部门（单位）：中共石家庄市委社会工作部（本级）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731.66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731.66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906.45</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1"/>
        <w:gridCol w:w="3308"/>
        <w:gridCol w:w="1016"/>
        <w:gridCol w:w="508"/>
        <w:gridCol w:w="532"/>
        <w:gridCol w:w="368"/>
        <w:gridCol w:w="12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部门（单位）：中共石家庄市委社会工作部（本级）</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723.28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731.66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社会工作事务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731.66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731.66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548.49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23.50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部门（单位）：中共石家庄市委社会工作部（本级）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630.00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173.74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132.65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135.28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72.56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21.99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23.50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18.18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50.75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23.35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19.38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19.38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25.91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0.62</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649.39</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部门（单位）：中共石家庄市委社会工作部（本级）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部门（单位）：中共石家庄市委社会工作部（本级）</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部门（单位）：中共石家庄市委社会工作部（本级）</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3.45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2.50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2.50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0.95</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1.75</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1.75</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13" w:type="default"/>
          <w:footerReference r:id="rId14" w:type="default"/>
          <w:pgSz w:w="11906" w:h="16838"/>
          <w:pgMar w:top="1531" w:right="1984" w:bottom="1531" w:left="209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5" w:type="default"/>
          <w:pgSz w:w="11906" w:h="16838"/>
          <w:pgMar w:top="2098" w:right="1417" w:bottom="1871" w:left="1417" w:header="851" w:footer="992" w:gutter="0"/>
          <w:pgBorders>
            <w:top w:val="none" w:sz="0" w:space="0"/>
            <w:left w:val="none" w:sz="0" w:space="0"/>
            <w:bottom w:val="none" w:sz="0" w:space="0"/>
            <w:right w:val="none" w:sz="0" w:space="0"/>
          </w:pgBorders>
          <w:pgNumType w:fmt="numberInDash"/>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本单位2025年度收、支总计（含结转和结余）均为906.45万元。与2024年度决算相比，收支各增加333.63万元，增长58.2%，主要原因是人员增加，人员、公用等收支相应增长。</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906.45万元，其中：财政拨款收入906.45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本单位2025年度本年支出合计906.45万元，其中：基本支出723.28万元，占79.8%；项目支出183.17万元，占20.2%；经营支出0.00万元，占0.0%；上缴上级支出0.00万元，占0.0%；对附属单位补助支出0.00万元，占0.0%。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本单位2025年度财政拨款收、支总计（含结转和结余）均为906.45万元。与2024年度相比，财政拨款收支各增加333.63万元，增长58.2%，主要原因是2024年单位新成立，人员较少，2025年人员增加，相应收支增长。</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906.45万元,比上年增加333.63万元，增长58.2%，主要原因是人员增长，相应支出增加；本年支出906.45万元，比上年增加333.63万元，增长58.2%，主要原因是人员增长，相应支出增加。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一般公共预算财政拨款本年收入906.45万元,比上年增加333.63万元，增长58.2%，主要原因是人员增</w:t>
      </w:r>
      <w:r>
        <w:rPr>
          <w:rFonts w:hint="eastAsia" w:ascii="Times New Roman" w:eastAsia="仿宋_GB2312"/>
          <w:b w:val="0"/>
          <w:sz w:val="32"/>
          <w:szCs w:val="32"/>
          <w:lang w:val="en-US" w:eastAsia="zh-CN"/>
        </w:rPr>
        <w:t>加</w:t>
      </w:r>
      <w:r>
        <w:rPr>
          <w:rFonts w:ascii="Times New Roman" w:eastAsia="仿宋_GB2312"/>
          <w:b w:val="0"/>
          <w:sz w:val="32"/>
          <w:szCs w:val="32"/>
        </w:rPr>
        <w:t>，相应支出增加；本年支出906.45万元，比上年增加333.63万元，增长58.2%，主要原因是人员增</w:t>
      </w:r>
      <w:r>
        <w:rPr>
          <w:rFonts w:hint="eastAsia" w:ascii="Times New Roman" w:eastAsia="仿宋_GB2312"/>
          <w:b w:val="0"/>
          <w:sz w:val="32"/>
          <w:szCs w:val="32"/>
          <w:lang w:val="en-US" w:eastAsia="zh-CN"/>
        </w:rPr>
        <w:t>加</w:t>
      </w:r>
      <w:r>
        <w:rPr>
          <w:rFonts w:ascii="Times New Roman" w:eastAsia="仿宋_GB2312"/>
          <w:b w:val="0"/>
          <w:sz w:val="32"/>
          <w:szCs w:val="32"/>
        </w:rPr>
        <w:t>，相应支出增加。</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无政府性基金预算财政拨款收入；本年支出0.00万元，比上年增加0.00万元，增长0.00%，主要原因是无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无国有资本经营预算财政拨款收入；本年支出0.00万元，比上年增加0.00万元，增长0.00%，主要原因是无国有资本经营预算财政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本单位2025年度财政拨款本年收入906.45万元，完成年初预算的93.1%，比年初预算减少67.44万元，决算数小于预算数主要原因是财政部门中后期统筹压减部分项目预算资金；本年支出906.45万元，完成年初预算的93.1%，比年初预算减少67.44万元，决算数小于预算数主要原因是预算资金压减后可执行数相应压减。具体情况如下：</w:t>
      </w:r>
    </w:p>
    <w:p>
      <w:pPr>
        <w:widowControl/>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1. 一般公共预算财政拨款本年收入完成年初预算的93.1%，比年初预算减少67.44万元，主要原因是财政部门压减部分预算资金；支出完成年初预算的93.1%，比年初预算减少67.44万元，主要原因是预算资金压减。</w:t>
      </w:r>
    </w:p>
    <w:p>
      <w:pPr>
        <w:widowControl/>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无政府性基金预算财政拨款收入；支出完成年初预算的0.0%，比年初预算增加0.00万元，主要原因是无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无国有资本经营预算财政拨款收入；支出完成年初预算的0.0%，比年初预算增加0.00万元，主要原因是无国有资本经营预算财政拨款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2025年度财政拨款支出906.45万元，主要用于以下方面：</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一般公共服务（类）支出731.66万元，占80.7%，主要用于人员支出、单位运转支出和项目支出等支出；社会保障和就业 （类）支出82.36万元，占9.1%，主要用于缴纳在职人员养老保险和发放退休人员单位承担部分工资支出等支出；卫生健康（类）支出41.68万元，占4.6%，主要用于缴纳人员医疗保险、公务员医疗补助等支出；住房保障（类）支出50.75万元，占5.6%，主要用于缴纳人员住房公积金等支出</w:t>
      </w:r>
      <w:r>
        <w:rPr>
          <w:rFonts w:hint="eastAsia" w:ascii="Times New Roman" w:eastAsia="仿宋_GB2312"/>
          <w:b w:val="0"/>
          <w:sz w:val="32"/>
          <w:szCs w:val="32"/>
          <w:lang w:eastAsia="zh-CN"/>
        </w:rPr>
        <w:t>。</w:t>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2025年度财政拨款基本支出723.28万元，其中：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人员经费649.39万元，主要包括基本工资、津贴补贴、奖金、绩效工资、机关事业部门基本养老保险缴费、职业年金缴费、职工基本医疗保险缴费、公务员医疗补助缴费、住房公积金、退休费。</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公用经费73.89万元，主要包括办公费、印刷费、水费、电费、邮电费、差旅费、维修（护）费、培训费、委托业务费、工会经费、福利费、公务用车运行维护费、其他商品和服务支出、办公设备购置。</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3.45万元，支出决算为1.75万元，完成预算的50.7%，较预算减少1.70万元，降低49.3%，主要原因是新购置公车第一年使用维护费用相对较低；较2024年度决算减少16.23万元，降低90.3%，主要原因是2024年单位新成立申请资金用于购买公车，2025年经费主要用于公车运行维护保障。</w:t>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2.50万元，支出决算1.75万元，完成预算的70.0%,较预算减少0.75万元，降低30.0%,主要原因是新购置公车维护费用相对较低；较上年减少16.23万元，降低90.3%,主要原因是减少了公车购置的费用。其中：</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本年度未发生“公车购置”经费支出；较上年减少17.98万元，降低100.0%,主要原因是本年度未发生“公车购置”经费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公务用车运行维护费支出1.75万元：</w:t>
      </w:r>
      <w:r>
        <w:rPr>
          <w:rFonts w:ascii="Times New Roman" w:eastAsia="仿宋_GB2312"/>
          <w:b w:val="0"/>
          <w:sz w:val="32"/>
          <w:szCs w:val="32"/>
        </w:rPr>
        <w:t>本单位2025年度单位公务用车保有量1辆，发生运行维护费支出1.75万元。公车运行维护费支出较预算减少0.75万元，降低30.0%,主要原因是新购置公车第一年使用维护成本相对较低；较上年增加1.75万元，增长100.00%，主要原因是上一年公车新购置，未申请运行维护费用。</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0.95万元，支出决算0.00万元，完成预算的0.0%。公务接待费支出较预算减少0.95万元，降低100.0%,主要原因是未发生公务接待费用支出；较上年度增加0.00万元，增长0.00%,主要原因是未发生公务接待费用支出。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本单位2025年度机关运行经费支出73.89万元，较2024年度增加25.10万元，增长51.4%。主要原因是单位于2024年3月成立，2024年度经费从成立后开始计算，2025年度机关运行经费为全年费用。</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单位成立时已购置公车。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13,391.168万元（决算金额）。其中，一般公共预算项目12个，涉及资金13,391.168万元，占一般公共预算项目支出总额的100%；政府性基金预算项目0个，涉及资金0万元，占政府性基金预算项目支出总额的0%；国有资本经营预算项目0个，涉及资金0万元，占国有资本经营预算项目支出总额的0%。</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组织对社区工作者工资薪酬等1个项目开展了部门重点评价，涉及一般公共预算支出13,208万元，政府性基金预算支出0万元，国有资本经营预算支出0万元，从评价情况来看，完成了预期的绩效目标。</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本单位在今年部门决算公开中反映社区工作者工资薪酬等12个项目绩效自评结果。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社区工作者工资薪酬项目绩效自评情况：根据年初设定的绩效目标，社区工作者工资薪酬项目绩效自评得分为100分（绩效自评表附后）。全年预算数为13,208万元，执行数为13,208万元，完成预算的100%。项目绩效目标完成情况：一是工资薪酬发放覆盖全面、工资发放及时，较好完成了社区工作者工资薪酬保障工作；二是绩效指标明确，绩效目标细化分解为具体的绩效指标，绩效指标合理、明确、可衡量，评价标准清晰、可量化。发现的主要问题及原因是：一是项目支出进度的均衡性有待提升；二是需进一步加强绩效运行监控。下一步改进措施：一是制定项目支出计划，科学合理地规划项目支出进度，提升支出进度的均衡性；二是全程跟踪预算执行进度，进一步提高预算绩效管理认识，强化以“绩效为中心，对支出结果负责、对社会公众负责”的理念，在绩效目标编制方面，针对绩效目标设置指向不清、预算和目标匹配不足，数量指标和质量目标量化不细，效益目标编制不完善等方面加以改善，对项目实施中存在的具体问题采取纠偏措施。</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pgNumType w:fmt="numberInDash"/>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宋体"/>
    <w:panose1 w:val="02010609060101010101"/>
    <w:charset w:val="86"/>
    <w:family w:val="modern"/>
    <w:pitch w:val="default"/>
    <w:sig w:usb0="00000000" w:usb1="00000000" w:usb2="00000016" w:usb3="00000000" w:csb0="00040001" w:csb1="00000000"/>
  </w:font>
  <w:font w:name="Calibri Light">
    <w:altName w:val="DejaVu Sans"/>
    <w:panose1 w:val="020F0302020204030204"/>
    <w:charset w:val="00"/>
    <w:family w:val="auto"/>
    <w:pitch w:val="default"/>
    <w:sig w:usb0="00000000" w:usb1="00000000" w:usb2="00000009" w:usb3="00000000" w:csb0="200001FF" w:csb1="00000000"/>
  </w:font>
  <w:font w:name="华文中宋">
    <w:altName w:val="汉仪中宋简"/>
    <w:panose1 w:val="02010600040101010101"/>
    <w:charset w:val="86"/>
    <w:family w:val="auto"/>
    <w:pitch w:val="default"/>
    <w:sig w:usb0="00000000" w:usb1="00000000" w:usb2="00000000" w:usb3="00000000" w:csb0="0004009F" w:csb1="DFD70000"/>
  </w:font>
  <w:font w:name="方正仿宋_GB2312">
    <w:altName w:val="方正仿宋_GBK"/>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UnicodeMS">
    <w:altName w:val="Times New Roman"/>
    <w:panose1 w:val="00000000000000000000"/>
    <w:charset w:val="81"/>
    <w:family w:val="auto"/>
    <w:pitch w:val="default"/>
    <w:sig w:usb0="00000000" w:usb1="00000000" w:usb2="00000010" w:usb3="00000000" w:csb0="00080001" w:csb1="00000000"/>
  </w:font>
  <w:font w:name="CESI仿宋-GB2312">
    <w:panose1 w:val="02000500000000000000"/>
    <w:charset w:val="86"/>
    <w:family w:val="auto"/>
    <w:pitch w:val="default"/>
    <w:sig w:usb0="800002AF" w:usb1="084F6CF8" w:usb2="00000010" w:usb3="00000000" w:csb0="0004000F"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sz w:val="24"/>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PAGE</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jc w:val="center"/>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PAGE</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pPr>
                          <w:r>
                            <w:fldChar w:fldCharType="begin"/>
                          </w:r>
                          <w:r>
                            <w:instrText xml:space="preserve">PAGE</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jc w:val="center"/>
                    </w:pPr>
                    <w:r>
                      <w:fldChar w:fldCharType="begin"/>
                    </w:r>
                    <w:r>
                      <w:instrText xml:space="preserve">PAGE</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62EB2CE1"/>
    <w:multiLevelType w:val="singleLevel"/>
    <w:tmpl w:val="62EB2CE1"/>
    <w:lvl w:ilvl="0" w:tentative="0">
      <w:start w:val="1"/>
      <w:numFmt w:val="chineseCounting"/>
      <w:lvlText w:val="(%1)"/>
      <w:lvlJc w:val="left"/>
      <w:pPr>
        <w:tabs>
          <w:tab w:val="left" w:pos="312"/>
        </w:tabs>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true"/>
  <w:embedTrueTypeFonts/>
  <w:saveSubsetFonts/>
  <w:bordersDoNotSurroundHeader w:val="false"/>
  <w:bordersDoNotSurroundFooter w:val="false"/>
  <w:documentProtection w:enforcement="0"/>
  <w:defaultTabStop w:val="420"/>
  <w:drawingGridVerticalSpacing w:val="165"/>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8E27D9B"/>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824C23"/>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AB605E"/>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EF71C06"/>
    <w:rsid w:val="7F2914C3"/>
    <w:rsid w:val="7F5F2ED6"/>
    <w:rsid w:val="7FA837EF"/>
    <w:rsid w:val="7FC36955"/>
    <w:rsid w:val="7FE903A0"/>
    <w:rsid w:val="7FF07065"/>
    <w:rsid w:val="7FF97946"/>
    <w:rsid w:val="7FFE7888"/>
    <w:rsid w:val="FFFE7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chart" Target="charts/chart5.xml"/><Relationship Id="rId21" Type="http://schemas.openxmlformats.org/officeDocument/2006/relationships/chart" Target="charts/chart4.xml"/><Relationship Id="rId20" Type="http://schemas.openxmlformats.org/officeDocument/2006/relationships/chart" Target="charts/chart3.xml"/><Relationship Id="rId2" Type="http://schemas.openxmlformats.org/officeDocument/2006/relationships/settings" Target="settings.xml"/><Relationship Id="rId19" Type="http://schemas.openxmlformats.org/officeDocument/2006/relationships/chart" Target="charts/chart2.xml"/><Relationship Id="rId18" Type="http://schemas.openxmlformats.org/officeDocument/2006/relationships/chart" Target="charts/chart1.xml"/><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header" Target="header3.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收支总计</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906.45</c:v>
                </c:pt>
                <c:pt idx="1">
                  <c:v>572.81</c:v>
                </c:pt>
              </c:numCache>
            </c:numRef>
          </c:val>
        </c:ser>
        <c:dLbls>
          <c:showLegendKey val="false"/>
          <c:showVal val="true"/>
          <c:showCatName val="false"/>
          <c:showSerName val="false"/>
          <c:showPercent val="false"/>
          <c:showBubbleSize val="false"/>
        </c:dLbls>
        <c:gapWidth val="246"/>
        <c:overlap val="-28"/>
        <c:axId val="817088452"/>
        <c:axId val="587069473"/>
      </c:barChart>
      <c:catAx>
        <c:axId val="817088452"/>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true"/>
        <c:lblAlgn val="ctr"/>
        <c:lblOffset val="100"/>
        <c:noMultiLvlLbl val="false"/>
      </c:catAx>
      <c:valAx>
        <c:axId val="587069473"/>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false"/>
      <c:spPr>
        <a:noFill/>
        <a:ln>
          <a:noFill/>
        </a:ln>
        <a:effectLst/>
      </c:spPr>
    </c:title>
    <c:autoTitleDeleted val="false"/>
    <c:plotArea>
      <c:layout/>
      <c:pieChart>
        <c:varyColors val="true"/>
        <c:ser>
          <c:idx val="0"/>
          <c:order val="0"/>
          <c:tx>
            <c:strRef>
              <c:f>Sheet1!$B$1</c:f>
              <c:strCache>
                <c:ptCount val="1"/>
                <c:pt idx="0">
                  <c:v>金额</c:v>
                </c:pt>
              </c:strCache>
            </c:strRef>
          </c:tx>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Pt>
            <c:idx val="4"/>
            <c:bubble3D val="false"/>
            <c:spPr>
              <a:solidFill>
                <a:schemeClr val="accent5"/>
              </a:solidFill>
              <a:ln>
                <a:solidFill>
                  <a:schemeClr val="bg1"/>
                </a:solidFill>
              </a:ln>
              <a:effectLst/>
            </c:spPr>
          </c:dPt>
          <c:dPt>
            <c:idx val="5"/>
            <c:bubble3D val="false"/>
            <c:spPr>
              <a:solidFill>
                <a:schemeClr val="accent6"/>
              </a:solidFill>
              <a:ln>
                <a:solidFill>
                  <a:schemeClr val="bg1"/>
                </a:solidFill>
              </a:ln>
              <a:effectLst/>
            </c:spPr>
          </c:dPt>
          <c:dLbls>
            <c:dLbl>
              <c:idx val="0"/>
              <c:layout>
                <c:manualLayout>
                  <c:x val="0.320125539403024"/>
                  <c:y val="0.726907139821478"/>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45300797294"/>
                      <c:h val="0.110922226944326"/>
                    </c:manualLayout>
                  </c15:layout>
                </c:ext>
              </c:extLst>
            </c:dLbl>
            <c:numFmt formatCode="0.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true"/>
            <c:showVal val="false"/>
            <c:showCatName val="true"/>
            <c:showSerName val="false"/>
            <c:showPercent val="true"/>
            <c:showBubbleSize val="false"/>
            <c:separator> </c:separator>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9064478.66</c:v>
                </c:pt>
                <c:pt idx="1">
                  <c:v>0</c:v>
                </c:pt>
                <c:pt idx="2">
                  <c:v>0</c:v>
                </c:pt>
                <c:pt idx="3">
                  <c:v>0</c:v>
                </c:pt>
                <c:pt idx="4">
                  <c:v>0</c:v>
                </c:pt>
                <c:pt idx="5">
                  <c:v>0</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r"/>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false"/>
      <c:spPr>
        <a:noFill/>
        <a:ln>
          <a:noFill/>
        </a:ln>
        <a:effectLst/>
      </c:spPr>
    </c:title>
    <c:autoTitleDeleted val="false"/>
    <c:plotArea>
      <c:layout>
        <c:manualLayout>
          <c:layoutTarget val="inner"/>
          <c:xMode val="edge"/>
          <c:yMode val="edge"/>
          <c:x val="0.298441652573085"/>
          <c:y val="0.225244368890778"/>
          <c:w val="0.412297656438753"/>
          <c:h val="0.725244368890778"/>
        </c:manualLayout>
      </c:layout>
      <c:pieChart>
        <c:varyColors val="true"/>
        <c:ser>
          <c:idx val="0"/>
          <c:order val="0"/>
          <c:tx>
            <c:strRef>
              <c:f>Sheet1!$B$1</c:f>
              <c:strCache>
                <c:ptCount val="1"/>
                <c:pt idx="0">
                  <c:v>金额</c:v>
                </c:pt>
              </c:strCache>
            </c:strRef>
          </c:tx>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Pt>
            <c:idx val="4"/>
            <c:bubble3D val="false"/>
            <c:spPr>
              <a:solidFill>
                <a:schemeClr val="accent5"/>
              </a:solidFill>
              <a:ln>
                <a:solidFill>
                  <a:schemeClr val="bg1"/>
                </a:solidFill>
              </a:ln>
              <a:effectLst/>
            </c:spPr>
          </c:dPt>
          <c:dLbls>
            <c:dLbl>
              <c:idx val="0"/>
              <c:layout>
                <c:manualLayout>
                  <c:x val="-0.28690513020387"/>
                  <c:y val="0.199835316617064"/>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numFmt formatCode="0.0%" sourceLinked="false"/>
            <c:spPr>
              <a:noFill/>
              <a:ln>
                <a:noFill/>
              </a:ln>
              <a:effectLst/>
            </c:spPr>
            <c:txPr>
              <a:bodyPr rot="0" spcFirstLastPara="0" vertOverflow="ellipsis" vert="horz" wrap="none" lIns="0" tIns="0" rIns="0" bIns="0" anchor="ctr" anchorCtr="true"/>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true"/>
            <c:showVal val="false"/>
            <c:showCatName val="true"/>
            <c:showSerName val="false"/>
            <c:showPercent val="true"/>
            <c:showBubbleSize val="false"/>
            <c:separator> </c:separator>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7232796.84</c:v>
                </c:pt>
                <c:pt idx="1">
                  <c:v>1831681.82</c:v>
                </c:pt>
                <c:pt idx="2">
                  <c:v>0</c:v>
                </c:pt>
                <c:pt idx="3">
                  <c:v>0</c:v>
                </c:pt>
                <c:pt idx="4">
                  <c:v>0</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t"/>
      <c:legendEntry>
        <c:idx val="0"/>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false"/>
      <c:spPr>
        <a:noFill/>
        <a:ln>
          <a:noFill/>
        </a:ln>
        <a:effectLst/>
      </c:spPr>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2024年</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572.81</c:v>
                </c:pt>
                <c:pt idx="1">
                  <c:v>572.81</c:v>
                </c:pt>
                <c:pt idx="2">
                  <c:v>572.81</c:v>
                </c:pt>
                <c:pt idx="3">
                  <c:v>572.81</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906.45</c:v>
                </c:pt>
                <c:pt idx="1">
                  <c:v>906.45</c:v>
                </c:pt>
                <c:pt idx="2">
                  <c:v>906.45</c:v>
                </c:pt>
                <c:pt idx="3">
                  <c:v>906.45</c:v>
                </c:pt>
                <c:pt idx="4">
                  <c:v>0</c:v>
                </c:pt>
                <c:pt idx="5">
                  <c:v>0</c:v>
                </c:pt>
                <c:pt idx="6">
                  <c:v>0</c:v>
                </c:pt>
                <c:pt idx="7">
                  <c:v>0</c:v>
                </c:pt>
              </c:numCache>
            </c:numRef>
          </c:val>
        </c:ser>
        <c:dLbls>
          <c:showLegendKey val="false"/>
          <c:showVal val="true"/>
          <c:showCatName val="false"/>
          <c:showSerName val="false"/>
          <c:showPercent val="false"/>
          <c:showBubbleSize val="false"/>
        </c:dLbls>
        <c:gapWidth val="246"/>
        <c:overlap val="-28"/>
        <c:axId val="40225855"/>
        <c:axId val="660958640"/>
      </c:barChart>
      <c:catAx>
        <c:axId val="40225855"/>
        <c:scaling>
          <c:orientation val="minMax"/>
        </c:scaling>
        <c:delete val="false"/>
        <c:axPos val="b"/>
        <c:numFmt formatCode="General" sourceLinked="false"/>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true"/>
        <c:lblAlgn val="ctr"/>
        <c:lblOffset val="100"/>
        <c:noMultiLvlLbl val="false"/>
      </c:catAx>
      <c:valAx>
        <c:axId val="660958640"/>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out"/>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false"/>
      <c:spPr>
        <a:noFill/>
        <a:ln>
          <a:noFill/>
        </a:ln>
        <a:effectLst/>
      </c:spPr>
    </c:title>
    <c:autoTitleDeleted val="false"/>
    <c:plotArea>
      <c:layout>
        <c:manualLayout>
          <c:layoutTarget val="inner"/>
          <c:xMode val="edge"/>
          <c:yMode val="edge"/>
          <c:x val="0.17641942498188"/>
          <c:y val="0.160433489162771"/>
          <c:w val="0.795796086011114"/>
          <c:h val="0.474330641733957"/>
        </c:manualLayout>
      </c:layout>
      <c:barChart>
        <c:barDir val="col"/>
        <c:grouping val="clustered"/>
        <c:varyColors val="false"/>
        <c:ser>
          <c:idx val="0"/>
          <c:order val="0"/>
          <c:tx>
            <c:strRef>
              <c:f>Sheet1!$B$1</c:f>
              <c:strCache>
                <c:ptCount val="1"/>
                <c:pt idx="0">
                  <c:v>年初预算数</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973.89</c:v>
                </c:pt>
                <c:pt idx="1">
                  <c:v>973.89</c:v>
                </c:pt>
                <c:pt idx="2">
                  <c:v>973.89</c:v>
                </c:pt>
                <c:pt idx="3">
                  <c:v>973.89</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906.45</c:v>
                </c:pt>
                <c:pt idx="1">
                  <c:v>906.45</c:v>
                </c:pt>
                <c:pt idx="2">
                  <c:v>906.45</c:v>
                </c:pt>
                <c:pt idx="3">
                  <c:v>906.45</c:v>
                </c:pt>
                <c:pt idx="4">
                  <c:v>0</c:v>
                </c:pt>
                <c:pt idx="5">
                  <c:v>0</c:v>
                </c:pt>
                <c:pt idx="6">
                  <c:v>0</c:v>
                </c:pt>
                <c:pt idx="7">
                  <c:v>0</c:v>
                </c:pt>
              </c:numCache>
            </c:numRef>
          </c:val>
        </c:ser>
        <c:dLbls>
          <c:showLegendKey val="false"/>
          <c:showVal val="true"/>
          <c:showCatName val="false"/>
          <c:showSerName val="false"/>
          <c:showPercent val="false"/>
          <c:showBubbleSize val="false"/>
        </c:dLbls>
        <c:gapWidth val="150"/>
        <c:axId val="136214206"/>
        <c:axId val="897256872"/>
      </c:barChart>
      <c:catAx>
        <c:axId val="136214206"/>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true"/>
        <c:lblAlgn val="ctr"/>
        <c:lblOffset val="100"/>
        <c:noMultiLvlLbl val="false"/>
      </c:catAx>
      <c:valAx>
        <c:axId val="897256872"/>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40</Pages>
  <Words>1075</Words>
  <Characters>1117</Characters>
  <Lines>86</Lines>
  <Paragraphs>24</Paragraphs>
  <TotalTime>1</TotalTime>
  <ScaleCrop>false</ScaleCrop>
  <LinksUpToDate>false</LinksUpToDate>
  <CharactersWithSpaces>1127</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2023-08-04T23:55:00Z</dcterms:created>
  <dc:creator>王明新TIAD</dc:creator>
  <cp:lastModifiedBy>uos</cp:lastModifiedBy>
  <cp:lastPrinted>2026-09-01T19:09:00Z</cp:lastPrinted>
  <dcterms:modified xsi:type="dcterms:W3CDTF">2026-09-03T09:35:11Z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6250C9F1E3C342BA949726995014A74B_13</vt:lpwstr>
  </property>
  <property fmtid="{D5CDD505-2E9C-101B-9397-08002B2CF9AE}" pid="4" name="KSOTemplateUUID">
    <vt:lpwstr>v1.0_mb_S7ajbG3IpAnL1wSthNCxfw==</vt:lpwstr>
  </property>
  <property fmtid="{D5CDD505-2E9C-101B-9397-08002B2CF9AE}" pid="5" name="KSOTemplateDocerSaveRecord">
    <vt:lpwstr>eyJoZGlkIjoiNGY4OGJkNzI2ZTY5MzI2Y2JmNDgzNWZjODUyZDgwNWEiLCJ1c2VySWQiOiIzODM3MDAyMTEifQ==</vt:lpwstr>
  </property>
</Properties>
</file>