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石家庄市交通运输局（汇总）</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348</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石家庄市交通运输局</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pStyle w:val="2"/>
        <w:numPr>
          <w:ilvl w:val="1"/>
          <w:numId w:val="0"/>
        </w:numPr>
        <w:ind w:left="240" w:leftChars="0"/>
      </w:pPr>
    </w:p>
    <w:p/>
    <w:p>
      <w:pPr>
        <w:pStyle w:val="2"/>
        <w:numPr>
          <w:ilvl w:val="1"/>
          <w:numId w:val="0"/>
        </w:numPr>
        <w:ind w:leftChars="0"/>
      </w:pPr>
    </w:p>
    <w:p/>
    <w:p>
      <w:pPr>
        <w:pStyle w:val="2"/>
        <w:numPr>
          <w:ilvl w:val="1"/>
          <w:numId w:val="0"/>
        </w:numPr>
        <w:ind w:leftChars="0"/>
      </w:pPr>
    </w:p>
    <w:p/>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石家庄市交通运输局</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134" w:bottom="1531" w:left="1134"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highlight w:val="none"/>
          <w:shd w:val="clear" w:fill="FFFFFF"/>
          <w:lang w:val="en-US" w:eastAsia="zh-CN"/>
        </w:rPr>
        <w:t xml:space="preserve"> </w:t>
      </w:r>
      <w:r>
        <w:rPr>
          <w:rFonts w:hint="eastAsia" w:ascii="仿宋_GB2312" w:hAnsi="仿宋_GB2312" w:eastAsia="仿宋_GB2312" w:cs="仿宋_GB2312"/>
          <w:color w:val="000000"/>
          <w:kern w:val="0"/>
          <w:sz w:val="32"/>
          <w:szCs w:val="32"/>
          <w:lang w:val="en-US" w:eastAsia="zh-CN" w:bidi="ar"/>
        </w:rPr>
        <w:t>根据《石家庄市交通运输局职能配置、内设机构和人员编制规定》，石家庄市交通运输局的主要职责是：</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（一）拟订全市交通运输行业发展规划并组织实施；起草交通运输方面地方性法规和政府规章草案；参与拟订有关物流业发展规划并监督实施。</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会同有关部门编制全市综合交通运输体系规划并组织实施；协调规划全市综合交通运输体系建设，组织协调相关运输方式的合理布局和有效衔接;负责建立完善交通运输行业联运服务体系；拟订全市公路建设、城市公共交通（不含轨道交通,下同）建设和道路（含水路，下同）运输中长期发展规划；拟订公路建设与养护年度指令性计划并组织实施；负责交通运输枢纽规划和管理。</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承担全市公路建设市场监管责任。负责全市国省干线公路（含国防公路）的规划、建设、养护、管理，依法维护路产路权、保护公路设施，开发公路用地；依法查处超限超载运输车辆；负责交通运输工程建设、工程质量和安全生产的监管；负责全市交通基本建设项目招投标活动的监督管理；负责全市收费公路管理；配合做好国防交通有关工作。</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承担道路运输市场监管责任。负责道路运输经营、道路运输相关业务和城市公共交通等行业管理工作；负责市内公交站、场、点的规划、建设和管理，依法保护和支持合法经营，取缔非法运输；指导城乡客运及有关设施规划和管理；承担有关物流市场管理。</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（五）承担管辖水域水上交通安全监管责任。负责全市渔船检验和监督管理工作，会同有关部门，依法组织或参与事故调查处理。</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负责提出全市交通运输行业固定资产投资规模和方向、市财政性资金安排意见；负责监督市本级交通运输系统国有资产经营管理工作；负责全市交通运输资金的管理、使用和投资开发工作；指导交通系统内部审计工作；承担交通运输行业财政预算资金的绩效监督和管理工作。</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制订全市交通运输行业科技发展规划，组织行业科技创新应用，推动行业技术进步；负责交通运输行业信息化建设，监测分析交通运输运行情况，开展相关统计工作；指导交通运输行业环境保护和节能减排。</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（八）负责全市交通运输综合行政执法和队伍建设有关工作；统筹协调交通运输综合行政执法工作；负责交通运输行业体制改革工作。</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（九）负责交通运输系统安全生产和应急管理工作；牵头负责铁路沿线环境安全监管职责；按规定组织协调国家、省、市重点物资和紧急客货运输; 负责市内高速公路及国、省重点干线公路网运行监测和应急处置协调工作。</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（十）负责全市交通运输行业的涉外事宜，指导利用外资，开展交通运输经济技术合作与交流。</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（十一）推进京津冀协同发展交通一体化工作。</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 ）指导各县（市、区）交通运输相关工作。</w:t>
      </w:r>
    </w:p>
    <w:p>
      <w:pPr>
        <w:pStyle w:val="27"/>
        <w:keepNext w:val="0"/>
        <w:keepLines w:val="0"/>
        <w:widowControl w:val="0"/>
        <w:suppressLineNumbers w:val="0"/>
        <w:autoSpaceDE w:val="0"/>
        <w:autoSpaceDN/>
        <w:spacing w:line="600" w:lineRule="exact"/>
        <w:ind w:left="0" w:right="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（十三）完成市委、市政府交办的其他任务。</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w:t>
      </w:r>
      <w:r>
        <w:rPr>
          <w:rFonts w:hint="eastAsia" w:ascii="Times New Roman" w:eastAsia="仿宋_GB2312"/>
          <w:b w:val="0"/>
          <w:sz w:val="32"/>
          <w:szCs w:val="32"/>
          <w:lang w:eastAsia="zh-CN"/>
        </w:rPr>
        <w:t>“</w:t>
      </w:r>
      <w:r>
        <w:rPr>
          <w:rFonts w:ascii="Times New Roman" w:eastAsia="仿宋_GB2312"/>
          <w:b w:val="0"/>
          <w:sz w:val="32"/>
          <w:szCs w:val="32"/>
        </w:rPr>
        <w:t>单</w:t>
      </w:r>
      <w:r>
        <w:rPr>
          <w:rFonts w:ascii="Times New Roman" w:eastAsia="仿宋_GB2312" w:cs="宋体"/>
          <w:b w:val="0"/>
          <w:sz w:val="32"/>
          <w:szCs w:val="32"/>
        </w:rPr>
        <w:t>位</w:t>
      </w:r>
      <w:r>
        <w:rPr>
          <w:rFonts w:hint="eastAsia" w:ascii="Times New Roman" w:eastAsia="仿宋_GB2312" w:cs="宋体"/>
          <w:b w:val="0"/>
          <w:sz w:val="32"/>
          <w:szCs w:val="32"/>
          <w:lang w:eastAsia="zh-CN"/>
        </w:rPr>
        <w:t>”</w:t>
      </w:r>
      <w:r>
        <w:rPr>
          <w:rFonts w:ascii="Times New Roman" w:eastAsia="仿宋_GB2312" w:cs="宋体"/>
          <w:b w:val="0"/>
          <w:sz w:val="32"/>
          <w:szCs w:val="32"/>
        </w:rPr>
        <w:t>）共</w:t>
      </w:r>
      <w:r>
        <w:rPr>
          <w:rFonts w:hint="eastAsia" w:ascii="Times New Roman" w:eastAsia="仿宋_GB2312" w:cs="宋体"/>
          <w:b w:val="0"/>
          <w:sz w:val="32"/>
          <w:szCs w:val="32"/>
          <w:lang w:val="en-US" w:eastAsia="zh-CN"/>
        </w:rPr>
        <w:t>8</w:t>
      </w:r>
      <w:r>
        <w:rPr>
          <w:rFonts w:ascii="Times New Roman" w:eastAsia="仿宋_GB2312" w:cs="宋体"/>
          <w:b w:val="0"/>
          <w:sz w:val="32"/>
          <w:szCs w:val="32"/>
        </w:rPr>
        <w:t>个，</w:t>
      </w:r>
      <w:r>
        <w:rPr>
          <w:rFonts w:ascii="Times New Roman" w:eastAsia="仿宋_GB2312"/>
          <w:b w:val="0"/>
          <w:sz w:val="32"/>
          <w:szCs w:val="32"/>
        </w:rPr>
        <w:t>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4762"/>
        <w:gridCol w:w="2463"/>
        <w:gridCol w:w="1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1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4762"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63"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1540"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4762"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石家庄市交通运输局(本级)</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行政单位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2</w:t>
            </w:r>
          </w:p>
        </w:tc>
        <w:tc>
          <w:tcPr>
            <w:tcW w:w="4762"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石家庄市交通运输服务中心</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3</w:t>
            </w:r>
          </w:p>
        </w:tc>
        <w:tc>
          <w:tcPr>
            <w:tcW w:w="4762"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石家庄市公路服务保障中心</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4</w:t>
            </w:r>
          </w:p>
        </w:tc>
        <w:tc>
          <w:tcPr>
            <w:tcW w:w="4762" w:type="dxa"/>
            <w:vAlign w:val="top"/>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石家庄市交通运输综合行政执法支队</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5</w:t>
            </w:r>
          </w:p>
        </w:tc>
        <w:tc>
          <w:tcPr>
            <w:tcW w:w="4762"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石家庄市公路工程质量安全站</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6</w:t>
            </w:r>
          </w:p>
        </w:tc>
        <w:tc>
          <w:tcPr>
            <w:tcW w:w="4762"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石家庄市三环路管护中心</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7</w:t>
            </w:r>
          </w:p>
        </w:tc>
        <w:tc>
          <w:tcPr>
            <w:tcW w:w="4762"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石家庄市公路建设发展中心</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top"/>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5"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8</w:t>
            </w:r>
          </w:p>
        </w:tc>
        <w:tc>
          <w:tcPr>
            <w:tcW w:w="4762" w:type="dxa"/>
            <w:vAlign w:val="top"/>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石家庄市邮政快递业安全服务中心</w:t>
            </w:r>
          </w:p>
        </w:tc>
        <w:tc>
          <w:tcPr>
            <w:tcW w:w="2463"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财政补助事业单位</w:t>
            </w:r>
          </w:p>
        </w:tc>
        <w:tc>
          <w:tcPr>
            <w:tcW w:w="1540" w:type="dxa"/>
            <w:vAlign w:val="center"/>
          </w:tcPr>
          <w:p>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55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18"/>
        <w:gridCol w:w="450"/>
        <w:gridCol w:w="266"/>
        <w:gridCol w:w="891"/>
        <w:gridCol w:w="1380"/>
        <w:gridCol w:w="1450"/>
        <w:gridCol w:w="550"/>
        <w:gridCol w:w="1167"/>
        <w:gridCol w:w="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72" w:hRule="atLeast"/>
          <w:jc w:val="center"/>
        </w:trPr>
        <w:tc>
          <w:tcPr>
            <w:tcW w:w="4984"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286" w:hRule="atLeast"/>
          <w:jc w:val="center"/>
        </w:trPr>
        <w:tc>
          <w:tcPr>
            <w:tcW w:w="4984"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286" w:hRule="atLeast"/>
          <w:jc w:val="center"/>
        </w:trPr>
        <w:tc>
          <w:tcPr>
            <w:tcW w:w="1963"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部门：石家庄市交通运输局（汇总）</w:t>
            </w:r>
          </w:p>
        </w:tc>
        <w:tc>
          <w:tcPr>
            <w:tcW w:w="1261"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9"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85" w:hRule="atLeast"/>
          <w:jc w:val="center"/>
        </w:trPr>
        <w:tc>
          <w:tcPr>
            <w:tcW w:w="2458"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6"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187,784.96</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146,849.25</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8,681.23</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3,990.29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628.15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90,394.00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8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184,020.62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12,381.72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664"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31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920.54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31,041.00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18,709.82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343,315.44</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344,077.62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590"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3,849.32</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3,087.14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43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pct"/>
          <w:trHeight w:val="312" w:hRule="atLeast"/>
          <w:jc w:val="center"/>
        </w:trPr>
        <w:tc>
          <w:tcPr>
            <w:tcW w:w="15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4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347,164.76</w:t>
            </w:r>
          </w:p>
        </w:tc>
        <w:tc>
          <w:tcPr>
            <w:tcW w:w="157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30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64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347,164.76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693"/>
        <w:gridCol w:w="1037"/>
        <w:gridCol w:w="1125"/>
        <w:gridCol w:w="800"/>
        <w:gridCol w:w="813"/>
        <w:gridCol w:w="134"/>
        <w:gridCol w:w="653"/>
        <w:gridCol w:w="971"/>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770"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部门：石家庄市交通运输局（汇总）                                                                                                         </w:t>
            </w:r>
          </w:p>
        </w:tc>
        <w:tc>
          <w:tcPr>
            <w:tcW w:w="2872"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7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125"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80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81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78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97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6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1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78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6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1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8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6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5"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0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81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8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7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73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343,315.44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334,634.21</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8,681.23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3,990.29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3,990.29</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3,945.92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3,945.92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510.58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2,150.08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2,150.08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1,053.58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1,053.58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231.68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231.68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44.37</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2089999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44.37</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628.15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628.15</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628.15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628.15</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38.83</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323.60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323.60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28.11</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237.61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237.61</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90,394.00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90,394.00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2,558.00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21213</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城市基础设施配套费安排的支出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2121301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85,836.00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183,258.44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174,577.21</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91,503.25</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82,822.01</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8,681.23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1,385.07</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1,385.07</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347.41</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347.41</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17,704.19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17,495.74</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208.45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2140106</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公路养护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52,725.49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44,277.49</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8,448.00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2140112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公路运输管理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2,193.26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2,193.26</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2140199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其他公路水路运输支出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17,147.83</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17,123.05</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21405</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邮政业支出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2140504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行业监管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135.40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21462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车辆通行费安排的支出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2146299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其他车辆通行费安排的支出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80,167.78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11,452.02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11,452.02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2149901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公共交通运营补助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11,152.02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11,152.02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2149999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12,381.72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12,381.72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2150207</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12,372.66</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920.54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920.54</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920.54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920.54</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920.54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920.54</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1,991.49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1,991.49</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22407</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自然灾害救灾及恢复重建支出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1,991.49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1,991.49</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2240704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自然灾害灾后重建补助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1,991.49</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1,991.49</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31,041.00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31,041.00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31,041.00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31,041.00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31,041.00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31,041.00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债务付息支出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地方政府专项债务付息支出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18,709.82</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2320432</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政府收费公路专项债券付息支出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9,206.58</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9,206.58</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2320498</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4,204.54</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4,204.54</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2320499</w:t>
            </w:r>
          </w:p>
        </w:tc>
        <w:tc>
          <w:tcPr>
            <w:tcW w:w="169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其他政府性基金债务付息支出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5,298.70</w:t>
            </w:r>
          </w:p>
        </w:tc>
        <w:tc>
          <w:tcPr>
            <w:tcW w:w="112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5,298.70</w:t>
            </w:r>
          </w:p>
        </w:tc>
        <w:tc>
          <w:tcPr>
            <w:tcW w:w="80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1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8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488"/>
        <w:gridCol w:w="953"/>
        <w:gridCol w:w="285"/>
        <w:gridCol w:w="1087"/>
        <w:gridCol w:w="1125"/>
        <w:gridCol w:w="126"/>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部门：石家庄市交通运输局（汇总）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3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6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58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40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9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6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0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6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0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6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58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40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3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3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344,077.62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15,441.33</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328,636.29</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3,990.29</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3,990.29</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3,945.92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3,945.92</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2,150.08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2,150.08</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1,053.58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1,053.58</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231.68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231.68</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323.60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323.60</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237.61</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237.61</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90,394.00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90,394.00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2,558.00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城市基础设施配套费安排的支出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城市公共设施</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184,020.62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9,902.36</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174,118.27</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92,265.42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9,767.87</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82,497.55</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公路建设</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18,466.37</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18,466.37</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2140106</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52,725.49</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52,725.49</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2140112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公路运输管理</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2,193.26</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487.69</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1,705.57</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17,147.83</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7,895.11</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9,252.72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邮政业支出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2140504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行业监管</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车辆通行费安排的支出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其他车辆通行费安排的支出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80,167.78</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11,452.02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11,452.02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公共交通运营补助</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11,152.02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11,152.02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12,381.72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12,381.72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12,372.66</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自然灾害救灾及恢复重建支出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2240704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自然灾害灾后重建补助</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31,041.00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31,041.00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31,041.00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31,041.00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31,041.00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31,041.00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债务付息支出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地方政府专项债务付息支出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18,709.82</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2320432</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政府收费公路专项债券付息支出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9,206.58</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9,206.58</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2320498</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其他地方自行试点项目收益专项债券付息支出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4,204.54</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4,204.54</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2320499</w:t>
            </w:r>
          </w:p>
        </w:tc>
        <w:tc>
          <w:tcPr>
            <w:tcW w:w="79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其他政府性基金债务付息支出</w:t>
            </w:r>
          </w:p>
        </w:tc>
        <w:tc>
          <w:tcPr>
            <w:tcW w:w="66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5,298.70</w:t>
            </w:r>
          </w:p>
        </w:tc>
        <w:tc>
          <w:tcPr>
            <w:tcW w:w="58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5,298.70</w:t>
            </w:r>
          </w:p>
        </w:tc>
        <w:tc>
          <w:tcPr>
            <w:tcW w:w="4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2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9"/>
        <w:gridCol w:w="531"/>
        <w:gridCol w:w="1218"/>
        <w:gridCol w:w="1414"/>
        <w:gridCol w:w="373"/>
        <w:gridCol w:w="433"/>
        <w:gridCol w:w="490"/>
        <w:gridCol w:w="710"/>
        <w:gridCol w:w="1150"/>
        <w:gridCol w:w="1187"/>
        <w:gridCol w:w="7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2430"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部门：石家庄市交通运输局（汇总）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172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7"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1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1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7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9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39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8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1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1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7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9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39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187,784.96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146,849.25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3,990.29</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3,990.29</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628.15</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628.15</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90,394.00</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85,836.00</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4,558.00</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175,339.39</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95,171.61</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80,167.78</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12,381.72</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12,372.66</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920.54</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920.54</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1,991.49</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1,991.49</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31,041.00</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31,041.00</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18,709.82</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18,709.82</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334,634.21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335,396.39</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188,547.14</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146,849.25</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3,849.32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3,087.14</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3,087.14</w:t>
            </w: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3,849.32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3" w:hRule="atLeast"/>
          <w:jc w:val="center"/>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338,483.53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1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60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338,483.53</w:t>
            </w:r>
          </w:p>
        </w:tc>
        <w:tc>
          <w:tcPr>
            <w:tcW w:w="57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191,634.28</w:t>
            </w:r>
          </w:p>
          <w:p>
            <w:pPr>
              <w:jc w:val="right"/>
              <w:rPr>
                <w:rFonts w:hint="default" w:ascii="Times New Roman" w:hAnsi="Times New Roman" w:eastAsia="宋体" w:cs="Times New Roman"/>
                <w:i w:val="0"/>
                <w:iCs w:val="0"/>
                <w:color w:val="000000"/>
                <w:sz w:val="20"/>
                <w:szCs w:val="20"/>
                <w:highlight w:val="none"/>
                <w:u w:val="none"/>
              </w:rPr>
            </w:pPr>
          </w:p>
        </w:tc>
        <w:tc>
          <w:tcPr>
            <w:tcW w:w="59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146,849.25</w:t>
            </w:r>
          </w:p>
        </w:tc>
        <w:tc>
          <w:tcPr>
            <w:tcW w:w="39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jc w:val="center"/>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92"/>
        <w:gridCol w:w="724"/>
        <w:gridCol w:w="853"/>
        <w:gridCol w:w="378"/>
        <w:gridCol w:w="1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部门：石家庄市交通运输局（汇总）</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188,547.14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15,441.33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173,105.81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3,990.29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3,945.92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510.58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2,150.08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1,053.58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231.68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323.60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237.61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85,836.00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95,171.61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9,902.36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85,269.26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83,584.19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9,767.87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73,816.32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1,385.07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347.41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18,257.92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18,257.92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44,277.49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44,277.49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公路运输管理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2,193.26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487.69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1,705.57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其他公路水路运输支出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17,123.05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7,895.11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9,227.94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邮政业支出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行业监管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134.48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11,452.02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11,452.02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公共交通运营补助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11,152.02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11,152.02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920.54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自然灾害救灾及恢复重建支出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自然灾害灾后重建补助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1,991.49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3"/>
        <w:gridCol w:w="1147"/>
        <w:gridCol w:w="1636"/>
        <w:gridCol w:w="573"/>
        <w:gridCol w:w="910"/>
        <w:gridCol w:w="1528"/>
        <w:gridCol w:w="573"/>
        <w:gridCol w:w="2078"/>
        <w:gridCol w:w="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0000" w:type="dxa"/>
            <w:gridSpan w:val="9"/>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10000" w:type="dxa"/>
            <w:gridSpan w:val="9"/>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4839" w:type="dxa"/>
            <w:gridSpan w:val="5"/>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部门：石家庄市交通运输局（汇总） </w:t>
            </w:r>
            <w:r>
              <w:rPr>
                <w:rFonts w:hint="eastAsia" w:ascii="宋体" w:hAnsi="宋体" w:eastAsia="宋体" w:cs="宋体"/>
                <w:i w:val="0"/>
                <w:iCs w:val="0"/>
                <w:color w:val="000000"/>
                <w:kern w:val="0"/>
                <w:sz w:val="18"/>
                <w:szCs w:val="18"/>
                <w:u w:val="none"/>
                <w:lang w:val="en-US" w:eastAsia="zh-CN" w:bidi="ar"/>
              </w:rPr>
              <w:t xml:space="preserve">                                                                   </w:t>
            </w:r>
          </w:p>
        </w:tc>
        <w:tc>
          <w:tcPr>
            <w:tcW w:w="1528"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3633"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356"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6644"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63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57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91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528"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57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2078"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982"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11,569.89</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1,073.14</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3,610.96</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132.44</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726.31</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1,128.43</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19.56</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3,087.48</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26.66</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1,068.27</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59.88</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231.68</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151.52</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372.53</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41.87</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49.52</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266.29</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931.39</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83.59</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104.69</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2,798.30</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32.25</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33.20</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2,680.84</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8.96</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33.77</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35.49</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0.52</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99.97</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99.97</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6.02</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136.65</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55.67</w:t>
            </w: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207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6" w:hRule="atLeast"/>
          <w:jc w:val="center"/>
        </w:trPr>
        <w:tc>
          <w:tcPr>
            <w:tcW w:w="573"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147"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57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1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528"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110.34</w:t>
            </w:r>
          </w:p>
        </w:tc>
        <w:tc>
          <w:tcPr>
            <w:tcW w:w="573"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2078"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982"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1720"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63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14,368.19</w:t>
            </w:r>
          </w:p>
        </w:tc>
        <w:tc>
          <w:tcPr>
            <w:tcW w:w="5662" w:type="dxa"/>
            <w:gridSpan w:val="5"/>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98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10000" w:type="dxa"/>
            <w:gridSpan w:val="9"/>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部门：石家庄市交通运输局（汇总）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146,849.25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146,849.25</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146,849.25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4,558.00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4,558.00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4,558.00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2,558.00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城市基础设施配套费安排的支出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2121301</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城市公共设施</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2,000.00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车辆通行费安排的支出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2146299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其他车辆通行费安排的支出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80,167.78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12,372.66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31,041.00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债务付息支出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地方政府专项债务付息支出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18,709.82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2320432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政府收费公路专项债券付息支出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9,206.58</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9,206.58</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9,206.58</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4,204.54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4,204.54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4,204.54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2320499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其他政府性基金债务付息支出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5,298.70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5,298.70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5,298.70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部门：石家庄市交通运输局（汇总）</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注：本部门本年度无国有资本经营预算，空表列示。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979"/>
        <w:gridCol w:w="794"/>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部门：石家庄市交通运输局（汇总）</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2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9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2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2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3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237.62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236.52</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58.00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178.52</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1.10</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193.33</w:t>
            </w:r>
          </w:p>
        </w:tc>
        <w:tc>
          <w:tcPr>
            <w:tcW w:w="42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193.33</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56.68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136.65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本部门2025年度收、支总计（含结转和结余）均为347,164.76万</w:t>
      </w:r>
      <w:r>
        <w:rPr>
          <w:rFonts w:ascii="Times New Roman" w:eastAsia="仿宋_GB2312" w:cs="宋体"/>
          <w:b w:val="0"/>
          <w:sz w:val="32"/>
          <w:szCs w:val="32"/>
        </w:rPr>
        <w:t>元。与2024年度决算相比，收支各减少899,681.98万元，下降72.2%，主要原因是</w:t>
      </w:r>
      <w:r>
        <w:rPr>
          <w:rFonts w:hint="eastAsia" w:ascii="Times New Roman" w:eastAsia="仿宋_GB2312" w:cs="宋体"/>
          <w:b w:val="0"/>
          <w:sz w:val="32"/>
          <w:szCs w:val="32"/>
          <w:lang w:eastAsia="zh-CN"/>
        </w:rPr>
        <w:t>石家庄市城区基础设施提升工程、石家庄市北部片区设施提升工程等项目收支减少</w:t>
      </w:r>
      <w:r>
        <w:rPr>
          <w:rFonts w:ascii="Times New Roman" w:eastAsia="仿宋_GB2312" w:cs="宋体"/>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343,315.44万元，其中：财政拨款收入334,634.21万元，占97.5%；上级补助收入0.00万元，占0.0%；事业收入0.00万元，占0.0%；经营收入0.00万元，占0.0%；附属单位上缴收入0.00万元，占0.0%；其他收入8,681.23万元，占2.5%。</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本部门2025年度本年支出合计344,077.62万元，其中：基本支出15,441.33万元，占4.5%；项目支出328,636.29万元，占95.5%；经营支出0.00万元，占0.0%；上缴上级支出0.00万元，占0.0%；对附属单位补助支出0.00万元，占0.0%。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both"/>
        <w:rPr>
          <w:rFonts w:ascii="Times New Roman" w:eastAsia="仿宋_GB2312" w:cs="宋体"/>
          <w:b w:val="0"/>
          <w:sz w:val="32"/>
          <w:szCs w:val="32"/>
        </w:rPr>
      </w:pPr>
      <w:r>
        <w:rPr>
          <w:rFonts w:ascii="Times New Roman" w:eastAsia="仿宋_GB2312"/>
          <w:b w:val="0"/>
          <w:sz w:val="32"/>
          <w:szCs w:val="32"/>
        </w:rPr>
        <w:t>本部门2025年度财政拨款收、支总计（含结转和结余）均为338,483.53万元。与2024年度相比，财政拨款收支各减少905,727.59万元，降低72.8%，</w:t>
      </w:r>
      <w:r>
        <w:rPr>
          <w:rFonts w:ascii="Times New Roman" w:eastAsia="仿宋_GB2312" w:cs="宋体"/>
          <w:b w:val="0"/>
          <w:sz w:val="32"/>
          <w:szCs w:val="32"/>
        </w:rPr>
        <w:t>主要原因是</w:t>
      </w:r>
      <w:r>
        <w:rPr>
          <w:rFonts w:hint="eastAsia" w:ascii="Times New Roman" w:eastAsia="仿宋_GB2312" w:cs="宋体"/>
          <w:b w:val="0"/>
          <w:sz w:val="32"/>
          <w:szCs w:val="32"/>
          <w:lang w:eastAsia="zh-CN"/>
        </w:rPr>
        <w:t>石家庄市城区基础设施提升工程、石家庄市北部片区设施提升工程等项目收支减少</w:t>
      </w:r>
      <w:r>
        <w:rPr>
          <w:rFonts w:ascii="Times New Roman" w:eastAsia="仿宋_GB2312" w:cs="宋体"/>
          <w:b w:val="0"/>
          <w:sz w:val="32"/>
          <w:szCs w:val="32"/>
        </w:rPr>
        <w:t>。</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本部门2025年度财政拨款本年收入334,634</w:t>
      </w:r>
      <w:r>
        <w:rPr>
          <w:rFonts w:ascii="Times New Roman" w:eastAsia="仿宋_GB2312" w:cs="宋体"/>
          <w:b w:val="0"/>
          <w:sz w:val="32"/>
          <w:szCs w:val="32"/>
        </w:rPr>
        <w:t>.21万元,比上年减少904,304.32万元，降低73.0%，主要原因是</w:t>
      </w:r>
      <w:r>
        <w:rPr>
          <w:rFonts w:hint="eastAsia" w:ascii="Times New Roman" w:eastAsia="仿宋_GB2312" w:cs="宋体"/>
          <w:b w:val="0"/>
          <w:sz w:val="32"/>
          <w:szCs w:val="32"/>
          <w:lang w:eastAsia="zh-CN"/>
        </w:rPr>
        <w:t>石家庄市城区基础设施提升工程、石家庄市北部片区设施提升工程等项目收入减少</w:t>
      </w:r>
      <w:r>
        <w:rPr>
          <w:rFonts w:ascii="Times New Roman" w:eastAsia="仿宋_GB2312" w:cs="宋体"/>
          <w:b w:val="0"/>
          <w:sz w:val="32"/>
          <w:szCs w:val="32"/>
        </w:rPr>
        <w:t>；</w:t>
      </w:r>
      <w:r>
        <w:rPr>
          <w:rFonts w:ascii="Times New Roman" w:eastAsia="仿宋_GB2312"/>
          <w:b w:val="0"/>
          <w:sz w:val="32"/>
          <w:szCs w:val="32"/>
        </w:rPr>
        <w:t>本年支出335,396.39万元，比上年减少904,965.41万元，降低73.0%，</w:t>
      </w:r>
      <w:r>
        <w:rPr>
          <w:rFonts w:ascii="Times New Roman" w:eastAsia="仿宋_GB2312" w:cs="宋体"/>
          <w:b w:val="0"/>
          <w:sz w:val="32"/>
          <w:szCs w:val="32"/>
        </w:rPr>
        <w:t>主要原因是</w:t>
      </w:r>
      <w:r>
        <w:rPr>
          <w:rFonts w:hint="eastAsia" w:ascii="Times New Roman" w:eastAsia="仿宋_GB2312" w:cs="宋体"/>
          <w:b w:val="0"/>
          <w:sz w:val="32"/>
          <w:szCs w:val="32"/>
          <w:lang w:eastAsia="zh-CN"/>
        </w:rPr>
        <w:t>石家庄市城区基础设施提升工程、石家庄市北部片区设施提升工程等项目支出减少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highlight w:val="none"/>
        </w:rPr>
      </w:pPr>
      <w:r>
        <w:rPr>
          <w:rFonts w:ascii="Times New Roman" w:eastAsia="仿宋_GB2312"/>
          <w:b w:val="0"/>
          <w:sz w:val="32"/>
          <w:szCs w:val="32"/>
        </w:rPr>
        <w:t>1. 一般公共预</w:t>
      </w:r>
      <w:r>
        <w:rPr>
          <w:rFonts w:ascii="Times New Roman" w:eastAsia="仿宋_GB2312"/>
          <w:b w:val="0"/>
          <w:color w:val="auto"/>
          <w:sz w:val="32"/>
          <w:szCs w:val="32"/>
          <w:highlight w:val="none"/>
        </w:rPr>
        <w:t>算财政拨款本年收入187,784.96万元,比上年增加2,941.66万元，增长1.6%，主要原因是</w:t>
      </w:r>
      <w:r>
        <w:rPr>
          <w:rFonts w:hint="eastAsia" w:ascii="Times New Roman" w:eastAsia="仿宋_GB2312"/>
          <w:b w:val="0"/>
          <w:color w:val="auto"/>
          <w:sz w:val="32"/>
          <w:szCs w:val="32"/>
          <w:highlight w:val="none"/>
          <w:lang w:eastAsia="zh-CN"/>
        </w:rPr>
        <w:t>工程项目提前下达资金收入较</w:t>
      </w:r>
      <w:r>
        <w:rPr>
          <w:rFonts w:hint="eastAsia" w:ascii="Times New Roman" w:eastAsia="仿宋_GB2312"/>
          <w:b w:val="0"/>
          <w:color w:val="auto"/>
          <w:sz w:val="32"/>
          <w:szCs w:val="32"/>
          <w:highlight w:val="none"/>
          <w:lang w:val="en-US" w:eastAsia="zh-CN"/>
        </w:rPr>
        <w:t>2024年度增加</w:t>
      </w:r>
      <w:r>
        <w:rPr>
          <w:rFonts w:ascii="Times New Roman" w:eastAsia="仿宋_GB2312"/>
          <w:b w:val="0"/>
          <w:color w:val="auto"/>
          <w:sz w:val="32"/>
          <w:szCs w:val="32"/>
          <w:highlight w:val="none"/>
        </w:rPr>
        <w:t>；本年支出188,547.14万元，比上年增加2,280.57万元，增长1.2%，主要原因是</w:t>
      </w:r>
      <w:r>
        <w:rPr>
          <w:rFonts w:hint="eastAsia" w:ascii="Times New Roman" w:eastAsia="仿宋_GB2312"/>
          <w:b w:val="0"/>
          <w:color w:val="auto"/>
          <w:sz w:val="32"/>
          <w:szCs w:val="32"/>
          <w:highlight w:val="none"/>
          <w:lang w:eastAsia="zh-CN"/>
        </w:rPr>
        <w:t>工程项目提前下达资金支出较</w:t>
      </w:r>
      <w:r>
        <w:rPr>
          <w:rFonts w:hint="eastAsia" w:ascii="Times New Roman" w:eastAsia="仿宋_GB2312"/>
          <w:b w:val="0"/>
          <w:color w:val="auto"/>
          <w:sz w:val="32"/>
          <w:szCs w:val="32"/>
          <w:highlight w:val="none"/>
          <w:lang w:val="en-US" w:eastAsia="zh-CN"/>
        </w:rPr>
        <w:t>2024年度增加</w:t>
      </w:r>
      <w:r>
        <w:rPr>
          <w:rFonts w:ascii="Times New Roman" w:eastAsia="仿宋_GB2312"/>
          <w:b w:val="0"/>
          <w:color w:val="auto"/>
          <w:sz w:val="32"/>
          <w:szCs w:val="32"/>
          <w:highlight w:val="none"/>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政府性基金预算财政拨款本年收入146,849.25万元，比上年减少907,245.98万元，降低86.1%，</w:t>
      </w:r>
      <w:r>
        <w:rPr>
          <w:rFonts w:ascii="Times New Roman" w:eastAsia="仿宋_GB2312" w:cs="宋体"/>
          <w:b w:val="0"/>
          <w:sz w:val="32"/>
          <w:szCs w:val="32"/>
        </w:rPr>
        <w:t>主要原因是</w:t>
      </w:r>
      <w:r>
        <w:rPr>
          <w:rFonts w:hint="eastAsia" w:ascii="Times New Roman" w:eastAsia="仿宋_GB2312" w:cs="宋体"/>
          <w:b w:val="0"/>
          <w:sz w:val="32"/>
          <w:szCs w:val="32"/>
          <w:lang w:eastAsia="zh-CN"/>
        </w:rPr>
        <w:t>石家庄市城区基础设施提升工程、石家庄市北部片区设施提升工程等项目收入减少；</w:t>
      </w:r>
      <w:r>
        <w:rPr>
          <w:rFonts w:ascii="Times New Roman" w:eastAsia="仿宋_GB2312"/>
          <w:b w:val="0"/>
          <w:sz w:val="32"/>
          <w:szCs w:val="32"/>
        </w:rPr>
        <w:t>本年支出146,849.25万元，比上年减少907,245.98万元，降低86.1%，</w:t>
      </w:r>
      <w:r>
        <w:rPr>
          <w:rFonts w:ascii="Times New Roman" w:eastAsia="仿宋_GB2312" w:cs="宋体"/>
          <w:b w:val="0"/>
          <w:sz w:val="32"/>
          <w:szCs w:val="32"/>
        </w:rPr>
        <w:t>主要原因是</w:t>
      </w:r>
      <w:r>
        <w:rPr>
          <w:rFonts w:hint="eastAsia" w:ascii="Times New Roman" w:eastAsia="仿宋_GB2312" w:cs="宋体"/>
          <w:b w:val="0"/>
          <w:sz w:val="32"/>
          <w:szCs w:val="32"/>
          <w:lang w:eastAsia="zh-CN"/>
        </w:rPr>
        <w:t>石家庄市城区基础设施提升工程、石家庄市北部片区设施提升工程等项目收入减少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w:t>
      </w:r>
      <w:r>
        <w:rPr>
          <w:rFonts w:ascii="Times New Roman" w:eastAsia="仿宋_GB2312" w:cs="宋体"/>
          <w:b w:val="0"/>
          <w:sz w:val="32"/>
          <w:szCs w:val="32"/>
        </w:rPr>
        <w:t>有资本经营预算财政拨款本年收入0.00万元，</w:t>
      </w:r>
      <w:r>
        <w:rPr>
          <w:rFonts w:hint="eastAsia" w:ascii="Times New Roman" w:eastAsia="仿宋_GB2312" w:cs="宋体"/>
          <w:b w:val="0"/>
          <w:sz w:val="32"/>
          <w:szCs w:val="32"/>
          <w:lang w:eastAsia="zh-CN"/>
        </w:rPr>
        <w:t>与上年持平</w:t>
      </w:r>
      <w:r>
        <w:rPr>
          <w:rFonts w:ascii="Times New Roman" w:eastAsia="仿宋_GB2312" w:cs="宋体"/>
          <w:b w:val="0"/>
          <w:sz w:val="32"/>
          <w:szCs w:val="32"/>
        </w:rPr>
        <w:t>，主要原因是</w:t>
      </w:r>
      <w:r>
        <w:rPr>
          <w:rFonts w:hint="eastAsia" w:ascii="Times New Roman" w:eastAsia="仿宋_GB2312" w:cs="宋体"/>
          <w:b w:val="0"/>
          <w:sz w:val="32"/>
          <w:szCs w:val="32"/>
        </w:rPr>
        <w:t>本年度无国有资本经营预算</w:t>
      </w:r>
      <w:r>
        <w:rPr>
          <w:rFonts w:ascii="Times New Roman" w:eastAsia="仿宋_GB2312" w:cs="宋体"/>
          <w:b w:val="0"/>
          <w:sz w:val="32"/>
          <w:szCs w:val="32"/>
        </w:rPr>
        <w:t>；本年支出0.00万元，</w:t>
      </w:r>
      <w:r>
        <w:rPr>
          <w:rFonts w:hint="eastAsia" w:ascii="Times New Roman" w:eastAsia="仿宋_GB2312" w:cs="宋体"/>
          <w:b w:val="0"/>
          <w:sz w:val="32"/>
          <w:szCs w:val="32"/>
          <w:lang w:eastAsia="zh-CN"/>
        </w:rPr>
        <w:t>与上年持平</w:t>
      </w:r>
      <w:r>
        <w:rPr>
          <w:rFonts w:ascii="Times New Roman" w:eastAsia="仿宋_GB2312" w:cs="宋体"/>
          <w:b w:val="0"/>
          <w:sz w:val="32"/>
          <w:szCs w:val="32"/>
        </w:rPr>
        <w:t>，主要原因是</w:t>
      </w:r>
      <w:r>
        <w:rPr>
          <w:rFonts w:hint="eastAsia" w:ascii="Times New Roman" w:eastAsia="仿宋_GB2312" w:cs="宋体"/>
          <w:b w:val="0"/>
          <w:sz w:val="32"/>
          <w:szCs w:val="32"/>
        </w:rPr>
        <w:t>本年度无国有资本经营预算</w:t>
      </w:r>
      <w:r>
        <w:rPr>
          <w:rFonts w:ascii="Times New Roman" w:eastAsia="仿宋_GB2312" w:cs="宋体"/>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本部门2025年度财政</w:t>
      </w:r>
      <w:r>
        <w:rPr>
          <w:rFonts w:ascii="Times New Roman" w:eastAsia="仿宋_GB2312" w:cs="宋体"/>
          <w:b w:val="0"/>
          <w:sz w:val="32"/>
          <w:szCs w:val="32"/>
        </w:rPr>
        <w:t>拨款本年收入334,634.21万元，完成年初预算的80.4%，比年初预算减少81,648.70万元，决算数小于预算数主要原因是</w:t>
      </w:r>
      <w:r>
        <w:rPr>
          <w:rFonts w:hint="eastAsia" w:ascii="Times New Roman" w:eastAsia="仿宋_GB2312" w:cs="宋体"/>
          <w:b w:val="0"/>
          <w:sz w:val="32"/>
          <w:szCs w:val="32"/>
          <w:lang w:eastAsia="zh-CN"/>
        </w:rPr>
        <w:t>部分工程项目根据工程进度，资金结转下年</w:t>
      </w:r>
      <w:r>
        <w:rPr>
          <w:rFonts w:ascii="Times New Roman" w:eastAsia="仿宋_GB2312" w:cs="宋体"/>
          <w:b w:val="0"/>
          <w:sz w:val="32"/>
          <w:szCs w:val="32"/>
        </w:rPr>
        <w:t>；本年支出335,396.39万元，完成年初预算的80.6%，比年初预算减少80,886.52万元，决算数小于预算数主要原因是</w:t>
      </w:r>
      <w:r>
        <w:rPr>
          <w:rFonts w:hint="eastAsia" w:ascii="Times New Roman" w:eastAsia="仿宋_GB2312" w:cs="宋体"/>
          <w:b w:val="0"/>
          <w:sz w:val="32"/>
          <w:szCs w:val="32"/>
          <w:lang w:eastAsia="zh-CN"/>
        </w:rPr>
        <w:t>部分工程项目根据工程进度，资金结转下年</w:t>
      </w:r>
      <w:r>
        <w:rPr>
          <w:rFonts w:ascii="Times New Roman" w:eastAsia="仿宋_GB2312" w:cs="宋体"/>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1. 一般公共预算财政拨款本年收入完</w:t>
      </w:r>
      <w:r>
        <w:rPr>
          <w:rFonts w:ascii="Times New Roman" w:eastAsia="仿宋_GB2312" w:cs="宋体"/>
          <w:b w:val="0"/>
          <w:sz w:val="32"/>
          <w:szCs w:val="32"/>
        </w:rPr>
        <w:t>成年初预算的76.3%，比年初预算减少58,193.19万元，主要原因是</w:t>
      </w:r>
      <w:r>
        <w:rPr>
          <w:rFonts w:hint="eastAsia" w:ascii="Times New Roman" w:eastAsia="仿宋_GB2312" w:cs="宋体"/>
          <w:b w:val="0"/>
          <w:sz w:val="32"/>
          <w:szCs w:val="32"/>
          <w:lang w:eastAsia="zh-CN"/>
        </w:rPr>
        <w:t>部分工程项目根据工程进度，资金结转下年</w:t>
      </w:r>
      <w:r>
        <w:rPr>
          <w:rFonts w:ascii="Times New Roman" w:eastAsia="仿宋_GB2312" w:cs="宋体"/>
          <w:b w:val="0"/>
          <w:sz w:val="32"/>
          <w:szCs w:val="32"/>
        </w:rPr>
        <w:t>；</w:t>
      </w:r>
      <w:r>
        <w:rPr>
          <w:rFonts w:ascii="Times New Roman" w:eastAsia="仿宋_GB2312"/>
          <w:b w:val="0"/>
          <w:sz w:val="32"/>
          <w:szCs w:val="32"/>
        </w:rPr>
        <w:t>支出完成年初预算的76.7%，比年初预算减少57,431.01</w:t>
      </w:r>
      <w:r>
        <w:rPr>
          <w:rFonts w:ascii="Times New Roman" w:eastAsia="仿宋_GB2312" w:cs="宋体"/>
          <w:b w:val="0"/>
          <w:sz w:val="32"/>
          <w:szCs w:val="32"/>
        </w:rPr>
        <w:t>万元，主要原因是</w:t>
      </w:r>
      <w:r>
        <w:rPr>
          <w:rFonts w:hint="eastAsia" w:ascii="Times New Roman" w:eastAsia="仿宋_GB2312" w:cs="宋体"/>
          <w:b w:val="0"/>
          <w:sz w:val="32"/>
          <w:szCs w:val="32"/>
          <w:lang w:eastAsia="zh-CN"/>
        </w:rPr>
        <w:t>部分工程项目根据工程进度，资金结转下年</w:t>
      </w:r>
      <w:r>
        <w:rPr>
          <w:rFonts w:ascii="Times New Roman" w:eastAsia="仿宋_GB2312" w:cs="宋体"/>
          <w:b w:val="0"/>
          <w:sz w:val="32"/>
          <w:szCs w:val="32"/>
        </w:rPr>
        <w:t>。</w:t>
      </w:r>
    </w:p>
    <w:p>
      <w:pPr>
        <w:widowControl/>
        <w:spacing w:before="0" w:beforeLines="0" w:beforeAutospacing="0" w:after="0" w:afterLines="0" w:afterAutospacing="0" w:line="360" w:lineRule="auto"/>
        <w:ind w:firstLine="640" w:firstLineChars="200"/>
        <w:jc w:val="both"/>
        <w:rPr>
          <w:rFonts w:ascii="Times New Roman" w:eastAsia="仿宋_GB2312" w:cs="宋体"/>
          <w:b w:val="0"/>
          <w:sz w:val="32"/>
          <w:szCs w:val="32"/>
        </w:rPr>
      </w:pPr>
      <w:r>
        <w:rPr>
          <w:rFonts w:ascii="Times New Roman" w:eastAsia="仿宋_GB2312"/>
          <w:b w:val="0"/>
          <w:sz w:val="32"/>
          <w:szCs w:val="32"/>
        </w:rPr>
        <w:t>2. 政府性基金预</w:t>
      </w:r>
      <w:r>
        <w:rPr>
          <w:rFonts w:ascii="Times New Roman" w:eastAsia="仿宋_GB2312" w:cs="宋体"/>
          <w:b w:val="0"/>
          <w:sz w:val="32"/>
          <w:szCs w:val="32"/>
        </w:rPr>
        <w:t>算财政拨款本年收入完成年初预算的86.2%，比年初预算减少23,455.51万元，主要原因是</w:t>
      </w:r>
      <w:r>
        <w:rPr>
          <w:rFonts w:hint="eastAsia" w:ascii="Times New Roman" w:eastAsia="仿宋_GB2312" w:cs="宋体"/>
          <w:b w:val="0"/>
          <w:sz w:val="32"/>
          <w:szCs w:val="32"/>
          <w:lang w:eastAsia="zh-CN"/>
        </w:rPr>
        <w:t>车辆通行费收入较年初预算有所降低</w:t>
      </w:r>
      <w:r>
        <w:rPr>
          <w:rFonts w:ascii="Times New Roman" w:eastAsia="仿宋_GB2312" w:cs="宋体"/>
          <w:b w:val="0"/>
          <w:sz w:val="32"/>
          <w:szCs w:val="32"/>
        </w:rPr>
        <w:t>；支出完成年初预算的86.2%，比年初预算减少23,455.51万元，主要原因是</w:t>
      </w:r>
      <w:r>
        <w:rPr>
          <w:rFonts w:hint="eastAsia" w:ascii="Times New Roman" w:eastAsia="仿宋_GB2312" w:cs="宋体"/>
          <w:b w:val="0"/>
          <w:sz w:val="32"/>
          <w:szCs w:val="32"/>
          <w:lang w:eastAsia="zh-CN"/>
        </w:rPr>
        <w:t>车辆通行费收入较年初预算有所降低，安排的支出减少</w:t>
      </w:r>
      <w:r>
        <w:rPr>
          <w:rFonts w:ascii="Times New Roman" w:eastAsia="仿宋_GB2312" w:cs="宋体"/>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rPr>
        <w:t>本年度无国有资本经营预算</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rPr>
        <w:t>本年度无国有资本经营预算</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2025年度财政拨款支出335,396.39万元，主要用于以下方面：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社会保障和就</w:t>
      </w:r>
      <w:r>
        <w:rPr>
          <w:rFonts w:ascii="Times New Roman" w:eastAsia="仿宋_GB2312" w:cs="宋体"/>
          <w:b w:val="0"/>
          <w:sz w:val="32"/>
          <w:szCs w:val="32"/>
        </w:rPr>
        <w:t>业 （类）支出3,990.29万元，占1.2%，主要用于缴纳职工养老保险、失业保险、工伤保险及发放退休人员生活补贴、取暖费等支出；卫生健康（类）支出628.15万元，占0.2%，主要用于医疗保险</w:t>
      </w:r>
      <w:r>
        <w:rPr>
          <w:rFonts w:ascii="Times New Roman" w:eastAsia="仿宋_GB2312"/>
          <w:b w:val="0"/>
          <w:sz w:val="32"/>
          <w:szCs w:val="32"/>
        </w:rPr>
        <w:t>等支出；城乡社区（类）支出85,836.00万元，占25.6%，主要用于城市公交运营等支出；交通</w:t>
      </w:r>
      <w:r>
        <w:rPr>
          <w:rFonts w:ascii="Times New Roman" w:eastAsia="仿宋_GB2312" w:cs="宋体"/>
          <w:b w:val="0"/>
          <w:sz w:val="32"/>
          <w:szCs w:val="32"/>
        </w:rPr>
        <w:t>运输（类）支出95,171.61万元，占28.4%，主要用于</w:t>
      </w:r>
      <w:r>
        <w:rPr>
          <w:rFonts w:hint="eastAsia" w:ascii="Times New Roman" w:eastAsia="仿宋_GB2312" w:cs="宋体"/>
          <w:b w:val="0"/>
          <w:sz w:val="32"/>
          <w:szCs w:val="32"/>
        </w:rPr>
        <w:t>人员经费、公用经费和</w:t>
      </w:r>
      <w:r>
        <w:rPr>
          <w:rFonts w:hint="eastAsia" w:ascii="Times New Roman" w:eastAsia="仿宋_GB2312" w:cs="宋体"/>
          <w:b w:val="0"/>
          <w:sz w:val="32"/>
          <w:szCs w:val="32"/>
          <w:lang w:eastAsia="zh-CN"/>
        </w:rPr>
        <w:t>交通领域</w:t>
      </w:r>
      <w:r>
        <w:rPr>
          <w:rFonts w:hint="eastAsia" w:ascii="Times New Roman" w:eastAsia="仿宋_GB2312" w:cs="宋体"/>
          <w:b w:val="0"/>
          <w:sz w:val="32"/>
          <w:szCs w:val="32"/>
        </w:rPr>
        <w:t>项目经费</w:t>
      </w:r>
      <w:r>
        <w:rPr>
          <w:rFonts w:ascii="Times New Roman" w:eastAsia="仿宋_GB2312" w:cs="宋体"/>
          <w:b w:val="0"/>
          <w:sz w:val="32"/>
          <w:szCs w:val="32"/>
        </w:rPr>
        <w:t>等支出；资源勘探信息等（类）支出9.06万元，占0.0%，主要用于</w:t>
      </w:r>
      <w:r>
        <w:rPr>
          <w:rFonts w:hint="eastAsia" w:ascii="Times New Roman" w:eastAsia="仿宋_GB2312" w:cs="宋体"/>
          <w:b w:val="0"/>
          <w:sz w:val="32"/>
          <w:szCs w:val="32"/>
        </w:rPr>
        <w:t>计算机</w:t>
      </w:r>
      <w:r>
        <w:rPr>
          <w:rFonts w:hint="eastAsia" w:ascii="Times New Roman" w:eastAsia="仿宋_GB2312" w:cs="宋体"/>
          <w:b w:val="0"/>
          <w:sz w:val="32"/>
          <w:szCs w:val="32"/>
          <w:lang w:eastAsia="zh-CN"/>
        </w:rPr>
        <w:t>更新配备</w:t>
      </w:r>
      <w:r>
        <w:rPr>
          <w:rFonts w:ascii="Times New Roman" w:eastAsia="仿宋_GB2312" w:cs="宋体"/>
          <w:b w:val="0"/>
          <w:sz w:val="32"/>
          <w:szCs w:val="32"/>
        </w:rPr>
        <w:t>等支</w:t>
      </w:r>
      <w:r>
        <w:rPr>
          <w:rFonts w:ascii="Times New Roman" w:eastAsia="仿宋_GB2312"/>
          <w:b w:val="0"/>
          <w:sz w:val="32"/>
          <w:szCs w:val="32"/>
        </w:rPr>
        <w:t>出；住房保</w:t>
      </w:r>
      <w:r>
        <w:rPr>
          <w:rFonts w:ascii="Times New Roman" w:eastAsia="仿宋_GB2312" w:cs="宋体"/>
          <w:b w:val="0"/>
          <w:sz w:val="32"/>
          <w:szCs w:val="32"/>
        </w:rPr>
        <w:t>障（类）支出920.54万元，占0.3%，主要用于住房公积金等支出；灾害防治及应急管理（类）支出1,991.49万元，占0.6%，主要用于国省干线公路排水整治、安全提升、监测预警项目等支出。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城乡社区（类）支出4,558.00万元，占1.4%，主要用于</w:t>
      </w:r>
      <w:r>
        <w:rPr>
          <w:rFonts w:ascii="Times New Roman" w:eastAsia="仿宋_GB2312"/>
          <w:b w:val="0"/>
          <w:sz w:val="32"/>
          <w:szCs w:val="32"/>
          <w:highlight w:val="none"/>
        </w:rPr>
        <w:t>复兴大街及北三环市政化改造项目支出及公交运营支</w:t>
      </w:r>
      <w:r>
        <w:rPr>
          <w:rFonts w:ascii="Times New Roman" w:eastAsia="仿宋_GB2312"/>
          <w:b w:val="0"/>
          <w:sz w:val="32"/>
          <w:szCs w:val="32"/>
        </w:rPr>
        <w:t>出等支出；交通运输（类）支出80,167.78万元，占23.9%，主要用于车辆通行费收入安排的高速公路运营养护等支出；资源勘探信息等（类）支出12,372.66万元，占3.7%，主要用于大规模设备更新等支出；其他（类）支出31,041.00万元，占9.3%，主要</w:t>
      </w:r>
      <w:r>
        <w:rPr>
          <w:rFonts w:ascii="Times New Roman" w:eastAsia="仿宋_GB2312" w:cs="宋体"/>
          <w:b w:val="0"/>
          <w:sz w:val="32"/>
          <w:szCs w:val="32"/>
        </w:rPr>
        <w:t>用于复兴大街及北三环市政化改造项目</w:t>
      </w:r>
      <w:r>
        <w:rPr>
          <w:rFonts w:hint="eastAsia" w:ascii="Times New Roman" w:eastAsia="仿宋_GB2312" w:cs="宋体"/>
          <w:b w:val="0"/>
          <w:sz w:val="32"/>
          <w:szCs w:val="32"/>
          <w:lang w:eastAsia="zh-CN"/>
        </w:rPr>
        <w:t>、</w:t>
      </w:r>
      <w:r>
        <w:rPr>
          <w:rFonts w:ascii="Times New Roman" w:eastAsia="仿宋_GB2312" w:cs="宋体"/>
          <w:b w:val="0"/>
          <w:sz w:val="32"/>
          <w:szCs w:val="32"/>
        </w:rPr>
        <w:t>国省干线公路养护工程款</w:t>
      </w:r>
      <w:r>
        <w:rPr>
          <w:rFonts w:hint="eastAsia" w:ascii="Times New Roman" w:eastAsia="仿宋_GB2312" w:cs="宋体"/>
          <w:b w:val="0"/>
          <w:sz w:val="32"/>
          <w:szCs w:val="32"/>
          <w:lang w:eastAsia="zh-CN"/>
        </w:rPr>
        <w:t>、工程项目</w:t>
      </w:r>
      <w:r>
        <w:rPr>
          <w:rFonts w:ascii="Times New Roman" w:eastAsia="仿宋_GB2312" w:cs="宋体"/>
          <w:b w:val="0"/>
          <w:sz w:val="32"/>
          <w:szCs w:val="32"/>
        </w:rPr>
        <w:t>等支出；</w:t>
      </w:r>
      <w:r>
        <w:rPr>
          <w:rFonts w:ascii="Times New Roman" w:eastAsia="仿宋_GB2312"/>
          <w:b w:val="0"/>
          <w:sz w:val="32"/>
          <w:szCs w:val="32"/>
        </w:rPr>
        <w:t>债务付息（类）支出18,709.82万元，占5.6%，主要用于专项债券还本付息等支出。</w:t>
      </w:r>
    </w:p>
    <w:p>
      <w:pPr>
        <w:widowControl/>
        <w:spacing w:before="0" w:beforeLines="0" w:beforeAutospacing="0" w:after="0" w:afterLines="0" w:afterAutospacing="0" w:line="360" w:lineRule="auto"/>
        <w:ind w:firstLine="643" w:firstLineChars="200"/>
        <w:jc w:val="both"/>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both"/>
        <w:rPr>
          <w:rFonts w:ascii="Times New Roman" w:eastAsia="仿宋_GB2312"/>
          <w:sz w:val="32"/>
          <w:szCs w:val="32"/>
        </w:rPr>
      </w:pPr>
      <w:r>
        <w:rPr>
          <w:rFonts w:ascii="Times New Roman" w:eastAsia="仿宋_GB2312"/>
          <w:b w:val="0"/>
          <w:sz w:val="32"/>
          <w:szCs w:val="32"/>
        </w:rPr>
        <w:t>2025年度财政拨款基本支出15,441.33万元，其中：</w:t>
      </w:r>
    </w:p>
    <w:p>
      <w:pPr>
        <w:widowControl/>
        <w:spacing w:before="0" w:beforeLines="0" w:beforeAutospacing="0" w:after="0" w:afterLines="0" w:afterAutospacing="0" w:line="360" w:lineRule="auto"/>
        <w:ind w:firstLine="640" w:firstLineChars="200"/>
        <w:jc w:val="both"/>
        <w:rPr>
          <w:rFonts w:ascii="Times New Roman" w:eastAsia="仿宋_GB2312" w:cs="宋体"/>
          <w:b w:val="0"/>
          <w:sz w:val="32"/>
          <w:szCs w:val="32"/>
        </w:rPr>
      </w:pPr>
      <w:r>
        <w:rPr>
          <w:rFonts w:ascii="Times New Roman" w:eastAsia="仿宋_GB2312"/>
          <w:b w:val="0"/>
          <w:sz w:val="32"/>
          <w:szCs w:val="32"/>
        </w:rPr>
        <w:t>人员经费14,368.</w:t>
      </w:r>
      <w:r>
        <w:rPr>
          <w:rFonts w:ascii="Times New Roman" w:eastAsia="仿宋_GB2312" w:cs="宋体"/>
          <w:b w:val="0"/>
          <w:sz w:val="32"/>
          <w:szCs w:val="32"/>
        </w:rPr>
        <w:t>19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both"/>
        <w:rPr>
          <w:rFonts w:ascii="Times New Roman" w:eastAsia="仿宋_GB2312" w:cs="宋体"/>
          <w:b w:val="0"/>
          <w:sz w:val="32"/>
          <w:szCs w:val="32"/>
        </w:rPr>
      </w:pPr>
      <w:r>
        <w:rPr>
          <w:rFonts w:ascii="Times New Roman" w:eastAsia="仿宋_GB2312" w:cs="宋体"/>
          <w:b w:val="0"/>
          <w:sz w:val="32"/>
          <w:szCs w:val="32"/>
        </w:rPr>
        <w:t>公用经费1,073.14万元，主要包括办公费、印刷费、手续费、水费、电费、邮电费、取暖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本部门2025年度</w:t>
      </w:r>
      <w:r>
        <w:rPr>
          <w:rFonts w:hint="eastAsia" w:ascii="Times New Roman" w:eastAsia="仿宋_GB2312"/>
          <w:b w:val="0"/>
          <w:sz w:val="32"/>
          <w:szCs w:val="32"/>
          <w:lang w:eastAsia="zh-CN"/>
        </w:rPr>
        <w:t>“</w:t>
      </w:r>
      <w:r>
        <w:rPr>
          <w:rFonts w:ascii="Times New Roman" w:eastAsia="仿宋_GB2312"/>
          <w:b w:val="0"/>
          <w:sz w:val="32"/>
          <w:szCs w:val="32"/>
        </w:rPr>
        <w:t>三公</w:t>
      </w:r>
      <w:r>
        <w:rPr>
          <w:rFonts w:hint="eastAsia" w:ascii="Times New Roman" w:eastAsia="仿宋_GB2312"/>
          <w:b w:val="0"/>
          <w:sz w:val="32"/>
          <w:szCs w:val="32"/>
          <w:lang w:eastAsia="zh-CN"/>
        </w:rPr>
        <w:t>”</w:t>
      </w:r>
      <w:r>
        <w:rPr>
          <w:rFonts w:ascii="Times New Roman" w:eastAsia="仿宋_GB2312"/>
          <w:b w:val="0"/>
          <w:sz w:val="32"/>
          <w:szCs w:val="32"/>
        </w:rPr>
        <w:t>经费财政拨款支出预算为237.62万元，支出决算为193.33万元，完成预算的</w:t>
      </w:r>
      <w:r>
        <w:rPr>
          <w:rFonts w:ascii="Times New Roman" w:eastAsia="仿宋_GB2312" w:cs="宋体"/>
          <w:b w:val="0"/>
          <w:sz w:val="32"/>
          <w:szCs w:val="32"/>
        </w:rPr>
        <w:t>81.4%，较预算减少44.29万元，降低18.6%，主要原因是坚持</w:t>
      </w:r>
      <w:r>
        <w:rPr>
          <w:rFonts w:hint="eastAsia" w:ascii="Times New Roman" w:eastAsia="仿宋_GB2312" w:cs="宋体"/>
          <w:b w:val="0"/>
          <w:sz w:val="32"/>
          <w:szCs w:val="32"/>
          <w:lang w:eastAsia="zh-CN"/>
        </w:rPr>
        <w:t>“</w:t>
      </w:r>
      <w:r>
        <w:rPr>
          <w:rFonts w:ascii="Times New Roman" w:eastAsia="仿宋_GB2312" w:cs="宋体"/>
          <w:b w:val="0"/>
          <w:sz w:val="32"/>
          <w:szCs w:val="32"/>
        </w:rPr>
        <w:t>过紧日子</w:t>
      </w:r>
      <w:r>
        <w:rPr>
          <w:rFonts w:hint="eastAsia" w:ascii="Times New Roman" w:eastAsia="仿宋_GB2312" w:cs="宋体"/>
          <w:b w:val="0"/>
          <w:sz w:val="32"/>
          <w:szCs w:val="32"/>
          <w:lang w:eastAsia="zh-CN"/>
        </w:rPr>
        <w:t>”</w:t>
      </w:r>
      <w:r>
        <w:rPr>
          <w:rFonts w:ascii="Times New Roman" w:eastAsia="仿宋_GB2312" w:cs="宋体"/>
          <w:b w:val="0"/>
          <w:sz w:val="32"/>
          <w:szCs w:val="32"/>
        </w:rPr>
        <w:t>，节约开支；较2024年度决算减少67.66万元，降低25.9%，主要原因是坚持</w:t>
      </w:r>
      <w:r>
        <w:rPr>
          <w:rFonts w:hint="eastAsia" w:ascii="Times New Roman" w:eastAsia="仿宋_GB2312" w:cs="宋体"/>
          <w:b w:val="0"/>
          <w:sz w:val="32"/>
          <w:szCs w:val="32"/>
          <w:lang w:eastAsia="zh-CN"/>
        </w:rPr>
        <w:t>“</w:t>
      </w:r>
      <w:r>
        <w:rPr>
          <w:rFonts w:ascii="Times New Roman" w:eastAsia="仿宋_GB2312" w:cs="宋体"/>
          <w:b w:val="0"/>
          <w:sz w:val="32"/>
          <w:szCs w:val="32"/>
        </w:rPr>
        <w:t>过紧日子</w:t>
      </w:r>
      <w:r>
        <w:rPr>
          <w:rFonts w:hint="eastAsia" w:ascii="Times New Roman" w:eastAsia="仿宋_GB2312" w:cs="宋体"/>
          <w:b w:val="0"/>
          <w:sz w:val="32"/>
          <w:szCs w:val="32"/>
          <w:lang w:eastAsia="zh-CN"/>
        </w:rPr>
        <w:t>”</w:t>
      </w:r>
      <w:r>
        <w:rPr>
          <w:rFonts w:ascii="Times New Roman" w:eastAsia="仿宋_GB2312" w:cs="宋体"/>
          <w:b w:val="0"/>
          <w:sz w:val="32"/>
          <w:szCs w:val="32"/>
        </w:rPr>
        <w:t>，节约开支。</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cs="宋体"/>
          <w:b w:val="0"/>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本部门2025年度因公出国（境）费支出预算为0.00万元,支</w:t>
      </w:r>
      <w:r>
        <w:rPr>
          <w:rFonts w:ascii="Times New Roman" w:eastAsia="仿宋_GB2312" w:cs="宋体"/>
          <w:b w:val="0"/>
          <w:sz w:val="32"/>
          <w:szCs w:val="32"/>
        </w:rPr>
        <w:t>出决算0.00万元。完成预算的0.0%。因公出国（境）费支出较预算增加0.00万元，增长0.0%,主要原因是</w:t>
      </w:r>
      <w:r>
        <w:rPr>
          <w:rFonts w:hint="eastAsia" w:ascii="Times New Roman" w:eastAsia="仿宋_GB2312" w:cs="宋体"/>
          <w:b w:val="0"/>
          <w:sz w:val="32"/>
          <w:szCs w:val="32"/>
        </w:rPr>
        <w:t>我</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无因公出国（境）支出</w:t>
      </w:r>
      <w:r>
        <w:rPr>
          <w:rFonts w:ascii="Times New Roman" w:eastAsia="仿宋_GB2312" w:cs="宋体"/>
          <w:b w:val="0"/>
          <w:sz w:val="32"/>
          <w:szCs w:val="32"/>
        </w:rPr>
        <w:t>；较上年增加0.00万元，增长0.00%,主要原因是</w:t>
      </w:r>
      <w:r>
        <w:rPr>
          <w:rFonts w:hint="eastAsia" w:ascii="Times New Roman" w:eastAsia="仿宋_GB2312" w:cs="宋体"/>
          <w:b w:val="0"/>
          <w:sz w:val="32"/>
          <w:szCs w:val="32"/>
        </w:rPr>
        <w:t>我</w:t>
      </w:r>
      <w:r>
        <w:rPr>
          <w:rFonts w:hint="eastAsia" w:ascii="Times New Roman" w:eastAsia="仿宋_GB2312" w:cs="宋体"/>
          <w:b w:val="0"/>
          <w:sz w:val="32"/>
          <w:szCs w:val="32"/>
          <w:lang w:eastAsia="zh-CN"/>
        </w:rPr>
        <w:t>部门</w:t>
      </w:r>
      <w:r>
        <w:rPr>
          <w:rFonts w:hint="eastAsia" w:ascii="Times New Roman" w:eastAsia="仿宋_GB2312" w:cs="宋体"/>
          <w:b w:val="0"/>
          <w:sz w:val="32"/>
          <w:szCs w:val="32"/>
        </w:rPr>
        <w:t>无因公出国（境）支出</w:t>
      </w:r>
      <w:r>
        <w:rPr>
          <w:rFonts w:ascii="Times New Roman" w:eastAsia="仿宋_GB2312" w:cs="宋体"/>
          <w:b w:val="0"/>
          <w:sz w:val="32"/>
          <w:szCs w:val="32"/>
        </w:rPr>
        <w:t>。无本部门组织的出国（境）团组。</w:t>
      </w:r>
    </w:p>
    <w:p>
      <w:pPr>
        <w:widowControl/>
        <w:spacing w:before="0" w:beforeLines="0" w:beforeAutospacing="0" w:after="0" w:afterLines="0" w:afterAutospacing="0" w:line="360" w:lineRule="auto"/>
        <w:ind w:firstLine="643" w:firstLineChars="200"/>
        <w:jc w:val="both"/>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本部门2025年度公务用车购置及运行维护费预算为236.52万元，支出决算193.33万元，完成预算的81.7</w:t>
      </w:r>
      <w:r>
        <w:rPr>
          <w:rFonts w:ascii="Times New Roman" w:eastAsia="仿宋_GB2312" w:cs="宋体"/>
          <w:b w:val="0"/>
          <w:sz w:val="32"/>
          <w:szCs w:val="32"/>
        </w:rPr>
        <w:t>%,较预算减少43.19万元，降低18.3%,主要原因是坚持</w:t>
      </w:r>
      <w:r>
        <w:rPr>
          <w:rFonts w:hint="eastAsia" w:ascii="Times New Roman" w:eastAsia="仿宋_GB2312" w:cs="宋体"/>
          <w:b w:val="0"/>
          <w:sz w:val="32"/>
          <w:szCs w:val="32"/>
          <w:lang w:eastAsia="zh-CN"/>
        </w:rPr>
        <w:t>“</w:t>
      </w:r>
      <w:r>
        <w:rPr>
          <w:rFonts w:ascii="Times New Roman" w:eastAsia="仿宋_GB2312" w:cs="宋体"/>
          <w:b w:val="0"/>
          <w:sz w:val="32"/>
          <w:szCs w:val="32"/>
        </w:rPr>
        <w:t>过紧日子</w:t>
      </w:r>
      <w:r>
        <w:rPr>
          <w:rFonts w:hint="eastAsia" w:ascii="Times New Roman" w:eastAsia="仿宋_GB2312" w:cs="宋体"/>
          <w:b w:val="0"/>
          <w:sz w:val="32"/>
          <w:szCs w:val="32"/>
          <w:lang w:eastAsia="zh-CN"/>
        </w:rPr>
        <w:t>”</w:t>
      </w:r>
      <w:r>
        <w:rPr>
          <w:rFonts w:ascii="Times New Roman" w:eastAsia="仿宋_GB2312" w:cs="宋体"/>
          <w:b w:val="0"/>
          <w:sz w:val="32"/>
          <w:szCs w:val="32"/>
        </w:rPr>
        <w:t>，节约开支；较上年减少67.66万元，降低25.9%,主要原因是坚持</w:t>
      </w:r>
      <w:r>
        <w:rPr>
          <w:rFonts w:hint="eastAsia" w:ascii="Times New Roman" w:eastAsia="仿宋_GB2312" w:cs="宋体"/>
          <w:b w:val="0"/>
          <w:sz w:val="32"/>
          <w:szCs w:val="32"/>
          <w:lang w:eastAsia="zh-CN"/>
        </w:rPr>
        <w:t>“</w:t>
      </w:r>
      <w:r>
        <w:rPr>
          <w:rFonts w:ascii="Times New Roman" w:eastAsia="仿宋_GB2312" w:cs="宋体"/>
          <w:b w:val="0"/>
          <w:sz w:val="32"/>
          <w:szCs w:val="32"/>
        </w:rPr>
        <w:t>过紧日子</w:t>
      </w:r>
      <w:r>
        <w:rPr>
          <w:rFonts w:hint="eastAsia" w:ascii="Times New Roman" w:eastAsia="仿宋_GB2312" w:cs="宋体"/>
          <w:b w:val="0"/>
          <w:sz w:val="32"/>
          <w:szCs w:val="32"/>
          <w:lang w:eastAsia="zh-CN"/>
        </w:rPr>
        <w:t>”</w:t>
      </w:r>
      <w:r>
        <w:rPr>
          <w:rFonts w:ascii="Times New Roman" w:eastAsia="仿宋_GB2312" w:cs="宋体"/>
          <w:b w:val="0"/>
          <w:sz w:val="32"/>
          <w:szCs w:val="32"/>
        </w:rPr>
        <w:t>，节约开支。其中：</w:t>
      </w:r>
    </w:p>
    <w:p>
      <w:pPr>
        <w:widowControl/>
        <w:spacing w:before="0" w:beforeLines="0" w:beforeAutospacing="0" w:after="0" w:afterLines="0" w:afterAutospacing="0" w:line="360" w:lineRule="auto"/>
        <w:ind w:firstLine="643" w:firstLineChars="200"/>
        <w:jc w:val="left"/>
        <w:rPr>
          <w:rFonts w:ascii="Times New Roman" w:eastAsia="仿宋_GB2312" w:cs="宋体"/>
          <w:b w:val="0"/>
          <w:sz w:val="32"/>
          <w:szCs w:val="32"/>
          <w:highlight w:val="yellow"/>
        </w:rPr>
      </w:pPr>
      <w:r>
        <w:rPr>
          <w:rFonts w:ascii="Times New Roman" w:eastAsia="仿宋_GB2312"/>
          <w:b/>
          <w:sz w:val="32"/>
          <w:szCs w:val="32"/>
        </w:rPr>
        <w:t>公务用车购置费支出56.68万元：</w:t>
      </w:r>
      <w:r>
        <w:rPr>
          <w:rFonts w:ascii="Times New Roman" w:eastAsia="仿宋_GB2312"/>
          <w:b w:val="0"/>
          <w:sz w:val="32"/>
          <w:szCs w:val="32"/>
        </w:rPr>
        <w:t>本部门2025年度公务用车购置量6辆，发生</w:t>
      </w:r>
      <w:r>
        <w:rPr>
          <w:rFonts w:hint="eastAsia" w:ascii="Times New Roman" w:eastAsia="仿宋_GB2312"/>
          <w:b w:val="0"/>
          <w:sz w:val="32"/>
          <w:szCs w:val="32"/>
          <w:lang w:eastAsia="zh-CN"/>
        </w:rPr>
        <w:t>“</w:t>
      </w:r>
      <w:r>
        <w:rPr>
          <w:rFonts w:ascii="Times New Roman" w:eastAsia="仿宋_GB2312"/>
          <w:b w:val="0"/>
          <w:sz w:val="32"/>
          <w:szCs w:val="32"/>
        </w:rPr>
        <w:t>公务用车购置</w:t>
      </w:r>
      <w:r>
        <w:rPr>
          <w:rFonts w:hint="eastAsia" w:ascii="Times New Roman" w:eastAsia="仿宋_GB2312"/>
          <w:b w:val="0"/>
          <w:sz w:val="32"/>
          <w:szCs w:val="32"/>
          <w:lang w:eastAsia="zh-CN"/>
        </w:rPr>
        <w:t>”</w:t>
      </w:r>
      <w:r>
        <w:rPr>
          <w:rFonts w:ascii="Times New Roman" w:eastAsia="仿宋_GB2312"/>
          <w:b w:val="0"/>
          <w:sz w:val="32"/>
          <w:szCs w:val="32"/>
        </w:rPr>
        <w:t>经费支出56.68万元。公务用车购置费支出较预</w:t>
      </w:r>
      <w:r>
        <w:rPr>
          <w:rFonts w:ascii="Times New Roman" w:eastAsia="仿宋_GB2312" w:cs="宋体"/>
          <w:b w:val="0"/>
          <w:sz w:val="32"/>
          <w:szCs w:val="32"/>
        </w:rPr>
        <w:t>算减少1.32万元，降低2.3%,主要原因是通过政府采购价格，完成了公务用车购置支出</w:t>
      </w:r>
      <w:r>
        <w:rPr>
          <w:rFonts w:hint="eastAsia" w:ascii="Times New Roman" w:eastAsia="仿宋_GB2312" w:cs="宋体"/>
          <w:b w:val="0"/>
          <w:sz w:val="32"/>
          <w:szCs w:val="32"/>
          <w:lang w:eastAsia="zh-CN"/>
        </w:rPr>
        <w:t>，节约开支</w:t>
      </w:r>
      <w:r>
        <w:rPr>
          <w:rFonts w:ascii="Times New Roman" w:eastAsia="仿宋_GB2312" w:cs="宋体"/>
          <w:b w:val="0"/>
          <w:sz w:val="32"/>
          <w:szCs w:val="32"/>
        </w:rPr>
        <w:t>；较上年减少15.56万元，降低21.5%,主要原因是</w:t>
      </w:r>
      <w:r>
        <w:rPr>
          <w:rFonts w:hint="eastAsia" w:ascii="Times New Roman" w:eastAsia="仿宋_GB2312" w:cs="宋体"/>
          <w:b w:val="0"/>
          <w:sz w:val="32"/>
          <w:szCs w:val="32"/>
          <w:lang w:eastAsia="zh-CN"/>
        </w:rPr>
        <w:t>按现行标准，</w:t>
      </w:r>
      <w:r>
        <w:rPr>
          <w:rFonts w:hint="eastAsia" w:ascii="Times New Roman" w:eastAsia="仿宋_GB2312" w:cs="宋体"/>
          <w:b w:val="0"/>
          <w:sz w:val="32"/>
          <w:szCs w:val="32"/>
        </w:rPr>
        <w:t>本年公务用车购置</w:t>
      </w:r>
      <w:r>
        <w:rPr>
          <w:rFonts w:hint="eastAsia" w:ascii="Times New Roman" w:eastAsia="仿宋_GB2312" w:cs="宋体"/>
          <w:b w:val="0"/>
          <w:sz w:val="32"/>
          <w:szCs w:val="32"/>
          <w:lang w:eastAsia="zh-CN"/>
        </w:rPr>
        <w:t>所需经费</w:t>
      </w:r>
      <w:r>
        <w:rPr>
          <w:rFonts w:hint="eastAsia" w:ascii="Times New Roman" w:eastAsia="仿宋_GB2312" w:cs="宋体"/>
          <w:b w:val="0"/>
          <w:sz w:val="32"/>
          <w:szCs w:val="32"/>
        </w:rPr>
        <w:t>较上年度减少，支出减少</w:t>
      </w:r>
      <w:r>
        <w:rPr>
          <w:rFonts w:ascii="Times New Roman" w:eastAsia="仿宋_GB2312" w:cs="宋体"/>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cs="宋体"/>
          <w:b w:val="0"/>
          <w:sz w:val="32"/>
          <w:szCs w:val="32"/>
        </w:rPr>
      </w:pPr>
      <w:r>
        <w:rPr>
          <w:rFonts w:ascii="Times New Roman" w:eastAsia="仿宋_GB2312"/>
          <w:b/>
          <w:sz w:val="32"/>
          <w:szCs w:val="32"/>
        </w:rPr>
        <w:t>公务用车运行维护费支出136.65万元：</w:t>
      </w:r>
      <w:r>
        <w:rPr>
          <w:rFonts w:ascii="Times New Roman" w:eastAsia="仿宋_GB2312"/>
          <w:b w:val="0"/>
          <w:sz w:val="32"/>
          <w:szCs w:val="32"/>
        </w:rPr>
        <w:t>本部门2025年度公务用车保有量95辆，发生运行维护费支出136.65万元。公车运行维护费支出较预算减少41.87万元，降低23.5%</w:t>
      </w:r>
      <w:r>
        <w:rPr>
          <w:rFonts w:ascii="Times New Roman" w:eastAsia="仿宋_GB2312" w:cs="宋体"/>
          <w:b w:val="0"/>
          <w:sz w:val="32"/>
          <w:szCs w:val="32"/>
        </w:rPr>
        <w:t>,主要原因是坚持</w:t>
      </w:r>
      <w:r>
        <w:rPr>
          <w:rFonts w:hint="eastAsia" w:ascii="Times New Roman" w:eastAsia="仿宋_GB2312" w:cs="宋体"/>
          <w:b w:val="0"/>
          <w:sz w:val="32"/>
          <w:szCs w:val="32"/>
          <w:lang w:eastAsia="zh-CN"/>
        </w:rPr>
        <w:t>“</w:t>
      </w:r>
      <w:r>
        <w:rPr>
          <w:rFonts w:ascii="Times New Roman" w:eastAsia="仿宋_GB2312" w:cs="宋体"/>
          <w:b w:val="0"/>
          <w:sz w:val="32"/>
          <w:szCs w:val="32"/>
        </w:rPr>
        <w:t>过紧日子</w:t>
      </w:r>
      <w:r>
        <w:rPr>
          <w:rFonts w:hint="eastAsia" w:ascii="Times New Roman" w:eastAsia="仿宋_GB2312" w:cs="宋体"/>
          <w:b w:val="0"/>
          <w:sz w:val="32"/>
          <w:szCs w:val="32"/>
          <w:lang w:eastAsia="zh-CN"/>
        </w:rPr>
        <w:t>”</w:t>
      </w:r>
      <w:r>
        <w:rPr>
          <w:rFonts w:ascii="Times New Roman" w:eastAsia="仿宋_GB2312" w:cs="宋体"/>
          <w:b w:val="0"/>
          <w:sz w:val="32"/>
          <w:szCs w:val="32"/>
        </w:rPr>
        <w:t>，节约开支；较上年减少52.10万元，降低27.6%，主要原因是坚持</w:t>
      </w:r>
      <w:r>
        <w:rPr>
          <w:rFonts w:hint="eastAsia" w:ascii="Times New Roman" w:eastAsia="仿宋_GB2312" w:cs="宋体"/>
          <w:b w:val="0"/>
          <w:sz w:val="32"/>
          <w:szCs w:val="32"/>
          <w:lang w:eastAsia="zh-CN"/>
        </w:rPr>
        <w:t>“</w:t>
      </w:r>
      <w:r>
        <w:rPr>
          <w:rFonts w:ascii="Times New Roman" w:eastAsia="仿宋_GB2312" w:cs="宋体"/>
          <w:b w:val="0"/>
          <w:sz w:val="32"/>
          <w:szCs w:val="32"/>
        </w:rPr>
        <w:t>过紧日子</w:t>
      </w:r>
      <w:r>
        <w:rPr>
          <w:rFonts w:hint="eastAsia" w:ascii="Times New Roman" w:eastAsia="仿宋_GB2312" w:cs="宋体"/>
          <w:b w:val="0"/>
          <w:sz w:val="32"/>
          <w:szCs w:val="32"/>
          <w:lang w:eastAsia="zh-CN"/>
        </w:rPr>
        <w:t>”</w:t>
      </w:r>
      <w:r>
        <w:rPr>
          <w:rFonts w:ascii="Times New Roman" w:eastAsia="仿宋_GB2312" w:cs="宋体"/>
          <w:b w:val="0"/>
          <w:sz w:val="32"/>
          <w:szCs w:val="32"/>
        </w:rPr>
        <w:t>，节约开支。</w:t>
      </w:r>
    </w:p>
    <w:p>
      <w:pPr>
        <w:widowControl/>
        <w:spacing w:before="0" w:beforeLines="0" w:beforeAutospacing="0" w:after="0" w:afterLines="0" w:afterAutospacing="0" w:line="360" w:lineRule="auto"/>
        <w:ind w:firstLine="643" w:firstLineChars="200"/>
        <w:jc w:val="left"/>
        <w:rPr>
          <w:rFonts w:ascii="Times New Roman" w:eastAsia="仿宋_GB2312" w:cs="宋体"/>
          <w:b w:val="0"/>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本部门2025年度公务接待费支出预算为1.10万元，支出决算0.00万元，完成预算的0.0%。公务接待费支出较预算减少1.10万元，降低100</w:t>
      </w:r>
      <w:r>
        <w:rPr>
          <w:rFonts w:ascii="Times New Roman" w:eastAsia="仿宋_GB2312" w:cs="宋体"/>
          <w:b w:val="0"/>
          <w:sz w:val="32"/>
          <w:szCs w:val="32"/>
        </w:rPr>
        <w:t>.0%,主要原因是未发生</w:t>
      </w:r>
      <w:r>
        <w:rPr>
          <w:rFonts w:hint="eastAsia" w:ascii="Times New Roman" w:eastAsia="仿宋_GB2312" w:cs="宋体"/>
          <w:b w:val="0"/>
          <w:sz w:val="32"/>
          <w:szCs w:val="32"/>
          <w:lang w:eastAsia="zh-CN"/>
        </w:rPr>
        <w:t>“</w:t>
      </w:r>
      <w:r>
        <w:rPr>
          <w:rFonts w:ascii="Times New Roman" w:eastAsia="仿宋_GB2312" w:cs="宋体"/>
          <w:b w:val="0"/>
          <w:sz w:val="32"/>
          <w:szCs w:val="32"/>
        </w:rPr>
        <w:t>公务接待</w:t>
      </w:r>
      <w:r>
        <w:rPr>
          <w:rFonts w:hint="eastAsia" w:ascii="Times New Roman" w:eastAsia="仿宋_GB2312" w:cs="宋体"/>
          <w:b w:val="0"/>
          <w:sz w:val="32"/>
          <w:szCs w:val="32"/>
          <w:lang w:eastAsia="zh-CN"/>
        </w:rPr>
        <w:t>”</w:t>
      </w:r>
      <w:r>
        <w:rPr>
          <w:rFonts w:ascii="Times New Roman" w:eastAsia="仿宋_GB2312" w:cs="宋体"/>
          <w:b w:val="0"/>
          <w:sz w:val="32"/>
          <w:szCs w:val="32"/>
        </w:rPr>
        <w:t>经费支出；较上年度增加0.00万元，增长0.00%,主要原因是未发生</w:t>
      </w:r>
      <w:r>
        <w:rPr>
          <w:rFonts w:hint="eastAsia" w:ascii="Times New Roman" w:eastAsia="仿宋_GB2312" w:cs="宋体"/>
          <w:b w:val="0"/>
          <w:sz w:val="32"/>
          <w:szCs w:val="32"/>
          <w:lang w:eastAsia="zh-CN"/>
        </w:rPr>
        <w:t>“</w:t>
      </w:r>
      <w:r>
        <w:rPr>
          <w:rFonts w:ascii="Times New Roman" w:eastAsia="仿宋_GB2312" w:cs="宋体"/>
          <w:b w:val="0"/>
          <w:sz w:val="32"/>
          <w:szCs w:val="32"/>
        </w:rPr>
        <w:t>公务接待</w:t>
      </w:r>
      <w:r>
        <w:rPr>
          <w:rFonts w:hint="eastAsia" w:ascii="Times New Roman" w:eastAsia="仿宋_GB2312" w:cs="宋体"/>
          <w:b w:val="0"/>
          <w:sz w:val="32"/>
          <w:szCs w:val="32"/>
          <w:lang w:eastAsia="zh-CN"/>
        </w:rPr>
        <w:t>”</w:t>
      </w:r>
      <w:r>
        <w:rPr>
          <w:rFonts w:ascii="Times New Roman" w:eastAsia="仿宋_GB2312" w:cs="宋体"/>
          <w:b w:val="0"/>
          <w:sz w:val="32"/>
          <w:szCs w:val="32"/>
        </w:rPr>
        <w:t>经费支出。本年度共发生公务接待0批次、0人次。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本部门2025年度机关运行经费</w:t>
      </w:r>
      <w:r>
        <w:rPr>
          <w:rFonts w:ascii="Times New Roman" w:eastAsia="仿宋_GB2312" w:cs="宋体"/>
          <w:b w:val="0"/>
          <w:sz w:val="32"/>
          <w:szCs w:val="32"/>
        </w:rPr>
        <w:t>支出236.60万元，较2024年度增加0.34万元，增长0.1%。主要原因是业务需要，差旅支出有少量增加。</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142,536.90万元，从采购类型来看，政府采购货物支出147.43万元、政府采购工程支出136,685.39万元、政府采购服务支出5,704.09万元。授予中小企业合同金额102,535.15万元，占政府采购支出总额的71.9%，其中授予小微企业合同金额65,670.76万元，占政府采购支出总额的46.1%。</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截至2025年12月31日，本部门共有车辆96辆，比上年增加10辆，主要是</w:t>
      </w:r>
      <w:r>
        <w:rPr>
          <w:rFonts w:hint="eastAsia" w:ascii="Times New Roman" w:eastAsia="仿宋_GB2312"/>
          <w:b w:val="0"/>
          <w:sz w:val="32"/>
          <w:szCs w:val="32"/>
          <w:lang w:eastAsia="zh-CN"/>
        </w:rPr>
        <w:t>退租后，新购置公务用车</w:t>
      </w:r>
      <w:r>
        <w:rPr>
          <w:rFonts w:ascii="Times New Roman" w:eastAsia="仿宋_GB2312"/>
          <w:b w:val="0"/>
          <w:sz w:val="32"/>
          <w:szCs w:val="32"/>
        </w:rPr>
        <w:t>。其中，机要通信用车</w:t>
      </w:r>
      <w:r>
        <w:rPr>
          <w:rFonts w:ascii="Times New Roman" w:eastAsia="仿宋_GB2312" w:cs="宋体"/>
          <w:b w:val="0"/>
          <w:sz w:val="32"/>
          <w:szCs w:val="32"/>
        </w:rPr>
        <w:t>5辆，应急保障用车12辆，执法执勤用车4辆，离退休干部用车4辆，其他用车71辆，其他用车主要是其他业务用车。单位价值100万元（含）以上设备（不含车辆）4台（套）。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cs="宋体"/>
          <w:b w:val="0"/>
          <w:sz w:val="32"/>
          <w:szCs w:val="32"/>
        </w:rPr>
        <w:t>根据预算绩效管理要求，本部门组织对2025年度本级预算项目支出全面开展绩效自评，共涉及资金</w:t>
      </w:r>
      <w:r>
        <w:rPr>
          <w:rFonts w:hint="eastAsia" w:ascii="Times New Roman" w:eastAsia="仿宋_GB2312" w:cs="宋体"/>
          <w:b w:val="0"/>
          <w:sz w:val="32"/>
          <w:szCs w:val="32"/>
        </w:rPr>
        <w:t>328636</w:t>
      </w:r>
      <w:r>
        <w:rPr>
          <w:rFonts w:hint="eastAsia" w:ascii="Times New Roman" w:eastAsia="仿宋_GB2312" w:cs="宋体"/>
          <w:b w:val="0"/>
          <w:sz w:val="32"/>
          <w:szCs w:val="32"/>
          <w:lang w:val="en-US" w:eastAsia="zh-CN"/>
        </w:rPr>
        <w:t>.</w:t>
      </w:r>
      <w:r>
        <w:rPr>
          <w:rFonts w:hint="eastAsia" w:ascii="Times New Roman" w:eastAsia="仿宋_GB2312" w:cs="宋体"/>
          <w:b w:val="0"/>
          <w:sz w:val="32"/>
          <w:szCs w:val="32"/>
        </w:rPr>
        <w:t>29</w:t>
      </w:r>
      <w:r>
        <w:rPr>
          <w:rFonts w:ascii="Times New Roman" w:eastAsia="仿宋_GB2312" w:cs="宋体"/>
          <w:b w:val="0"/>
          <w:sz w:val="32"/>
          <w:szCs w:val="32"/>
        </w:rPr>
        <w:t>万元。其中，一般公共预算项目</w:t>
      </w:r>
      <w:r>
        <w:rPr>
          <w:rFonts w:hint="eastAsia" w:ascii="Times New Roman" w:eastAsia="仿宋_GB2312" w:cs="宋体"/>
          <w:b w:val="0"/>
          <w:sz w:val="32"/>
          <w:szCs w:val="32"/>
          <w:lang w:val="en-US" w:eastAsia="zh-CN"/>
        </w:rPr>
        <w:t>161</w:t>
      </w:r>
      <w:r>
        <w:rPr>
          <w:rFonts w:ascii="Times New Roman" w:eastAsia="仿宋_GB2312" w:cs="宋体"/>
          <w:b w:val="0"/>
          <w:sz w:val="32"/>
          <w:szCs w:val="32"/>
        </w:rPr>
        <w:t>个，涉及资金</w:t>
      </w:r>
      <w:r>
        <w:rPr>
          <w:rFonts w:hint="eastAsia" w:ascii="Times New Roman" w:eastAsia="仿宋_GB2312" w:cs="宋体"/>
          <w:b w:val="0"/>
          <w:sz w:val="32"/>
          <w:szCs w:val="32"/>
        </w:rPr>
        <w:t>1,731,058,060.88</w:t>
      </w:r>
      <w:r>
        <w:rPr>
          <w:rFonts w:ascii="Times New Roman" w:eastAsia="仿宋_GB2312" w:cs="宋体"/>
          <w:b w:val="0"/>
          <w:sz w:val="32"/>
          <w:szCs w:val="32"/>
        </w:rPr>
        <w:t>万元，占一般公共预算项目支出总额的</w:t>
      </w:r>
      <w:r>
        <w:rPr>
          <w:rFonts w:hint="eastAsia" w:ascii="Times New Roman" w:eastAsia="仿宋_GB2312" w:cs="宋体"/>
          <w:b w:val="0"/>
          <w:sz w:val="32"/>
          <w:szCs w:val="32"/>
          <w:lang w:val="en-US" w:eastAsia="zh-CN"/>
        </w:rPr>
        <w:t>100</w:t>
      </w:r>
      <w:r>
        <w:rPr>
          <w:rFonts w:ascii="Times New Roman" w:eastAsia="仿宋_GB2312" w:cs="宋体"/>
          <w:b w:val="0"/>
          <w:sz w:val="32"/>
          <w:szCs w:val="32"/>
        </w:rPr>
        <w:t>%；政府性基金预算项目</w:t>
      </w:r>
      <w:r>
        <w:rPr>
          <w:rFonts w:hint="eastAsia" w:ascii="Times New Roman" w:eastAsia="仿宋_GB2312" w:cs="宋体"/>
          <w:b w:val="0"/>
          <w:sz w:val="32"/>
          <w:szCs w:val="32"/>
          <w:lang w:val="en-US" w:eastAsia="zh-CN"/>
        </w:rPr>
        <w:t>19</w:t>
      </w:r>
      <w:r>
        <w:rPr>
          <w:rFonts w:ascii="Times New Roman" w:eastAsia="仿宋_GB2312" w:cs="宋体"/>
          <w:b w:val="0"/>
          <w:sz w:val="32"/>
          <w:szCs w:val="32"/>
        </w:rPr>
        <w:t>个，涉及资金</w:t>
      </w:r>
      <w:r>
        <w:rPr>
          <w:rFonts w:hint="eastAsia" w:ascii="Times New Roman" w:eastAsia="仿宋_GB2312" w:cs="宋体"/>
          <w:b w:val="0"/>
          <w:sz w:val="32"/>
          <w:szCs w:val="32"/>
        </w:rPr>
        <w:t>1,468,492,509.95</w:t>
      </w:r>
      <w:r>
        <w:rPr>
          <w:rFonts w:ascii="Times New Roman" w:eastAsia="仿宋_GB2312" w:cs="宋体"/>
          <w:b w:val="0"/>
          <w:sz w:val="32"/>
          <w:szCs w:val="32"/>
        </w:rPr>
        <w:t>万元，占政府性基金预算项目支出总额的</w:t>
      </w:r>
      <w:r>
        <w:rPr>
          <w:rFonts w:hint="eastAsia" w:ascii="Times New Roman" w:eastAsia="仿宋_GB2312" w:cs="宋体"/>
          <w:b w:val="0"/>
          <w:sz w:val="32"/>
          <w:szCs w:val="32"/>
          <w:lang w:val="en-US" w:eastAsia="zh-CN"/>
        </w:rPr>
        <w:t>100</w:t>
      </w:r>
      <w:r>
        <w:rPr>
          <w:rFonts w:ascii="Times New Roman" w:eastAsia="仿宋_GB2312" w:cs="宋体"/>
          <w:b w:val="0"/>
          <w:sz w:val="32"/>
          <w:szCs w:val="32"/>
        </w:rPr>
        <w:t>%</w:t>
      </w:r>
      <w:r>
        <w:rPr>
          <w:rFonts w:hint="eastAsia" w:ascii="Times New Roman" w:eastAsia="仿宋_GB2312" w:cs="宋体"/>
          <w:b w:val="0"/>
          <w:sz w:val="32"/>
          <w:szCs w:val="32"/>
          <w:lang w:eastAsia="zh-CN"/>
        </w:rPr>
        <w:t>，其他收入项目</w:t>
      </w:r>
      <w:r>
        <w:rPr>
          <w:rFonts w:hint="eastAsia" w:ascii="Times New Roman" w:eastAsia="仿宋_GB2312" w:cs="宋体"/>
          <w:b w:val="0"/>
          <w:sz w:val="32"/>
          <w:szCs w:val="32"/>
          <w:lang w:val="en-US" w:eastAsia="zh-CN"/>
        </w:rPr>
        <w:t>3个，涉及资金86,812,337.74万元，占其他收入支出总额的100%</w:t>
      </w:r>
      <w:r>
        <w:rPr>
          <w:rFonts w:ascii="Times New Roman" w:eastAsia="仿宋_GB2312" w:cs="宋体"/>
          <w:b w:val="0"/>
          <w:sz w:val="32"/>
          <w:szCs w:val="32"/>
        </w:rPr>
        <w:t>。</w:t>
      </w:r>
    </w:p>
    <w:p>
      <w:pPr>
        <w:widowControl/>
        <w:spacing w:before="0" w:beforeLines="0" w:beforeAutospacing="0" w:after="0" w:afterLines="0" w:afterAutospacing="0" w:line="360" w:lineRule="auto"/>
        <w:ind w:firstLine="643" w:firstLineChars="200"/>
        <w:jc w:val="left"/>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（二）部门决算中</w:t>
      </w:r>
      <w:bookmarkStart w:id="0" w:name="_GoBack"/>
      <w:bookmarkEnd w:id="0"/>
      <w:r>
        <w:rPr>
          <w:rFonts w:hint="eastAsia" w:ascii="楷体_GB2312" w:hAnsi="楷体_GB2312" w:eastAsia="楷体_GB2312" w:cs="楷体_GB2312"/>
          <w:b/>
          <w:sz w:val="32"/>
          <w:szCs w:val="32"/>
        </w:rPr>
        <w:t>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s="宋体"/>
          <w:b w:val="0"/>
          <w:sz w:val="32"/>
          <w:szCs w:val="32"/>
        </w:rPr>
      </w:pPr>
      <w:r>
        <w:rPr>
          <w:rFonts w:ascii="Times New Roman" w:eastAsia="仿宋_GB2312"/>
          <w:b w:val="0"/>
          <w:sz w:val="32"/>
          <w:szCs w:val="32"/>
        </w:rPr>
        <w:t>本部门在今年</w:t>
      </w:r>
      <w:r>
        <w:rPr>
          <w:rFonts w:ascii="Times New Roman" w:eastAsia="仿宋_GB2312" w:cs="宋体"/>
          <w:b w:val="0"/>
          <w:sz w:val="32"/>
          <w:szCs w:val="32"/>
        </w:rPr>
        <w:t>部门决算公开中反映</w:t>
      </w:r>
      <w:r>
        <w:rPr>
          <w:rFonts w:hint="eastAsia" w:ascii="Times New Roman" w:eastAsia="仿宋_GB2312" w:cs="宋体"/>
          <w:b w:val="0"/>
          <w:sz w:val="32"/>
          <w:szCs w:val="32"/>
          <w:lang w:val="en-US" w:eastAsia="zh-CN"/>
        </w:rPr>
        <w:t>公交运营补贴、省道S339赵县后田村至元氏县铁屯村段改建工程</w:t>
      </w:r>
      <w:r>
        <w:rPr>
          <w:rFonts w:ascii="Times New Roman" w:eastAsia="仿宋_GB2312" w:cs="宋体"/>
          <w:b w:val="0"/>
          <w:sz w:val="32"/>
          <w:szCs w:val="32"/>
        </w:rPr>
        <w:t>等</w:t>
      </w:r>
      <w:r>
        <w:rPr>
          <w:rFonts w:hint="eastAsia" w:ascii="Times New Roman" w:eastAsia="仿宋_GB2312" w:cs="宋体"/>
          <w:b w:val="0"/>
          <w:sz w:val="32"/>
          <w:szCs w:val="32"/>
          <w:lang w:val="en-US" w:eastAsia="zh-CN"/>
        </w:rPr>
        <w:t>184</w:t>
      </w:r>
      <w:r>
        <w:rPr>
          <w:rFonts w:ascii="Times New Roman" w:eastAsia="仿宋_GB2312" w:cs="宋体"/>
          <w:b w:val="0"/>
          <w:sz w:val="32"/>
          <w:szCs w:val="32"/>
        </w:rPr>
        <w:t>个项目绩效自评结果。</w:t>
      </w:r>
    </w:p>
    <w:p>
      <w:pPr>
        <w:widowControl/>
        <w:numPr>
          <w:ilvl w:val="0"/>
          <w:numId w:val="0"/>
        </w:numPr>
        <w:spacing w:before="0" w:beforeLines="0" w:beforeAutospacing="0" w:after="0" w:afterLines="0" w:afterAutospacing="0" w:line="360" w:lineRule="auto"/>
        <w:ind w:firstLine="640"/>
        <w:jc w:val="left"/>
        <w:rPr>
          <w:rFonts w:ascii="Times New Roman" w:eastAsia="仿宋_GB2312"/>
          <w:b w:val="0"/>
          <w:sz w:val="32"/>
          <w:szCs w:val="32"/>
        </w:rPr>
      </w:pPr>
      <w:r>
        <w:rPr>
          <w:rFonts w:hint="eastAsia" w:ascii="Times New Roman" w:eastAsia="仿宋_GB2312"/>
          <w:b w:val="0"/>
          <w:sz w:val="32"/>
          <w:szCs w:val="32"/>
          <w:lang w:val="en-US" w:eastAsia="zh-CN"/>
        </w:rPr>
        <w:t>1.河北省石家庄至冀晋界公路债务项目绩效自评结果：</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河北省石家庄至冀晋界公路债务</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150300</w:t>
      </w:r>
      <w:r>
        <w:rPr>
          <w:rFonts w:ascii="Times New Roman" w:eastAsia="仿宋_GB2312"/>
          <w:b w:val="0"/>
          <w:sz w:val="32"/>
          <w:szCs w:val="32"/>
        </w:rPr>
        <w:t>万元，执行数为</w:t>
      </w:r>
      <w:r>
        <w:rPr>
          <w:rFonts w:hint="eastAsia" w:ascii="Times New Roman" w:eastAsia="仿宋_GB2312"/>
          <w:b w:val="0"/>
          <w:sz w:val="32"/>
          <w:szCs w:val="32"/>
          <w:lang w:val="en-US" w:eastAsia="zh-CN"/>
        </w:rPr>
        <w:t>150300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及时</w:t>
      </w:r>
      <w:r>
        <w:rPr>
          <w:rFonts w:hint="eastAsia" w:ascii="Times New Roman" w:eastAsia="仿宋_GB2312"/>
          <w:b w:val="0"/>
          <w:sz w:val="32"/>
          <w:szCs w:val="32"/>
          <w:lang w:eastAsia="zh-CN"/>
        </w:rPr>
        <w:t>足额</w:t>
      </w:r>
      <w:r>
        <w:rPr>
          <w:rFonts w:hint="eastAsia" w:ascii="Times New Roman" w:eastAsia="仿宋_GB2312"/>
          <w:b w:val="0"/>
          <w:sz w:val="32"/>
          <w:szCs w:val="32"/>
        </w:rPr>
        <w:t>支付银行贷款</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2.公交运营补贴项目</w:t>
      </w:r>
      <w:r>
        <w:rPr>
          <w:rFonts w:ascii="Times New Roman" w:eastAsia="仿宋_GB2312"/>
          <w:b w:val="0"/>
          <w:sz w:val="32"/>
          <w:szCs w:val="32"/>
        </w:rPr>
        <w:t>绩效自评情况：根据年初设定的绩效目标，</w:t>
      </w:r>
      <w:r>
        <w:rPr>
          <w:rFonts w:hint="eastAsia" w:ascii="Times New Roman" w:eastAsia="仿宋_GB2312"/>
          <w:b w:val="0"/>
          <w:sz w:val="32"/>
          <w:szCs w:val="32"/>
          <w:lang w:val="en-US" w:eastAsia="zh-CN"/>
        </w:rPr>
        <w:t>公交运营补贴</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99.9分</w:t>
      </w:r>
      <w:r>
        <w:rPr>
          <w:rFonts w:ascii="Times New Roman" w:eastAsia="仿宋_GB2312"/>
          <w:b w:val="0"/>
          <w:sz w:val="32"/>
          <w:szCs w:val="32"/>
        </w:rPr>
        <w:t>。全年预算数为</w:t>
      </w:r>
      <w:r>
        <w:rPr>
          <w:rFonts w:hint="eastAsia" w:ascii="Times New Roman" w:eastAsia="仿宋_GB2312"/>
          <w:b w:val="0"/>
          <w:sz w:val="32"/>
          <w:szCs w:val="32"/>
          <w:lang w:val="en-US" w:eastAsia="zh-CN"/>
        </w:rPr>
        <w:t>90000</w:t>
      </w:r>
      <w:r>
        <w:rPr>
          <w:rFonts w:ascii="Times New Roman" w:eastAsia="仿宋_GB2312"/>
          <w:b w:val="0"/>
          <w:sz w:val="32"/>
          <w:szCs w:val="32"/>
        </w:rPr>
        <w:t>万元，执行数为</w:t>
      </w:r>
      <w:r>
        <w:rPr>
          <w:rFonts w:hint="eastAsia" w:ascii="Times New Roman" w:eastAsia="仿宋_GB2312"/>
          <w:b w:val="0"/>
          <w:sz w:val="32"/>
          <w:szCs w:val="32"/>
          <w:lang w:val="en-US" w:eastAsia="zh-CN"/>
        </w:rPr>
        <w:t>85836</w:t>
      </w:r>
      <w:r>
        <w:rPr>
          <w:rFonts w:ascii="Times New Roman" w:eastAsia="仿宋_GB2312"/>
          <w:b w:val="0"/>
          <w:sz w:val="32"/>
          <w:szCs w:val="32"/>
        </w:rPr>
        <w:t>万元，</w:t>
      </w:r>
      <w:r>
        <w:rPr>
          <w:rFonts w:hint="eastAsia" w:ascii="Times New Roman" w:eastAsia="仿宋_GB2312"/>
          <w:b w:val="0"/>
          <w:sz w:val="32"/>
          <w:szCs w:val="32"/>
        </w:rPr>
        <w:t>结余交回财政数</w:t>
      </w:r>
      <w:r>
        <w:rPr>
          <w:rFonts w:hint="eastAsia" w:ascii="Times New Roman" w:eastAsia="仿宋_GB2312"/>
          <w:b w:val="0"/>
          <w:sz w:val="32"/>
          <w:szCs w:val="32"/>
          <w:lang w:val="en-US" w:eastAsia="zh-CN"/>
        </w:rPr>
        <w:t>4164万元，</w:t>
      </w:r>
      <w:r>
        <w:rPr>
          <w:rFonts w:ascii="Times New Roman" w:eastAsia="仿宋_GB2312"/>
          <w:b w:val="0"/>
          <w:sz w:val="32"/>
          <w:szCs w:val="32"/>
        </w:rPr>
        <w:t>完成预算的</w:t>
      </w:r>
      <w:r>
        <w:rPr>
          <w:rFonts w:hint="eastAsia" w:ascii="Times New Roman" w:eastAsia="仿宋_GB2312"/>
          <w:b w:val="0"/>
          <w:sz w:val="32"/>
          <w:szCs w:val="32"/>
          <w:lang w:val="en-US" w:eastAsia="zh-CN"/>
        </w:rPr>
        <w:t>95.37</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2025年运营线路条数达到246条，年载客里程完成年度计划里程的90%以上，为城市公交正常运营提供保障。</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3.</w:t>
      </w:r>
      <w:r>
        <w:rPr>
          <w:rFonts w:hint="eastAsia" w:ascii="Times New Roman" w:eastAsia="仿宋_GB2312"/>
          <w:b w:val="0"/>
          <w:sz w:val="32"/>
          <w:szCs w:val="32"/>
        </w:rPr>
        <w:t>重点城市重型柴油货车新能源替代奖励（专项资金）项目绩效自评情况：根据年初设定的绩效目标，重点城市重型柴油货车新能源替代奖励（专项资金）项目绩效自评得分为100分。全年预算数为1951万元，执行数为1951万元，完成预算的100%。项目绩效目标完成情况是年内新登记注册并在省内运营的新能源重型货车4123辆，2024新增新能源重型货车占比达到20%以上。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4.政府还贷高速公路运营经费项目绩效自评情况：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政府还贷高速公路运营经费</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45500</w:t>
      </w:r>
      <w:r>
        <w:rPr>
          <w:rFonts w:ascii="Times New Roman" w:eastAsia="仿宋_GB2312"/>
          <w:b w:val="0"/>
          <w:sz w:val="32"/>
          <w:szCs w:val="32"/>
        </w:rPr>
        <w:t>万元，执行数为</w:t>
      </w:r>
      <w:r>
        <w:rPr>
          <w:rFonts w:hint="eastAsia" w:ascii="Times New Roman" w:eastAsia="仿宋_GB2312"/>
          <w:b w:val="0"/>
          <w:sz w:val="32"/>
          <w:szCs w:val="32"/>
          <w:lang w:val="en-US" w:eastAsia="zh-CN"/>
        </w:rPr>
        <w:t>45500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保障政府还贷高速公路里程</w:t>
      </w:r>
      <w:r>
        <w:rPr>
          <w:rFonts w:hint="eastAsia" w:ascii="Times New Roman" w:eastAsia="仿宋_GB2312"/>
          <w:b w:val="0"/>
          <w:sz w:val="32"/>
          <w:szCs w:val="32"/>
          <w:lang w:val="en-US" w:eastAsia="zh-CN"/>
        </w:rPr>
        <w:t>259公里，</w:t>
      </w:r>
      <w:r>
        <w:rPr>
          <w:rFonts w:hint="eastAsia" w:ascii="Times New Roman" w:eastAsia="仿宋_GB2312"/>
          <w:b w:val="0"/>
          <w:sz w:val="32"/>
          <w:szCs w:val="32"/>
        </w:rPr>
        <w:t>及时拨付高速公路运营养护等资金，保障高速公路正常运营</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spacing w:before="0" w:beforeLines="0" w:beforeAutospacing="0" w:after="0" w:afterLines="0" w:afterAutospacing="0" w:line="360" w:lineRule="auto"/>
        <w:ind w:firstLine="640" w:firstLineChars="200"/>
        <w:jc w:val="both"/>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5.复兴大街及北三环市政化改造项目资金项目绩效自评情况：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复兴大街及北三环市政化改造项目资金</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12300</w:t>
      </w:r>
      <w:r>
        <w:rPr>
          <w:rFonts w:ascii="Times New Roman" w:eastAsia="仿宋_GB2312"/>
          <w:b w:val="0"/>
          <w:sz w:val="32"/>
          <w:szCs w:val="32"/>
        </w:rPr>
        <w:t>万元，执行数为</w:t>
      </w:r>
      <w:r>
        <w:rPr>
          <w:rFonts w:hint="eastAsia" w:ascii="Times New Roman" w:eastAsia="仿宋_GB2312"/>
          <w:b w:val="0"/>
          <w:sz w:val="32"/>
          <w:szCs w:val="32"/>
          <w:lang w:val="en-US" w:eastAsia="zh-CN"/>
        </w:rPr>
        <w:t>12300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新修建公路里程数</w:t>
      </w:r>
      <w:r>
        <w:rPr>
          <w:rFonts w:hint="eastAsia" w:ascii="Times New Roman" w:eastAsia="仿宋_GB2312"/>
          <w:b w:val="0"/>
          <w:sz w:val="32"/>
          <w:szCs w:val="32"/>
          <w:lang w:eastAsia="zh-CN"/>
        </w:rPr>
        <w:t>为</w:t>
      </w:r>
      <w:r>
        <w:rPr>
          <w:rFonts w:hint="eastAsia" w:ascii="Times New Roman" w:eastAsia="仿宋_GB2312"/>
          <w:b w:val="0"/>
          <w:sz w:val="32"/>
          <w:szCs w:val="32"/>
          <w:lang w:val="en-US" w:eastAsia="zh-CN"/>
        </w:rPr>
        <w:t>70.5公里，</w:t>
      </w:r>
      <w:r>
        <w:rPr>
          <w:rFonts w:hint="eastAsia" w:ascii="Times New Roman" w:eastAsia="仿宋_GB2312"/>
          <w:b w:val="0"/>
          <w:sz w:val="32"/>
          <w:szCs w:val="32"/>
        </w:rPr>
        <w:t>按照项目批复和工程进度拨付建设资金，确保城市快速路按期完成，提升道路通行能力</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6</w:t>
      </w:r>
      <w:r>
        <w:rPr>
          <w:rFonts w:hint="default" w:ascii="Times New Roman" w:eastAsia="仿宋_GB2312"/>
          <w:b w:val="0"/>
          <w:sz w:val="32"/>
          <w:szCs w:val="32"/>
          <w:lang w:val="en-US" w:eastAsia="zh-CN"/>
        </w:rPr>
        <w:t>.</w:t>
      </w:r>
      <w:r>
        <w:rPr>
          <w:rFonts w:hint="eastAsia" w:ascii="Times New Roman" w:eastAsia="仿宋_GB2312"/>
          <w:b w:val="0"/>
          <w:sz w:val="32"/>
          <w:szCs w:val="32"/>
          <w:lang w:val="en-US" w:eastAsia="zh-CN"/>
        </w:rPr>
        <w:t>市区至机场免费通行项目资金项目绩效自评情况：根据年初设定的绩效目标，市区至机场免费通行项目资金项目绩效自评得分为100分。全年预算数为2060万元，执行数为2060万元，完成预算的100%。项目绩效目标完成情况：保障免费通行路段公里数21.48公里。通过开展市区至机场惠民免费工作，提升了人民群众满意度和获得感。未发现问题。</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rPr>
      </w:pPr>
      <w:r>
        <w:rPr>
          <w:rFonts w:hint="eastAsia" w:ascii="Times New Roman" w:eastAsia="仿宋_GB2312"/>
          <w:b w:val="0"/>
          <w:color w:val="auto"/>
          <w:sz w:val="32"/>
          <w:szCs w:val="32"/>
          <w:lang w:val="en-US" w:eastAsia="zh-CN"/>
        </w:rPr>
        <w:t>7</w:t>
      </w:r>
      <w:r>
        <w:rPr>
          <w:rFonts w:hint="eastAsia" w:ascii="Times New Roman" w:eastAsia="仿宋_GB2312"/>
          <w:b w:val="0"/>
          <w:color w:val="auto"/>
          <w:sz w:val="32"/>
          <w:szCs w:val="32"/>
        </w:rPr>
        <w:t>.2025年普通国省干线公路建设养护发展专项资金（大中修工程补助资金）项目绩效自评情况：根据年初设定的绩效目标，2025年普通国省干线公路建设养护发展专项资金（大中修工程补助资金</w:t>
      </w:r>
      <w:r>
        <w:rPr>
          <w:rFonts w:hint="eastAsia" w:ascii="Times New Roman" w:eastAsia="仿宋_GB2312"/>
          <w:b w:val="0"/>
          <w:color w:val="auto"/>
          <w:sz w:val="32"/>
          <w:szCs w:val="32"/>
          <w:lang w:eastAsia="zh-CN"/>
        </w:rPr>
        <w:t>）</w:t>
      </w:r>
      <w:r>
        <w:rPr>
          <w:rFonts w:hint="eastAsia" w:ascii="Times New Roman" w:eastAsia="仿宋_GB2312"/>
          <w:b w:val="0"/>
          <w:color w:val="auto"/>
          <w:sz w:val="32"/>
          <w:szCs w:val="32"/>
        </w:rPr>
        <w:t>项目绩效自评得分为99.4分（绩效自评表附后）。全年预算数为4965.78万元，执行数为4651.47万元，完成预算的93.7%。项目绩效目标完成情况：一是工程已完工，工程质量验收合格，通过实施该工程，恢复原设计功能，通行状况良好，施工中无环保处罚；二是提升基本公共服务水平，群众满意度达到98%。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val="en-US" w:eastAsia="zh-CN"/>
        </w:rPr>
        <w:t>8.城市交通发展奖励资金(新能源公交车运营补贴)项目绩效自评情况：</w:t>
      </w:r>
      <w:r>
        <w:rPr>
          <w:rFonts w:ascii="Times New Roman" w:eastAsia="仿宋_GB2312"/>
          <w:b w:val="0"/>
          <w:sz w:val="32"/>
          <w:szCs w:val="32"/>
        </w:rPr>
        <w:t>根据年初设定的绩效目标，</w:t>
      </w:r>
      <w:r>
        <w:rPr>
          <w:rFonts w:hint="eastAsia" w:ascii="Times New Roman" w:eastAsia="仿宋_GB2312"/>
          <w:b w:val="0"/>
          <w:sz w:val="32"/>
          <w:szCs w:val="32"/>
          <w:lang w:val="en-US" w:eastAsia="zh-CN"/>
        </w:rPr>
        <w:t>城市交通发展奖励资金(新能源公交车运营补贴)</w:t>
      </w:r>
      <w:r>
        <w:rPr>
          <w:rFonts w:hint="eastAsia" w:ascii="Times New Roman" w:eastAsia="仿宋_GB2312"/>
          <w:b w:val="0"/>
          <w:sz w:val="32"/>
          <w:szCs w:val="32"/>
          <w:lang w:eastAsia="zh-CN"/>
        </w:rPr>
        <w:t>项目绩效</w:t>
      </w:r>
      <w:r>
        <w:rPr>
          <w:rFonts w:ascii="Times New Roman" w:eastAsia="仿宋_GB2312"/>
          <w:b w:val="0"/>
          <w:sz w:val="32"/>
          <w:szCs w:val="32"/>
        </w:rPr>
        <w:t>自评得分为</w:t>
      </w:r>
      <w:r>
        <w:rPr>
          <w:rFonts w:hint="eastAsia" w:ascii="Times New Roman" w:eastAsia="仿宋_GB2312"/>
          <w:b w:val="0"/>
          <w:sz w:val="32"/>
          <w:szCs w:val="32"/>
          <w:lang w:val="en-US" w:eastAsia="zh-CN"/>
        </w:rPr>
        <w:t>100分</w:t>
      </w:r>
      <w:r>
        <w:rPr>
          <w:rFonts w:ascii="Times New Roman" w:eastAsia="仿宋_GB2312"/>
          <w:b w:val="0"/>
          <w:sz w:val="32"/>
          <w:szCs w:val="32"/>
        </w:rPr>
        <w:t>。全年预算数为</w:t>
      </w:r>
      <w:r>
        <w:rPr>
          <w:rFonts w:hint="eastAsia" w:ascii="Times New Roman" w:eastAsia="仿宋_GB2312"/>
          <w:b w:val="0"/>
          <w:sz w:val="32"/>
          <w:szCs w:val="32"/>
          <w:lang w:val="en-US" w:eastAsia="zh-CN"/>
        </w:rPr>
        <w:t>4885.44</w:t>
      </w:r>
      <w:r>
        <w:rPr>
          <w:rFonts w:ascii="Times New Roman" w:eastAsia="仿宋_GB2312"/>
          <w:b w:val="0"/>
          <w:sz w:val="32"/>
          <w:szCs w:val="32"/>
        </w:rPr>
        <w:t>万元，执行数为</w:t>
      </w:r>
      <w:r>
        <w:rPr>
          <w:rFonts w:hint="eastAsia" w:ascii="Times New Roman" w:eastAsia="仿宋_GB2312"/>
          <w:b w:val="0"/>
          <w:sz w:val="32"/>
          <w:szCs w:val="32"/>
          <w:lang w:val="en-US" w:eastAsia="zh-CN"/>
        </w:rPr>
        <w:t>4885.44</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eastAsia="zh-CN"/>
        </w:rPr>
        <w:t>是</w:t>
      </w:r>
      <w:r>
        <w:rPr>
          <w:rFonts w:hint="eastAsia" w:ascii="Times New Roman" w:eastAsia="仿宋_GB2312"/>
          <w:b w:val="0"/>
          <w:sz w:val="32"/>
          <w:szCs w:val="32"/>
        </w:rPr>
        <w:t>新能源公交车运营补贴的标台公里</w:t>
      </w:r>
      <w:r>
        <w:rPr>
          <w:rFonts w:hint="eastAsia" w:ascii="Times New Roman" w:eastAsia="仿宋_GB2312"/>
          <w:b w:val="0"/>
          <w:sz w:val="32"/>
          <w:szCs w:val="32"/>
          <w:lang w:eastAsia="zh-CN"/>
        </w:rPr>
        <w:t>数为</w:t>
      </w:r>
      <w:r>
        <w:rPr>
          <w:rFonts w:hint="eastAsia" w:ascii="Times New Roman" w:eastAsia="仿宋_GB2312"/>
          <w:b w:val="0"/>
          <w:sz w:val="32"/>
          <w:szCs w:val="32"/>
          <w:lang w:val="en-US" w:eastAsia="zh-CN"/>
        </w:rPr>
        <w:t>17599.843公里，</w:t>
      </w:r>
      <w:r>
        <w:rPr>
          <w:rFonts w:hint="eastAsia" w:ascii="Times New Roman" w:eastAsia="仿宋_GB2312"/>
          <w:b w:val="0"/>
          <w:sz w:val="32"/>
          <w:szCs w:val="32"/>
        </w:rPr>
        <w:t>全市公交全部为新能源公交车运营</w:t>
      </w:r>
      <w:r>
        <w:rPr>
          <w:rFonts w:ascii="Times New Roman" w:eastAsia="仿宋_GB2312"/>
          <w:b w:val="0"/>
          <w:sz w:val="32"/>
          <w:szCs w:val="32"/>
        </w:rPr>
        <w:t>。</w:t>
      </w:r>
      <w:r>
        <w:rPr>
          <w:rFonts w:hint="eastAsia" w:ascii="Times New Roman" w:eastAsia="仿宋_GB2312"/>
          <w:b w:val="0"/>
          <w:sz w:val="32"/>
          <w:szCs w:val="32"/>
          <w:lang w:eastAsia="zh-CN"/>
        </w:rPr>
        <w:t>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rPr>
      </w:pPr>
      <w:r>
        <w:rPr>
          <w:rFonts w:hint="eastAsia" w:ascii="Times New Roman" w:eastAsia="仿宋_GB2312" w:cs="宋体"/>
          <w:b w:val="0"/>
          <w:sz w:val="32"/>
          <w:szCs w:val="32"/>
          <w:lang w:val="en-US" w:eastAsia="zh-CN"/>
        </w:rPr>
        <w:t>9</w:t>
      </w:r>
      <w:r>
        <w:rPr>
          <w:rFonts w:hint="default" w:ascii="Times New Roman" w:eastAsia="仿宋_GB2312" w:cs="宋体"/>
          <w:b w:val="0"/>
          <w:sz w:val="32"/>
          <w:szCs w:val="32"/>
          <w:lang w:val="en-US" w:eastAsia="zh-CN"/>
        </w:rPr>
        <w:t>.</w:t>
      </w:r>
      <w:r>
        <w:rPr>
          <w:rFonts w:hint="eastAsia" w:ascii="Times New Roman" w:eastAsia="仿宋_GB2312" w:cs="宋体"/>
          <w:b w:val="0"/>
          <w:sz w:val="32"/>
          <w:szCs w:val="32"/>
          <w:lang w:val="en-US" w:eastAsia="zh-CN"/>
        </w:rPr>
        <w:t>省道S339赵县后田村至元氏县铁屯村段改建工程项目绩效自评情况：根据年初设定的绩效目标，省道S339赵县后田村至元氏县铁屯村段改建工程项目绩效自评得分为100分（绩效自评表附后）。全年预算数为4124万元，执行数为4124万元， 完成预算的100</w:t>
      </w:r>
      <w:r>
        <w:rPr>
          <w:rFonts w:hint="default" w:ascii="Times New Roman" w:eastAsia="仿宋_GB2312" w:cs="宋体"/>
          <w:b w:val="0"/>
          <w:sz w:val="32"/>
          <w:szCs w:val="32"/>
          <w:lang w:val="en-US" w:eastAsia="zh-CN"/>
        </w:rPr>
        <w:t>%</w:t>
      </w:r>
      <w:r>
        <w:rPr>
          <w:rFonts w:hint="eastAsia" w:ascii="Times New Roman" w:eastAsia="仿宋_GB2312" w:cs="宋体"/>
          <w:b w:val="0"/>
          <w:sz w:val="32"/>
          <w:szCs w:val="32"/>
          <w:lang w:val="en-US" w:eastAsia="zh-CN"/>
        </w:rPr>
        <w:t>。通过项目实施，完成了年初设定的各项绩效目标，提高了该路段的通行能力及改造段的公路质量。未发现问题。</w:t>
      </w:r>
    </w:p>
    <w:p>
      <w:pPr>
        <w:widowControl/>
        <w:numPr>
          <w:ilvl w:val="0"/>
          <w:numId w:val="0"/>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10.</w:t>
      </w:r>
      <w:r>
        <w:rPr>
          <w:rFonts w:hint="eastAsia" w:ascii="Times New Roman" w:eastAsia="仿宋_GB2312"/>
          <w:b w:val="0"/>
          <w:sz w:val="32"/>
          <w:szCs w:val="32"/>
        </w:rPr>
        <w:t>石家庄市国道京港线（G107）保定界至岗头段修复养护（中修）工程项目绩效自评情况：根据年初设定的绩效目标，石家庄市国道京港线（G107）保定界至岗头段修复养护（中修）工程项目绩效自评得分为99.99分（绩效自评表附后）。全年预算数为1830万元，执行数为1828.92万元，完成预算的99.9%。项目绩效目标完成情况：一是工程已全部完工，工程质量验收合格。通过实施该修复养护工程，有效恢复道路原设计功能，路段整体通行状况良好，施工全过程规范合规，未产生任何环保处罚问题；二是有效提升区域公路交通基本公共服务水平，极大改善群众出行条件，群众满意度达到99%。未发现问题。</w:t>
      </w: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spacing w:before="0" w:beforeLines="0" w:beforeAutospacing="0" w:after="0" w:afterLines="0" w:afterAutospacing="0" w:line="360" w:lineRule="auto"/>
        <w:ind w:firstLine="643" w:firstLineChars="2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附绩效自评表如下：</w:t>
      </w:r>
    </w:p>
    <w:p>
      <w:pPr>
        <w:widowControl/>
        <w:numPr>
          <w:ilvl w:val="0"/>
          <w:numId w:val="0"/>
        </w:numPr>
        <w:spacing w:before="0" w:beforeLines="0" w:beforeAutospacing="0" w:after="0" w:afterLines="0" w:afterAutospacing="0" w:line="360" w:lineRule="auto"/>
        <w:ind w:firstLine="643" w:firstLineChars="200"/>
        <w:jc w:val="left"/>
      </w:pPr>
      <w:r>
        <w:rPr>
          <w:rFonts w:hint="eastAsia" w:ascii="方正仿宋_GB2312" w:hAnsi="方正仿宋_GB2312" w:eastAsia="方正仿宋_GB2312" w:cs="方正仿宋_GB2312"/>
          <w:b/>
          <w:sz w:val="32"/>
          <w:szCs w:val="32"/>
          <w:lang w:val="en-US" w:eastAsia="zh-CN"/>
        </w:rPr>
        <w:t>1.</w:t>
      </w:r>
      <w:r>
        <w:rPr>
          <w:rFonts w:hint="eastAsia" w:ascii="方正仿宋_GB2312" w:hAnsi="方正仿宋_GB2312" w:eastAsia="方正仿宋_GB2312" w:cs="方正仿宋_GB2312"/>
          <w:b/>
          <w:sz w:val="32"/>
          <w:szCs w:val="32"/>
        </w:rPr>
        <w:t>河北省石家庄至冀晋界公路债务项目</w:t>
      </w:r>
      <w:r>
        <w:rPr>
          <w:rFonts w:hint="eastAsia" w:ascii="方正仿宋_GB2312" w:hAnsi="方正仿宋_GB2312" w:eastAsia="方正仿宋_GB2312" w:cs="方正仿宋_GB2312"/>
          <w:b/>
          <w:sz w:val="32"/>
          <w:szCs w:val="32"/>
          <w:lang w:val="en-US" w:eastAsia="zh-CN"/>
        </w:rPr>
        <w:t xml:space="preserve">   </w:t>
      </w:r>
      <w:r>
        <w:drawing>
          <wp:inline distT="0" distB="0" distL="114300" distR="114300">
            <wp:extent cx="5419725" cy="6517640"/>
            <wp:effectExtent l="0" t="0" r="5715" b="50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9"/>
                    <a:stretch>
                      <a:fillRect/>
                    </a:stretch>
                  </pic:blipFill>
                  <pic:spPr>
                    <a:xfrm>
                      <a:off x="0" y="0"/>
                      <a:ext cx="5419725" cy="6517640"/>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jc w:val="left"/>
      </w:pPr>
    </w:p>
    <w:p>
      <w:pPr>
        <w:widowControl/>
        <w:numPr>
          <w:ilvl w:val="0"/>
          <w:numId w:val="0"/>
        </w:numPr>
        <w:spacing w:before="0" w:beforeLines="0" w:beforeAutospacing="0" w:after="0" w:afterLines="0" w:afterAutospacing="0" w:line="360" w:lineRule="auto"/>
        <w:ind w:left="319" w:leftChars="133" w:firstLine="321" w:firstLineChars="100"/>
        <w:jc w:val="left"/>
        <w:rPr>
          <w:rFonts w:hint="default"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2.</w:t>
      </w:r>
      <w:r>
        <w:rPr>
          <w:rFonts w:hint="eastAsia" w:ascii="方正仿宋_GB2312" w:hAnsi="方正仿宋_GB2312" w:eastAsia="方正仿宋_GB2312" w:cs="方正仿宋_GB2312"/>
          <w:b/>
          <w:sz w:val="32"/>
          <w:szCs w:val="32"/>
          <w:lang w:eastAsia="zh-CN"/>
        </w:rPr>
        <w:t>公交运营补贴项目</w:t>
      </w:r>
      <w:r>
        <w:drawing>
          <wp:inline distT="0" distB="0" distL="114300" distR="114300">
            <wp:extent cx="5663565" cy="6759575"/>
            <wp:effectExtent l="0" t="0" r="5715" b="698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20"/>
                    <a:stretch>
                      <a:fillRect/>
                    </a:stretch>
                  </pic:blipFill>
                  <pic:spPr>
                    <a:xfrm>
                      <a:off x="0" y="0"/>
                      <a:ext cx="5663565" cy="675957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left="319" w:leftChars="133" w:firstLine="321" w:firstLineChars="100"/>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left="319" w:leftChars="133" w:firstLine="321" w:firstLineChars="1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3.</w:t>
      </w:r>
      <w:r>
        <w:rPr>
          <w:rFonts w:hint="eastAsia" w:ascii="方正仿宋_GB2312" w:hAnsi="方正仿宋_GB2312" w:eastAsia="方正仿宋_GB2312" w:cs="方正仿宋_GB2312"/>
          <w:b/>
          <w:sz w:val="32"/>
          <w:szCs w:val="32"/>
        </w:rPr>
        <w:t>重点城市重型柴油货车新能源替代奖励（专项资金）项目</w:t>
      </w:r>
      <w:r>
        <w:rPr>
          <w:rFonts w:hint="eastAsia" w:ascii="方正仿宋_GB2312" w:hAnsi="方正仿宋_GB2312" w:eastAsia="方正仿宋_GB2312" w:cs="方正仿宋_GB2312"/>
          <w:b/>
          <w:sz w:val="32"/>
          <w:szCs w:val="32"/>
          <w:lang w:val="en-US" w:eastAsia="zh-CN"/>
        </w:rPr>
        <w:t xml:space="preserve">          </w:t>
      </w:r>
    </w:p>
    <w:p>
      <w:pPr>
        <w:pStyle w:val="2"/>
        <w:numPr>
          <w:ilvl w:val="1"/>
          <w:numId w:val="0"/>
        </w:numPr>
        <w:ind w:leftChars="0"/>
        <w:rPr>
          <w:rFonts w:hint="default"/>
          <w:lang w:val="en-US" w:eastAsia="zh-CN"/>
        </w:rPr>
      </w:pPr>
      <w:r>
        <w:rPr>
          <w:rFonts w:hint="eastAsia" w:ascii="方正仿宋_GB2312" w:hAnsi="方正仿宋_GB2312" w:eastAsia="方正仿宋_GB2312" w:cs="方正仿宋_GB2312"/>
          <w:b/>
          <w:sz w:val="32"/>
          <w:szCs w:val="32"/>
          <w:lang w:val="en-US" w:eastAsia="zh-CN"/>
        </w:rPr>
        <w:t xml:space="preserve">   </w:t>
      </w:r>
      <w:r>
        <w:drawing>
          <wp:inline distT="0" distB="0" distL="114300" distR="114300">
            <wp:extent cx="5252720" cy="6482715"/>
            <wp:effectExtent l="0" t="0" r="5080" b="952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21"/>
                    <a:stretch>
                      <a:fillRect/>
                    </a:stretch>
                  </pic:blipFill>
                  <pic:spPr>
                    <a:xfrm>
                      <a:off x="0" y="0"/>
                      <a:ext cx="5252720" cy="648271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4.</w:t>
      </w:r>
      <w:r>
        <w:rPr>
          <w:rFonts w:hint="eastAsia" w:ascii="方正仿宋_GB2312" w:hAnsi="方正仿宋_GB2312" w:eastAsia="方正仿宋_GB2312" w:cs="方正仿宋_GB2312"/>
          <w:b/>
          <w:sz w:val="32"/>
          <w:szCs w:val="32"/>
        </w:rPr>
        <w:t>政府还贷高速公路运营经费项目</w:t>
      </w:r>
      <w:r>
        <w:rPr>
          <w:rFonts w:hint="eastAsia" w:ascii="方正仿宋_GB2312" w:hAnsi="方正仿宋_GB2312" w:eastAsia="方正仿宋_GB2312" w:cs="方正仿宋_GB2312"/>
          <w:b/>
          <w:sz w:val="32"/>
          <w:szCs w:val="32"/>
          <w:lang w:val="en-US" w:eastAsia="zh-CN"/>
        </w:rPr>
        <w:t xml:space="preserve">   </w:t>
      </w:r>
    </w:p>
    <w:p>
      <w:pPr>
        <w:widowControl/>
        <w:numPr>
          <w:ilvl w:val="0"/>
          <w:numId w:val="0"/>
        </w:numPr>
        <w:spacing w:before="0" w:beforeLines="0" w:beforeAutospacing="0" w:after="0" w:afterLines="0" w:afterAutospacing="0" w:line="360" w:lineRule="auto"/>
        <w:jc w:val="left"/>
        <w:rPr>
          <w:rFonts w:hint="default" w:ascii="方正仿宋_GB2312" w:hAnsi="方正仿宋_GB2312" w:eastAsia="方正仿宋_GB2312" w:cs="方正仿宋_GB2312"/>
          <w:b/>
          <w:sz w:val="32"/>
          <w:szCs w:val="32"/>
          <w:lang w:val="en-US" w:eastAsia="zh-CN"/>
        </w:rPr>
      </w:pPr>
      <w:r>
        <w:rPr>
          <w:rFonts w:hint="eastAsia"/>
          <w:lang w:val="en-US" w:eastAsia="zh-CN"/>
        </w:rPr>
        <w:t xml:space="preserve">  </w:t>
      </w:r>
      <w:r>
        <w:drawing>
          <wp:inline distT="0" distB="0" distL="114300" distR="114300">
            <wp:extent cx="5506720" cy="6570345"/>
            <wp:effectExtent l="0" t="0" r="10160" b="1333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22"/>
                    <a:stretch>
                      <a:fillRect/>
                    </a:stretch>
                  </pic:blipFill>
                  <pic:spPr>
                    <a:xfrm>
                      <a:off x="0" y="0"/>
                      <a:ext cx="5506720" cy="657034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5.</w:t>
      </w:r>
      <w:r>
        <w:rPr>
          <w:rFonts w:hint="eastAsia" w:ascii="方正仿宋_GB2312" w:hAnsi="方正仿宋_GB2312" w:eastAsia="方正仿宋_GB2312" w:cs="方正仿宋_GB2312"/>
          <w:b/>
          <w:sz w:val="32"/>
          <w:szCs w:val="32"/>
        </w:rPr>
        <w:t>复兴大街及北三环市政化改造项目</w:t>
      </w:r>
      <w:r>
        <w:rPr>
          <w:rFonts w:hint="eastAsia" w:ascii="方正仿宋_GB2312" w:hAnsi="方正仿宋_GB2312" w:eastAsia="方正仿宋_GB2312" w:cs="方正仿宋_GB2312"/>
          <w:b/>
          <w:sz w:val="32"/>
          <w:szCs w:val="32"/>
          <w:lang w:val="en-US" w:eastAsia="zh-CN"/>
        </w:rPr>
        <w:t xml:space="preserve"> </w:t>
      </w:r>
    </w:p>
    <w:p>
      <w:pPr>
        <w:pStyle w:val="2"/>
        <w:numPr>
          <w:ilvl w:val="1"/>
          <w:numId w:val="0"/>
        </w:numPr>
        <w:ind w:leftChars="0"/>
        <w:rPr>
          <w:rFonts w:hint="eastAsia"/>
          <w:lang w:eastAsia="zh-CN"/>
        </w:rPr>
      </w:pPr>
      <w:r>
        <w:drawing>
          <wp:inline distT="0" distB="0" distL="114300" distR="114300">
            <wp:extent cx="5688965" cy="6961505"/>
            <wp:effectExtent l="0" t="0" r="10795" b="317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23"/>
                    <a:stretch>
                      <a:fillRect/>
                    </a:stretch>
                  </pic:blipFill>
                  <pic:spPr>
                    <a:xfrm>
                      <a:off x="0" y="0"/>
                      <a:ext cx="5688965" cy="6961505"/>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6.市区至机场免费通行项目资金项目</w:t>
      </w:r>
    </w:p>
    <w:p>
      <w:pPr>
        <w:widowControl/>
        <w:spacing w:before="0" w:beforeLines="0" w:beforeAutospacing="0" w:after="0" w:afterLines="0" w:afterAutospacing="0" w:line="360" w:lineRule="auto"/>
        <w:jc w:val="left"/>
        <w:rPr>
          <w:rFonts w:ascii="Times New Roman" w:eastAsia="仿宋_GB2312"/>
          <w:b/>
          <w:sz w:val="32"/>
          <w:szCs w:val="32"/>
        </w:rPr>
      </w:pPr>
      <w:r>
        <w:drawing>
          <wp:inline distT="0" distB="0" distL="114300" distR="114300">
            <wp:extent cx="5909945" cy="6847205"/>
            <wp:effectExtent l="0" t="0" r="3175" b="10795"/>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24"/>
                    <a:stretch>
                      <a:fillRect/>
                    </a:stretch>
                  </pic:blipFill>
                  <pic:spPr>
                    <a:xfrm>
                      <a:off x="0" y="0"/>
                      <a:ext cx="5909945" cy="6847205"/>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jc w:val="left"/>
        <w:rPr>
          <w:rFonts w:ascii="Times New Roman" w:eastAsia="仿宋_GB2312"/>
          <w:b/>
          <w:sz w:val="32"/>
          <w:szCs w:val="32"/>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7.2025年普通国省干线公路建设养护发展专项资金（大中修工程补助资金）项目</w:t>
      </w:r>
    </w:p>
    <w:p>
      <w:pPr>
        <w:pStyle w:val="2"/>
        <w:numPr>
          <w:ilvl w:val="1"/>
          <w:numId w:val="0"/>
        </w:numPr>
        <w:ind w:leftChars="0"/>
        <w:rPr>
          <w:rFonts w:ascii="Times New Roman" w:eastAsia="仿宋_GB2312"/>
          <w:b/>
          <w:sz w:val="32"/>
          <w:szCs w:val="32"/>
        </w:rPr>
      </w:pPr>
      <w:r>
        <w:rPr>
          <w:rFonts w:hint="eastAsia" w:ascii="方正仿宋_GB2312" w:hAnsi="方正仿宋_GB2312" w:eastAsia="方正仿宋_GB2312" w:cs="方正仿宋_GB2312"/>
          <w:b/>
          <w:sz w:val="32"/>
          <w:szCs w:val="32"/>
          <w:lang w:val="en-US" w:eastAsia="zh-CN"/>
        </w:rPr>
        <w:t xml:space="preserve">  </w:t>
      </w:r>
      <w:r>
        <w:drawing>
          <wp:inline distT="0" distB="0" distL="114300" distR="114300">
            <wp:extent cx="5489575" cy="6623685"/>
            <wp:effectExtent l="0" t="0" r="12065" b="571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5"/>
                    <a:stretch>
                      <a:fillRect/>
                    </a:stretch>
                  </pic:blipFill>
                  <pic:spPr>
                    <a:xfrm>
                      <a:off x="0" y="0"/>
                      <a:ext cx="5489575" cy="6623685"/>
                    </a:xfrm>
                    <a:prstGeom prst="rect">
                      <a:avLst/>
                    </a:prstGeom>
                    <a:noFill/>
                    <a:ln>
                      <a:noFill/>
                    </a:ln>
                  </pic:spPr>
                </pic:pic>
              </a:graphicData>
            </a:graphic>
          </wp:inline>
        </w:drawing>
      </w: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8.</w:t>
      </w:r>
      <w:r>
        <w:rPr>
          <w:rFonts w:hint="eastAsia" w:ascii="方正仿宋_GB2312" w:hAnsi="方正仿宋_GB2312" w:eastAsia="方正仿宋_GB2312" w:cs="方正仿宋_GB2312"/>
          <w:b/>
          <w:sz w:val="32"/>
          <w:szCs w:val="32"/>
        </w:rPr>
        <w:t>城市交通发展奖励资金(新能源公交车运营补贴)项目</w:t>
      </w:r>
    </w:p>
    <w:p>
      <w:pPr>
        <w:widowControl/>
        <w:spacing w:before="0" w:beforeLines="0" w:beforeAutospacing="0" w:after="0" w:afterLines="0" w:afterAutospacing="0" w:line="360" w:lineRule="auto"/>
        <w:ind w:firstLine="480" w:firstLineChars="200"/>
        <w:jc w:val="left"/>
        <w:rPr>
          <w:rFonts w:ascii="Times New Roman" w:eastAsia="仿宋_GB2312"/>
          <w:b/>
          <w:sz w:val="32"/>
          <w:szCs w:val="32"/>
        </w:rPr>
      </w:pPr>
      <w:r>
        <w:drawing>
          <wp:inline distT="0" distB="0" distL="114300" distR="114300">
            <wp:extent cx="5531485" cy="6875780"/>
            <wp:effectExtent l="0" t="0" r="635" b="1270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26"/>
                    <a:stretch>
                      <a:fillRect/>
                    </a:stretch>
                  </pic:blipFill>
                  <pic:spPr>
                    <a:xfrm>
                      <a:off x="0" y="0"/>
                      <a:ext cx="5531485" cy="6875780"/>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rPr>
      </w:pPr>
      <w:r>
        <w:rPr>
          <w:rFonts w:hint="eastAsia" w:ascii="方正仿宋_GB2312" w:hAnsi="方正仿宋_GB2312" w:eastAsia="方正仿宋_GB2312" w:cs="方正仿宋_GB2312"/>
          <w:b/>
          <w:sz w:val="32"/>
          <w:szCs w:val="32"/>
          <w:lang w:val="en-US" w:eastAsia="zh-CN"/>
        </w:rPr>
        <w:t>9</w:t>
      </w:r>
      <w:r>
        <w:rPr>
          <w:rFonts w:hint="default" w:ascii="方正仿宋_GB2312" w:hAnsi="方正仿宋_GB2312" w:eastAsia="方正仿宋_GB2312" w:cs="方正仿宋_GB2312"/>
          <w:b/>
          <w:sz w:val="32"/>
          <w:szCs w:val="32"/>
          <w:lang w:val="en-US" w:eastAsia="zh-CN"/>
        </w:rPr>
        <w:t>.</w:t>
      </w:r>
      <w:r>
        <w:rPr>
          <w:rFonts w:hint="eastAsia" w:ascii="方正仿宋_GB2312" w:hAnsi="方正仿宋_GB2312" w:eastAsia="方正仿宋_GB2312" w:cs="方正仿宋_GB2312"/>
          <w:b/>
          <w:sz w:val="32"/>
          <w:szCs w:val="32"/>
          <w:lang w:val="en-US" w:eastAsia="zh-CN"/>
        </w:rPr>
        <w:t>省道S339赵县后田村至元氏县铁屯村段改建工程项目</w:t>
      </w:r>
    </w:p>
    <w:p>
      <w:pPr>
        <w:widowControl/>
        <w:numPr>
          <w:ilvl w:val="0"/>
          <w:numId w:val="0"/>
        </w:numPr>
        <w:spacing w:before="0" w:beforeLines="0" w:beforeAutospacing="0" w:after="0" w:afterLines="0" w:afterAutospacing="0" w:line="360" w:lineRule="auto"/>
        <w:jc w:val="left"/>
        <w:rPr>
          <w:rFonts w:hint="eastAsia" w:ascii="Times New Roman" w:eastAsia="仿宋_GB2312"/>
          <w:b/>
          <w:sz w:val="32"/>
          <w:szCs w:val="32"/>
          <w:lang w:eastAsia="zh-CN"/>
        </w:rPr>
      </w:pPr>
      <w:r>
        <w:rPr>
          <w:rFonts w:hint="eastAsia" w:ascii="Times New Roman" w:eastAsia="仿宋_GB2312"/>
          <w:b/>
          <w:sz w:val="32"/>
          <w:szCs w:val="32"/>
          <w:lang w:val="en-US" w:eastAsia="zh-CN"/>
        </w:rPr>
        <w:t xml:space="preserve">  </w:t>
      </w:r>
      <w:r>
        <w:rPr>
          <w:rFonts w:hint="eastAsia" w:ascii="Times New Roman" w:eastAsia="仿宋_GB2312"/>
          <w:b/>
          <w:sz w:val="32"/>
          <w:szCs w:val="32"/>
          <w:lang w:eastAsia="zh-CN"/>
        </w:rPr>
        <w:drawing>
          <wp:inline distT="0" distB="0" distL="114300" distR="114300">
            <wp:extent cx="5487670" cy="6383655"/>
            <wp:effectExtent l="0" t="0" r="13970" b="1905"/>
            <wp:docPr id="15" name="图片 15" descr="86f4f7bc54106f4be04c5cab7eefeb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86f4f7bc54106f4be04c5cab7eefeb68"/>
                    <pic:cNvPicPr>
                      <a:picLocks noChangeAspect="1"/>
                    </pic:cNvPicPr>
                  </pic:nvPicPr>
                  <pic:blipFill>
                    <a:blip r:embed="rId27"/>
                    <a:stretch>
                      <a:fillRect/>
                    </a:stretch>
                  </pic:blipFill>
                  <pic:spPr>
                    <a:xfrm>
                      <a:off x="0" y="0"/>
                      <a:ext cx="5487670" cy="6383655"/>
                    </a:xfrm>
                    <a:prstGeom prst="rect">
                      <a:avLst/>
                    </a:prstGeom>
                  </pic:spPr>
                </pic:pic>
              </a:graphicData>
            </a:graphic>
          </wp:inline>
        </w:drawing>
      </w:r>
    </w:p>
    <w:p>
      <w:pPr>
        <w:pStyle w:val="2"/>
        <w:numPr>
          <w:ilvl w:val="1"/>
          <w:numId w:val="0"/>
        </w:numPr>
        <w:ind w:leftChars="0"/>
        <w:rPr>
          <w:rFonts w:hint="eastAsia"/>
        </w:rPr>
      </w:pPr>
    </w:p>
    <w:p>
      <w:pPr>
        <w:widowControl/>
        <w:spacing w:before="0" w:beforeLines="0" w:beforeAutospacing="0" w:after="0" w:afterLines="0" w:afterAutospacing="0" w:line="360" w:lineRule="auto"/>
        <w:jc w:val="left"/>
        <w:rPr>
          <w:rFonts w:ascii="Times New Roman" w:eastAsia="仿宋_GB2312"/>
          <w:b/>
          <w:sz w:val="32"/>
          <w:szCs w:val="32"/>
        </w:rPr>
      </w:pPr>
    </w:p>
    <w:p>
      <w:pPr>
        <w:widowControl/>
        <w:numPr>
          <w:ilvl w:val="0"/>
          <w:numId w:val="0"/>
        </w:numPr>
        <w:spacing w:before="0" w:beforeLines="0" w:beforeAutospacing="0" w:after="0" w:afterLines="0" w:afterAutospacing="0" w:line="360" w:lineRule="auto"/>
        <w:ind w:firstLine="643" w:firstLineChars="200"/>
        <w:jc w:val="left"/>
        <w:rPr>
          <w:rFonts w:hint="eastAsia" w:ascii="方正仿宋_GB2312" w:hAnsi="方正仿宋_GB2312" w:eastAsia="方正仿宋_GB2312" w:cs="方正仿宋_GB2312"/>
          <w:b/>
          <w:sz w:val="32"/>
          <w:szCs w:val="32"/>
          <w:lang w:val="en-US" w:eastAsia="zh-CN"/>
        </w:rPr>
      </w:pPr>
      <w:r>
        <w:rPr>
          <w:rFonts w:hint="eastAsia" w:ascii="方正仿宋_GB2312" w:hAnsi="方正仿宋_GB2312" w:eastAsia="方正仿宋_GB2312" w:cs="方正仿宋_GB2312"/>
          <w:b/>
          <w:sz w:val="32"/>
          <w:szCs w:val="32"/>
          <w:lang w:val="en-US" w:eastAsia="zh-CN"/>
        </w:rPr>
        <w:t>10.</w:t>
      </w:r>
      <w:r>
        <w:rPr>
          <w:rFonts w:hint="eastAsia" w:ascii="方正仿宋_GB2312" w:hAnsi="方正仿宋_GB2312" w:eastAsia="方正仿宋_GB2312" w:cs="方正仿宋_GB2312"/>
          <w:b/>
          <w:sz w:val="32"/>
          <w:szCs w:val="32"/>
        </w:rPr>
        <w:t>石家庄市国道京港线（G107）保定界至岗头段修复养护（中修）工程项目</w:t>
      </w:r>
    </w:p>
    <w:p>
      <w:pPr>
        <w:widowControl/>
        <w:spacing w:before="0" w:beforeLines="0" w:beforeAutospacing="0" w:after="0" w:afterLines="0" w:afterAutospacing="0" w:line="360" w:lineRule="auto"/>
        <w:ind w:firstLine="480" w:firstLineChars="200"/>
        <w:jc w:val="left"/>
        <w:rPr>
          <w:rFonts w:ascii="Times New Roman" w:eastAsia="仿宋_GB2312"/>
          <w:b/>
          <w:sz w:val="32"/>
          <w:szCs w:val="32"/>
        </w:rPr>
      </w:pPr>
      <w:r>
        <w:drawing>
          <wp:inline distT="0" distB="0" distL="114300" distR="114300">
            <wp:extent cx="5556250" cy="6184900"/>
            <wp:effectExtent l="0" t="0" r="6350" b="254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28"/>
                    <a:stretch>
                      <a:fillRect/>
                    </a:stretch>
                  </pic:blipFill>
                  <pic:spPr>
                    <a:xfrm>
                      <a:off x="0" y="0"/>
                      <a:ext cx="5556250" cy="6184900"/>
                    </a:xfrm>
                    <a:prstGeom prst="rect">
                      <a:avLst/>
                    </a:prstGeom>
                    <a:noFill/>
                    <a:ln>
                      <a:noFill/>
                    </a:ln>
                  </pic:spPr>
                </pic:pic>
              </a:graphicData>
            </a:graphic>
          </wp:inline>
        </w:drawing>
      </w: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pPr>
        <w:widowControl/>
        <w:numPr>
          <w:ilvl w:val="0"/>
          <w:numId w:val="2"/>
        </w:numPr>
        <w:spacing w:before="0" w:beforeLines="0" w:beforeAutospacing="0" w:after="0" w:afterLines="0" w:afterAutospacing="0" w:line="360" w:lineRule="auto"/>
        <w:ind w:firstLine="643" w:firstLineChars="200"/>
        <w:jc w:val="left"/>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部门评价项目绩效评价结果</w:t>
      </w:r>
    </w:p>
    <w:p>
      <w:pPr>
        <w:pStyle w:val="2"/>
        <w:numPr>
          <w:ilvl w:val="1"/>
          <w:numId w:val="0"/>
        </w:numPr>
        <w:ind w:leftChars="0"/>
        <w:rPr>
          <w:rFonts w:hint="default" w:eastAsia="宋体"/>
          <w:lang w:val="en-US" w:eastAsia="zh-CN"/>
        </w:rPr>
      </w:pPr>
      <w:r>
        <w:rPr>
          <w:rFonts w:hint="eastAsia"/>
          <w:lang w:val="en-US" w:eastAsia="zh-CN"/>
        </w:rPr>
        <w:t xml:space="preserve">     </w:t>
      </w:r>
      <w:r>
        <w:rPr>
          <w:rFonts w:hint="eastAsia" w:ascii="Times New Roman" w:eastAsia="仿宋_GB2312"/>
          <w:b w:val="0"/>
          <w:color w:val="auto"/>
          <w:sz w:val="32"/>
          <w:szCs w:val="32"/>
        </w:rPr>
        <w:t>本</w:t>
      </w:r>
      <w:r>
        <w:rPr>
          <w:rFonts w:hint="eastAsia" w:ascii="Times New Roman" w:eastAsia="仿宋_GB2312"/>
          <w:b w:val="0"/>
          <w:color w:val="auto"/>
          <w:sz w:val="32"/>
          <w:szCs w:val="32"/>
          <w:lang w:eastAsia="zh-CN"/>
        </w:rPr>
        <w:t>部门</w:t>
      </w:r>
      <w:r>
        <w:rPr>
          <w:rFonts w:hint="eastAsia" w:ascii="Times New Roman" w:eastAsia="仿宋_GB2312"/>
          <w:b w:val="0"/>
          <w:color w:val="auto"/>
          <w:sz w:val="32"/>
          <w:szCs w:val="32"/>
        </w:rPr>
        <w:t>无重点评价项目</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3"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FAFA183-2EC6-4390-8146-5F7BD1CED64B}"/>
  </w:font>
  <w:font w:name="黑体">
    <w:panose1 w:val="02010609060101010101"/>
    <w:charset w:val="86"/>
    <w:family w:val="auto"/>
    <w:pitch w:val="default"/>
    <w:sig w:usb0="800002BF" w:usb1="38CF7CFA" w:usb2="00000016" w:usb3="00000000" w:csb0="00040001" w:csb1="00000000"/>
    <w:embedRegular r:id="rId2" w:fontKey="{C8070D09-7AA5-4BC0-8517-2E3E0E0CF93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95ADA429-09A1-4274-8076-730B7E48CACE}"/>
  </w:font>
  <w:font w:name="仿宋">
    <w:panose1 w:val="02010609060101010101"/>
    <w:charset w:val="86"/>
    <w:family w:val="modern"/>
    <w:pitch w:val="default"/>
    <w:sig w:usb0="800002BF" w:usb1="38CF7CFA" w:usb2="00000016" w:usb3="00000000" w:csb0="00040001" w:csb1="00000000"/>
    <w:embedRegular r:id="rId4" w:fontKey="{1CD2DA16-FDF5-4216-AB1F-5FFD45DE9F1A}"/>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1BF9AA03-98D8-44A4-84BA-AE39AF546A69}"/>
  </w:font>
  <w:font w:name="方正仿宋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embedRegular r:id="rId6" w:fontKey="{FA3709FE-2460-4C98-B70A-3D4238278A35}"/>
  </w:font>
  <w:font w:name="微软雅黑">
    <w:panose1 w:val="020B0503020204020204"/>
    <w:charset w:val="86"/>
    <w:family w:val="auto"/>
    <w:pitch w:val="default"/>
    <w:sig w:usb0="80000287" w:usb1="280F3C52" w:usb2="00000016" w:usb3="00000000" w:csb0="0004001F" w:csb1="00000000"/>
    <w:embedRegular r:id="rId7" w:fontKey="{408B75B9-011B-4AC3-80C0-694C8C2B439E}"/>
  </w:font>
  <w:font w:name="方正小标宋_GBK">
    <w:panose1 w:val="02000000000000000000"/>
    <w:charset w:val="86"/>
    <w:family w:val="script"/>
    <w:pitch w:val="default"/>
    <w:sig w:usb0="A00002BF" w:usb1="38CF7CFA" w:usb2="00082016" w:usb3="00000000" w:csb0="00040001" w:csb1="00000000"/>
    <w:embedRegular r:id="rId8" w:fontKey="{7F41D309-E9C7-4181-B431-28A57871FE35}"/>
  </w:font>
  <w:font w:name="仿宋_GB2312">
    <w:panose1 w:val="02010609030101010101"/>
    <w:charset w:val="86"/>
    <w:family w:val="auto"/>
    <w:pitch w:val="default"/>
    <w:sig w:usb0="00000001" w:usb1="080E0000" w:usb2="00000000" w:usb3="00000000" w:csb0="00040000" w:csb1="00000000"/>
    <w:embedRegular r:id="rId9" w:fontKey="{7BB92E32-D9C6-4732-BE66-8738C7A7B021}"/>
  </w:font>
  <w:font w:name="ArialUnicodeMS">
    <w:altName w:val="Malgun Gothic"/>
    <w:panose1 w:val="00000000000000000000"/>
    <w:charset w:val="81"/>
    <w:family w:val="auto"/>
    <w:pitch w:val="default"/>
    <w:sig w:usb0="00000000" w:usb1="00000000" w:usb2="00000010" w:usb3="00000000" w:csb0="00080001" w:csb1="00000000"/>
    <w:embedRegular r:id="rId10" w:fontKey="{B89BD437-47F9-4819-B38C-6D4EFD26D196}"/>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A683A"/>
    <w:multiLevelType w:val="singleLevel"/>
    <w:tmpl w:val="9ACA683A"/>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2"/>
      <w:lvlText w:val="%1.%2."/>
      <w:lvlJc w:val="left"/>
      <w:pPr>
        <w:ind w:left="80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2EC46C9"/>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0FFF4761"/>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621FEA"/>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DA4193"/>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4B09DD"/>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A21D28"/>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7733A5"/>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120536"/>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D774E1"/>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292387"/>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3D14D8"/>
    <w:rsid w:val="76510960"/>
    <w:rsid w:val="768216BE"/>
    <w:rsid w:val="76C23B43"/>
    <w:rsid w:val="76FD6F97"/>
    <w:rsid w:val="770218E8"/>
    <w:rsid w:val="779469CE"/>
    <w:rsid w:val="77C875A5"/>
    <w:rsid w:val="77D777E8"/>
    <w:rsid w:val="78A27DF6"/>
    <w:rsid w:val="79285B3A"/>
    <w:rsid w:val="79490B03"/>
    <w:rsid w:val="794D29B9"/>
    <w:rsid w:val="79625CA9"/>
    <w:rsid w:val="79A91196"/>
    <w:rsid w:val="7A0B32D3"/>
    <w:rsid w:val="7A216461"/>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BC6502"/>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2">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2"/>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部门职责文件"/>
    <w:basedOn w:val="1"/>
    <w:qFormat/>
    <w:uiPriority w:val="0"/>
    <w:pPr>
      <w:spacing w:before="0" w:beforeAutospacing="0" w:after="0" w:afterAutospacing="0" w:line="500" w:lineRule="exact"/>
      <w:ind w:firstLine="560"/>
      <w:jc w:val="left"/>
    </w:pPr>
    <w:rPr>
      <w:rFonts w:hint="default" w:ascii="Times New Roman" w:hAnsi="Times New Roman" w:eastAsia="方正仿宋_GBK" w:cs="Times New Roman"/>
      <w:kern w:val="0"/>
      <w:sz w:val="28"/>
      <w:szCs w:val="28"/>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png"/><Relationship Id="rId27" Type="http://schemas.openxmlformats.org/officeDocument/2006/relationships/image" Target="media/image10.png"/><Relationship Id="rId26" Type="http://schemas.openxmlformats.org/officeDocument/2006/relationships/image" Target="media/image9.png"/><Relationship Id="rId25" Type="http://schemas.openxmlformats.org/officeDocument/2006/relationships/image" Target="media/image8.png"/><Relationship Id="rId24" Type="http://schemas.openxmlformats.org/officeDocument/2006/relationships/image" Target="media/image7.png"/><Relationship Id="rId23"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0" Type="http://schemas.openxmlformats.org/officeDocument/2006/relationships/image" Target="media/image3.png"/><Relationship Id="rId2" Type="http://schemas.openxmlformats.org/officeDocument/2006/relationships/settings" Target="settings.xml"/><Relationship Id="rId19" Type="http://schemas.openxmlformats.org/officeDocument/2006/relationships/image" Target="media/image2.pn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347164.76</c:v>
                </c:pt>
                <c:pt idx="1">
                  <c:v>1246846.75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3346342085.81</c:v>
                </c:pt>
                <c:pt idx="1">
                  <c:v>0</c:v>
                </c:pt>
                <c:pt idx="2">
                  <c:v>0</c:v>
                </c:pt>
                <c:pt idx="3">
                  <c:v>0</c:v>
                </c:pt>
                <c:pt idx="4">
                  <c:v>0</c:v>
                </c:pt>
                <c:pt idx="5">
                  <c:v>86812337.74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154413304.8</c:v>
                </c:pt>
                <c:pt idx="1">
                  <c:v>3286362908.57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1238938.53</c:v>
                </c:pt>
                <c:pt idx="1">
                  <c:v>1240361.8</c:v>
                </c:pt>
                <c:pt idx="2">
                  <c:v>184843.29</c:v>
                </c:pt>
                <c:pt idx="3">
                  <c:v>186266.56</c:v>
                </c:pt>
                <c:pt idx="4">
                  <c:v>1054095.23</c:v>
                </c:pt>
                <c:pt idx="5">
                  <c:v>1054095.23</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334634.21</c:v>
                </c:pt>
                <c:pt idx="1">
                  <c:v>335396.39</c:v>
                </c:pt>
                <c:pt idx="2">
                  <c:v>187784.96</c:v>
                </c:pt>
                <c:pt idx="3">
                  <c:v>188547.14</c:v>
                </c:pt>
                <c:pt idx="4">
                  <c:v>146849.25</c:v>
                </c:pt>
                <c:pt idx="5">
                  <c:v>146849.25</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416282.91</c:v>
                </c:pt>
                <c:pt idx="1">
                  <c:v>416282.91</c:v>
                </c:pt>
                <c:pt idx="2">
                  <c:v>245978.15</c:v>
                </c:pt>
                <c:pt idx="3">
                  <c:v>245978.15</c:v>
                </c:pt>
                <c:pt idx="4">
                  <c:v>170304.76</c:v>
                </c:pt>
                <c:pt idx="5">
                  <c:v>170304.76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334634.21</c:v>
                </c:pt>
                <c:pt idx="1">
                  <c:v>335396.39</c:v>
                </c:pt>
                <c:pt idx="2">
                  <c:v>187784.96</c:v>
                </c:pt>
                <c:pt idx="3">
                  <c:v>188547.14</c:v>
                </c:pt>
                <c:pt idx="4">
                  <c:v>146849.25</c:v>
                </c:pt>
                <c:pt idx="5">
                  <c:v>146849.25</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60</Pages>
  <Words>838</Words>
  <Characters>852</Characters>
  <Lines>86</Lines>
  <Paragraphs>24</Paragraphs>
  <TotalTime>10</TotalTime>
  <ScaleCrop>false</ScaleCrop>
  <LinksUpToDate>false</LinksUpToDate>
  <CharactersWithSpaces>858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2026-09-03T02:01:25Z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8845BC8F585345C4A9A10C6762884504</vt:lpwstr>
  </property>
  <property fmtid="{D5CDD505-2E9C-101B-9397-08002B2CF9AE}" pid="4" name="KSOTemplateUUID">
    <vt:lpwstr>v1.0_mb_S7ajbG3IpAnL1wSthNCxfw==</vt:lpwstr>
  </property>
  <property fmtid="{D5CDD505-2E9C-101B-9397-08002B2CF9AE}" pid="5" name="KSOTemplateDocerSaveRecord">
    <vt:lpwstr>eyJoZGlkIjoiYzJmMzJjZGJiMGZmNGYyMzJiMDM4ODkyOWU5ODBhN2EiLCJ1c2VySWQiOiIzNTY3OTAzMTIifQ==</vt:lpwstr>
  </property>
</Properties>
</file>