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石家庄市交通运输局(本级)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348001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石家庄市交通运输局(本级)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石家庄市交通运输局(本级)</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根据《石家庄市交通运输局职能配置、内设机构和人员编制规定》，石家庄市交通运输局的主要职责是： （一）拟订全市交通运输行业发展规划并组织实施；起草交通运输方面地方性法规和政府规章草案；参与拟订有关物流业发展规划并监督实施。 （二）会同有关部门编制全市综合交通运输体系规划并组织实施；协调规划全市综合交通运输体系建设，组织协调相关运输方式的合理布局和有效衔接;负责建立完善交通运输行业联运服务体系；拟订全市公路建设、城市公共交通（不含轨道交通,下同）建设和道路（含水路，下同）运输中长期发展规划；拟订公路建设与养护年度指令性计划并组织实施；负责交通运输枢纽规划和管理。 （三）承担全市公路建设市场监管责任。负责全市国省干线公路（含国防公路）的规划、建设、养护、管理，依法维护路产路权、保护公路设施，开发公路用地；依法查处超限超载运输车辆；负责交通运输工程建设、工程质量和安全生产的监管；负责全市交通基本建设项目招投标活动的监督管理；负责全市收费公路管理；配合做好国防交通有关工作。 （四）承担道路运输市场监管责任。负责道路运输经营、道路运输相关业务和城市公共交通等行业管理工作；负责市内公交站、场、点的规划、建设和管理，依法保护和支持合法经营，取缔非法运输；指导城乡客运及有关设施规划和管理；承担有关物流市场管理。 （五）承担管辖水域水上交通安全监管责任。负责全市渔船检验和监督管理工作，会同有关部门，依法组织或参与事故调查处理。 （六）负责提出全市交通运输行业固定资产投资规模和方向、市财政性资金安排意见；负责监督市本级交通运输系统国有资产经营管理工作；负责全市交通运输资金的管理、使用和投资开发工作；指导交通系统内部审计工作；承担交通运输行业财政预算资金的绩效监督和管理工作。 （七）制订全市交通运输行业科技发展规划，组织行业科技创新应用，推动行业技术进步；负责交通运输行业信息化建设，监测分析交通运输运行情况，开展相关统计工作；指导交通运输行业环境保护和节能减排。 （八）负责全市交通运输综合行政执法和队伍建设有关工作；统筹协调交通运输综合行政执法工作；负责交通运输行业体制改革工作。 （九）负责交通运输系统安全生产和应急管理工作；牵头负责铁路沿线环境安全监管职责；按规定组织协调国家、省、市重点物资和紧急客货运输; 负责市内高速公路及国、省重点干线公路网运行监测和应急处置协调工作。 （十）负责全市交通运输行业的涉外事宜，指导利用外资，开展交通运输经济技术合作与交流。 （十一）推进京津冀协同发展交通一体化工作。 （十二 ）指导各县（市、区）交通运输相关工作。 （十三）完成市委、市政府交办的其他任务。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石家庄市交通运输局(本级)</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单位：石家庄市交通运输局(本级)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102,597.40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125,550.25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90,394.00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96,063.18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12,372.66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单位：石家庄市交通运输局(本级)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228,147.65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228,147.65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90,394.00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90,394.00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城市基础设施配套费安排的支出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96,063.18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96,063.18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9,143.64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9,143.64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1,385.07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1,385.07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公路运输管理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7,224.44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7,224.44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21462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车辆通行费安排的支出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2146299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其他车辆通行费安排的支出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6,751.77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6,751.77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公共交通运营补助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6,451.77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6,451.77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地方政府专项债务付息支出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政府收费公路专项债券付息支出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4,204.54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4,204.54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5,298.70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5,298.70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单位：石家庄市交通运输局(本级)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2,251.06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225,896.59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90,394.00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90,394.00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城市基础设施配套费安排的支出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96,063.18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94,678.12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9,143.64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7,758.57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7,224.44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7,224.44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车辆通行费安排的支出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其他车辆通行费安排的支出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6,751.77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6,751.77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6,451.77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6,451.77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债务付息支出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地方政府专项债务付息支出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政府收费公路专项债券付息支出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其他地方自行试点项目收益专项债券付息支出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4,204.54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4,204.54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其他政府性基金债务付息支出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5,298.70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5,298.70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单位：石家庄市交通运输局(本级)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102,597.40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125,550.25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90,394.00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85,836.00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4,558.00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96,063.18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15,895.41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80,167.78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12,372.66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12,372.66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9,742.00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9,742.00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102,597.40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125,550.25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228,147.65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102,597.40</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125,550.25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92"/>
        <w:gridCol w:w="841"/>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单位：石家庄市交通运输局(本级)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102,597.40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2,251.06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100,346.34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15,895.41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14,510.34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9,143.64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7,758.57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7,224.44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7,224.44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6,751.77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6,751.77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6,451.77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6,451.77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单位：石家庄市交通运输局(本级)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1,471.87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454.34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289.22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322.66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133.86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22.86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542.59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477.38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26.57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2,014.46</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单位：石家庄市交通运输局(本级)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125,550.25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125,550.25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125,550.25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城市基础设施配套费安排的支出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城市公共设施</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车辆通行费安排的支出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2146299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其他车辆通行费安排的支出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9,742.00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地方政府专项债务付息支出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2320432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政府收费公路专项债券付息支出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单位：石家庄市交通运输局(本级)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单位：石家庄市交通运输局(本级)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9.20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9.20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6.44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6.44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6.44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228,147.65万元。与2024年度决算相比，收支各减少918,639.95万元，下降80.1%，主要原因是石家庄市城区基础设施提升、石家庄市北部片区基础设施提升工程项目收入、支出减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228,147.65万元，其中：财政拨款收入228,147.65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本单位2025年度本年支出合计228,147.65万元，其中：基本支出2,251.06万元，占1.0%；项目支出225,896.59万元，占99.0%；经营支出0.00万元，占0.0%；上缴上级支出0.00万元，占0.0%；对附属单位补助支出0.00万元，占0.0%。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228,147.65万元。与2024年度相比，财政拨款收支各减少918,639.95万元，降低80.1%，主要原因是石家庄市城区基础设施提升、石家庄市北部片区基础设施提升工程项目收入、支出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228,147.65万元,比上年减少918,639.95万元，降低80.1%，主要原因是石家庄市城区基础设施提升、石家庄市北部片区基础设施提升工程项目收入减少；本年支出228,147.65万元，比上年减少918,639.95万元，降低80.1%，主要原因是石家庄市城区基础设施提升、石家庄市北部片区基础设施提升工程项目支出减少。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102,597.40万元,比上年减少2,885.22万元，降低2.7%，主要原因是人员减少，人员经费收入减少；本年支出102,597.40万元，比上年减少2,885.22万元，降低2.7%，主要原因是人员减少，人员经费支出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政府性基金预算财政拨款本年收入125,550.25万元，比上年减少915,754.73万元，降低87.9%，</w:t>
      </w:r>
      <w:r>
        <w:rPr>
          <w:rFonts w:ascii="Times New Roman" w:eastAsia="仿宋_GB2312"/>
          <w:b w:val="0"/>
          <w:sz w:val="32"/>
          <w:szCs w:val="32"/>
          <w:highlight w:val="none"/>
        </w:rPr>
        <w:t>主要原因是</w:t>
      </w:r>
      <w:r>
        <w:rPr>
          <w:rFonts w:hint="eastAsia" w:ascii="Times New Roman" w:eastAsia="仿宋_GB2312"/>
          <w:b w:val="0"/>
          <w:sz w:val="32"/>
          <w:szCs w:val="32"/>
          <w:highlight w:val="none"/>
        </w:rPr>
        <w:t>石家庄市城区基础设施提升、石家庄市北部片区基础设施提升工程项目</w:t>
      </w:r>
      <w:r>
        <w:rPr>
          <w:rFonts w:hint="eastAsia" w:ascii="Times New Roman" w:eastAsia="仿宋_GB2312"/>
          <w:b w:val="0"/>
          <w:sz w:val="32"/>
          <w:szCs w:val="32"/>
          <w:highlight w:val="none"/>
          <w:lang w:eastAsia="zh-CN"/>
        </w:rPr>
        <w:t>收入</w:t>
      </w:r>
      <w:r>
        <w:rPr>
          <w:rFonts w:hint="eastAsia" w:ascii="Times New Roman" w:eastAsia="仿宋_GB2312"/>
          <w:b w:val="0"/>
          <w:sz w:val="32"/>
          <w:szCs w:val="32"/>
          <w:highlight w:val="none"/>
        </w:rPr>
        <w:t>减少</w:t>
      </w:r>
      <w:r>
        <w:rPr>
          <w:rFonts w:hint="eastAsia" w:ascii="Times New Roman" w:eastAsia="仿宋_GB2312"/>
          <w:b w:val="0"/>
          <w:sz w:val="32"/>
          <w:szCs w:val="32"/>
          <w:highlight w:val="none"/>
          <w:lang w:val="en-US" w:eastAsia="zh-CN"/>
        </w:rPr>
        <w:t xml:space="preserve"> ； </w:t>
      </w:r>
      <w:r>
        <w:rPr>
          <w:rFonts w:ascii="Times New Roman" w:eastAsia="仿宋_GB2312"/>
          <w:b w:val="0"/>
          <w:sz w:val="32"/>
          <w:szCs w:val="32"/>
        </w:rPr>
        <w:t>本年支出125,550.25万元，比上年减少915,754.73万元，降低87.9%，主要原因是石家庄市城区基础设施提升、石家庄市北部片区基础设施提升工程项目支出减少。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国有资本经营预算财政拨款本年收入0.00万元，比上年增加0.00万元，增长0.00%，主要原因是我单位无国有资本经营预算；本年支出0.00万元，比上年增加0.00万元，增长0.00%，主要原因是我单位无国有资产经营预算。</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228,147.65万元，完成年初预算的83.0%，比年初预算减少46,852.67万元，决算数小于预算数主要原因是通行费收入较年初预算减少；本年支出228,147.65万元，完成年初预算的83.0%，比年初预算减少46,852.67万元，决算数小于预算数主要原因是通行费收入较年初预算减少，安排的支出减少。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98.0%，比年初预算减少2,098.16万元，主要原因是公交运营补贴决算收入减少；支出完成年初预算的98.0%，比年初预算减少2,098.16万元，主要原因是公交运营补贴决算支出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73.7%，比年初预算减少44,754.51万元，主要原因是通行费收入减少，导致决算收入减少；支出完成年初预算的73.7%，比年初预算减少44,754.51万元，主要原因是通行费收入减少，导致决算支出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单位无国有资本经营预算；支出完成年初预算的0.0%，比年初预算增加0.00万元，主要原因是我单位无国有资本经营预算。</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2025年度财政拨款支出228,147.65万元，主要用于以下方面：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社会保障和就业 （类）支出667.31万元，占0.3%，主要用于社会保险等支出；卫生健康（类）支出66.94万元，占0.0%，主要用于医疗保险等支出；城乡社区（类）支出85,836.00万元，占37.6%，主要用于城市公交运营等支出；交通运输（类）支出15,895.41万元，占7.0%，主要用于单位基本支出、交通运输管理、大规模设备更新等支出；住房保障（类）支出131.75万元，占0.1%，主要用于住房公积金等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4,558.00万元，占2.0%，主要用于复兴大街及北三环市政化改造项目支出及公交运营支出等支出；交通运输（类）支出80,167.78万元，占35.1%，主要用于车辆通行费收入安排的高速公路运营养护等支出；资源勘探信息等（类）支出12,372.66万元，占5.4%，主要用于大规模设备更新等支出；其他（类）支出9,742.00万元，占4.3%，主要用于复兴大街及北三环市政化改造项目等支出；债务付息（类）支出18,709.82万元，占8.2%，主要用于专项债券还本付息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2025年度财政拨款基本支出2,251.06万元，其中：</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人员经费2,014.46万元，主要包括基本工资、津贴补贴、奖金、绩效工资、机关基本养老保险缴费、职业年金缴费、职工基本医疗保险缴费、公务员医疗补助缴费、住房公积金</w:t>
      </w:r>
      <w:r>
        <w:rPr>
          <w:rFonts w:hint="eastAsia" w:ascii="Times New Roman" w:eastAsia="仿宋_GB2312"/>
          <w:b w:val="0"/>
          <w:sz w:val="32"/>
          <w:szCs w:val="32"/>
          <w:lang w:eastAsia="zh-CN"/>
        </w:rPr>
        <w:t>、</w:t>
      </w:r>
      <w:r>
        <w:rPr>
          <w:rFonts w:ascii="Times New Roman" w:eastAsia="仿宋_GB2312"/>
          <w:b w:val="0"/>
          <w:sz w:val="32"/>
          <w:szCs w:val="32"/>
        </w:rPr>
        <w:t>其他社会保障缴费、其他工资福利支出、离休费、退休费、抚恤金、生活补助、奖励金、其他对个人和家庭的补助支出。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公用经费236.60万元，主要包括办公费、水费、电费、邮电费、取暖费、差旅费、维修（护）费、会议费、培训费、公务接待费、工会经费、福利费、公务用车运行维护费</w:t>
      </w:r>
      <w:r>
        <w:rPr>
          <w:rFonts w:hint="eastAsia" w:ascii="Times New Roman" w:eastAsia="仿宋_GB2312"/>
          <w:b w:val="0"/>
          <w:sz w:val="32"/>
          <w:szCs w:val="32"/>
          <w:lang w:eastAsia="zh-CN"/>
        </w:rPr>
        <w:t>、</w:t>
      </w:r>
      <w:r>
        <w:rPr>
          <w:rFonts w:ascii="Times New Roman" w:eastAsia="仿宋_GB2312"/>
          <w:b w:val="0"/>
          <w:sz w:val="32"/>
          <w:szCs w:val="32"/>
        </w:rPr>
        <w:t>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9.20万元，支出决算为6.44万元，完成预算的70.0%，较预算减少2.76万元，降低30.0%，主要原因是坚持“过紧日子”，节约开支；较2024年度决算减少3.40万元，降低34.6%，主要原因是“过紧日子”，节约开支。</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我单位无因公出国（境）支出；较上年增加0.00万元，增长0.00%,主要原因是我单位无因公出国（境）支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9.20万元，支出决算6.44万元，完成预算的70.0%,较预算减少2.76万元，降低30.0%,主要原因是坚持“过紧日子”，节约开支；较上年减少3.40万元，降低34.6%,主要原因是坚持“过紧日子”，节约开支。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我单位无公务用车购置支出；较上年增加0.00万元，增长0.00%,主要原因是我单位无公务用车购置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公务用车运行维护费支出6.44万元：</w:t>
      </w:r>
      <w:r>
        <w:rPr>
          <w:rFonts w:ascii="Times New Roman" w:eastAsia="仿宋_GB2312"/>
          <w:b w:val="0"/>
          <w:sz w:val="32"/>
          <w:szCs w:val="32"/>
        </w:rPr>
        <w:t>本单位2025年度单位公务用车保有量8辆，发生运行维护费支出6.44万元。公车运行维护费支出较预算减少2.76万元，降低30.0%,主要原因是坚持“过紧日子”，节约开支；较上年减少3.40万元，降低34.6%，主要原因是坚持“过紧日子”，节约开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未发生“公务接待”经费支出；较上年度增加0.00万元，增长0.00%,主要原因是未发生“公务接待”经费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本单位2025年度机关运行经费支出236.60万元，较2024年度增加0.34万元，增长0.1%。主要原因是业务需要，差旅支出有少量增加。</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284.66万元，从采购类型来看，政府采购货物支出2.88万元、政府采购工程支出0.00万元、政府采购服务支出281.78万元。授予中小企业合同金额280.18万元，占政府采购支出总额的98.4%，其中授予小微企业合同金额279.30万元，占政府采购支出总额的98.1%。</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8辆，比上年增加0辆，主要是与上年持平。其中，副部（省）级及以上领导用车0辆，主要负责人用车0辆，机要通信用车1辆，应急保障用车1辆，执法执勤用车0辆，特种专业技术用车0辆，离退休干部用车2辆，其他用车4辆，其他用车主要是其他业务用车。单位价值100万元（含）以上设备（不含车辆）1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hint="eastAsia" w:ascii="黑体" w:hAnsi="黑体" w:eastAsia="黑体" w:cs="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22,589.66万元（决算金额）。其中，一般公共预算项目30个，涉及资金10,034.63万元，占一般公共预算项目支出总额的100%；政府性基金预算项目15个，涉及资金12,555.03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无</w:t>
      </w:r>
      <w:r>
        <w:rPr>
          <w:rFonts w:ascii="Times New Roman" w:eastAsia="仿宋_GB2312"/>
          <w:b w:val="0"/>
          <w:sz w:val="32"/>
          <w:szCs w:val="32"/>
        </w:rPr>
        <w:t>国有资本经营预算项目。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color w:val="auto"/>
          <w:sz w:val="32"/>
          <w:szCs w:val="32"/>
        </w:rPr>
        <w:t>本单位无部门重点评价项目。</w:t>
      </w: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（二）</w:t>
      </w:r>
      <w:r>
        <w:rPr>
          <w:rFonts w:hint="eastAsia" w:ascii="楷体_GB2312" w:hAnsi="楷体_GB2312" w:eastAsia="楷体_GB2312" w:cs="楷体_GB2312"/>
          <w:b/>
          <w:sz w:val="32"/>
          <w:szCs w:val="32"/>
          <w:lang w:eastAsia="zh-CN"/>
        </w:rPr>
        <w:t>单位</w:t>
      </w:r>
      <w:r>
        <w:rPr>
          <w:rFonts w:hint="eastAsia" w:ascii="楷体_GB2312" w:hAnsi="楷体_GB2312" w:eastAsia="楷体_GB2312" w:cs="楷体_GB2312"/>
          <w:b/>
          <w:sz w:val="32"/>
          <w:szCs w:val="32"/>
        </w:rPr>
        <w:t>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rPr>
        <w:t>公交运营补贴项目</w:t>
      </w:r>
      <w:r>
        <w:rPr>
          <w:rFonts w:hint="eastAsia" w:ascii="Times New Roman" w:eastAsia="仿宋_GB2312"/>
          <w:b w:val="0"/>
          <w:sz w:val="32"/>
          <w:szCs w:val="32"/>
          <w:lang w:eastAsia="zh-CN"/>
        </w:rPr>
        <w:t>、复兴大街及北三环市政化改造项目</w:t>
      </w:r>
      <w:bookmarkStart w:id="0" w:name="_GoBack"/>
      <w:bookmarkEnd w:id="0"/>
      <w:r>
        <w:rPr>
          <w:rFonts w:hint="eastAsia" w:ascii="Times New Roman" w:eastAsia="仿宋_GB2312"/>
          <w:b w:val="0"/>
          <w:sz w:val="32"/>
          <w:szCs w:val="32"/>
          <w:lang w:eastAsia="zh-CN"/>
        </w:rPr>
        <w:t>等</w:t>
      </w:r>
      <w:r>
        <w:rPr>
          <w:rFonts w:hint="eastAsia" w:ascii="Times New Roman" w:eastAsia="仿宋_GB2312"/>
          <w:b w:val="0"/>
          <w:sz w:val="32"/>
          <w:szCs w:val="32"/>
          <w:lang w:val="en-US" w:eastAsia="zh-CN"/>
        </w:rPr>
        <w:t>45</w:t>
      </w:r>
      <w:r>
        <w:rPr>
          <w:rFonts w:ascii="Times New Roman" w:eastAsia="仿宋_GB2312"/>
          <w:b w:val="0"/>
          <w:sz w:val="32"/>
          <w:szCs w:val="32"/>
        </w:rPr>
        <w:t>个项目绩效自评结果。</w:t>
      </w:r>
    </w:p>
    <w:p>
      <w:pPr>
        <w:widowControl/>
        <w:numPr>
          <w:ilvl w:val="0"/>
          <w:numId w:val="0"/>
        </w:numPr>
        <w:spacing w:before="0" w:beforeLines="0" w:beforeAutospacing="0" w:after="0" w:afterLines="0" w:afterAutospacing="0" w:line="360" w:lineRule="auto"/>
        <w:ind w:firstLine="640"/>
        <w:jc w:val="left"/>
        <w:rPr>
          <w:rFonts w:ascii="Times New Roman" w:eastAsia="仿宋_GB2312"/>
          <w:b w:val="0"/>
          <w:sz w:val="32"/>
          <w:szCs w:val="32"/>
        </w:rPr>
      </w:pPr>
      <w:r>
        <w:rPr>
          <w:rFonts w:hint="eastAsia" w:ascii="Times New Roman" w:eastAsia="仿宋_GB2312"/>
          <w:b w:val="0"/>
          <w:sz w:val="32"/>
          <w:szCs w:val="32"/>
          <w:lang w:val="en-US" w:eastAsia="zh-CN"/>
        </w:rPr>
        <w:t>1.城市公交车差异化补贴项目绩效自评结果：</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城市公交车差异化补贴</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122.54</w:t>
      </w:r>
      <w:r>
        <w:rPr>
          <w:rFonts w:ascii="Times New Roman" w:eastAsia="仿宋_GB2312"/>
          <w:b w:val="0"/>
          <w:sz w:val="32"/>
          <w:szCs w:val="32"/>
        </w:rPr>
        <w:t>万元，执行数为</w:t>
      </w:r>
      <w:r>
        <w:rPr>
          <w:rFonts w:hint="eastAsia" w:ascii="Times New Roman" w:eastAsia="仿宋_GB2312"/>
          <w:b w:val="0"/>
          <w:sz w:val="32"/>
          <w:szCs w:val="32"/>
          <w:lang w:val="en-US" w:eastAsia="zh-CN"/>
        </w:rPr>
        <w:t>122.54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对符合条件的敬老爱老服务公交线路、低地板及低入口新能源公交车、氢燃料电池公交车，按照标准给予</w:t>
      </w:r>
      <w:r>
        <w:rPr>
          <w:rFonts w:hint="eastAsia" w:ascii="Times New Roman" w:eastAsia="仿宋_GB2312"/>
          <w:b w:val="0"/>
          <w:sz w:val="32"/>
          <w:szCs w:val="32"/>
          <w:lang w:eastAsia="zh-CN"/>
        </w:rPr>
        <w:t>了</w:t>
      </w:r>
      <w:r>
        <w:rPr>
          <w:rFonts w:hint="eastAsia" w:ascii="Times New Roman" w:eastAsia="仿宋_GB2312"/>
          <w:b w:val="0"/>
          <w:sz w:val="32"/>
          <w:szCs w:val="32"/>
        </w:rPr>
        <w:t>资金补贴，支持</w:t>
      </w:r>
      <w:r>
        <w:rPr>
          <w:rFonts w:hint="eastAsia" w:ascii="Times New Roman" w:eastAsia="仿宋_GB2312"/>
          <w:b w:val="0"/>
          <w:sz w:val="32"/>
          <w:szCs w:val="32"/>
          <w:lang w:eastAsia="zh-CN"/>
        </w:rPr>
        <w:t>了</w:t>
      </w:r>
      <w:r>
        <w:rPr>
          <w:rFonts w:hint="eastAsia" w:ascii="Times New Roman" w:eastAsia="仿宋_GB2312"/>
          <w:b w:val="0"/>
          <w:sz w:val="32"/>
          <w:szCs w:val="32"/>
        </w:rPr>
        <w:t>公交行业发展</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2.公交运营补贴项目</w:t>
      </w:r>
      <w:r>
        <w:rPr>
          <w:rFonts w:ascii="Times New Roman" w:eastAsia="仿宋_GB2312"/>
          <w:b w:val="0"/>
          <w:sz w:val="32"/>
          <w:szCs w:val="32"/>
        </w:rPr>
        <w:t>绩效自评情况：根据年初设定的绩效目标，</w:t>
      </w:r>
      <w:r>
        <w:rPr>
          <w:rFonts w:hint="eastAsia" w:ascii="Times New Roman" w:eastAsia="仿宋_GB2312"/>
          <w:b w:val="0"/>
          <w:sz w:val="32"/>
          <w:szCs w:val="32"/>
          <w:lang w:val="en-US" w:eastAsia="zh-CN"/>
        </w:rPr>
        <w:t>公交运营补贴</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99.9分</w:t>
      </w:r>
      <w:r>
        <w:rPr>
          <w:rFonts w:ascii="Times New Roman" w:eastAsia="仿宋_GB2312"/>
          <w:b w:val="0"/>
          <w:sz w:val="32"/>
          <w:szCs w:val="32"/>
        </w:rPr>
        <w:t>。全年预算数为</w:t>
      </w:r>
      <w:r>
        <w:rPr>
          <w:rFonts w:hint="eastAsia" w:ascii="Times New Roman" w:eastAsia="仿宋_GB2312"/>
          <w:b w:val="0"/>
          <w:sz w:val="32"/>
          <w:szCs w:val="32"/>
          <w:lang w:val="en-US" w:eastAsia="zh-CN"/>
        </w:rPr>
        <w:t>90000</w:t>
      </w:r>
      <w:r>
        <w:rPr>
          <w:rFonts w:ascii="Times New Roman" w:eastAsia="仿宋_GB2312"/>
          <w:b w:val="0"/>
          <w:sz w:val="32"/>
          <w:szCs w:val="32"/>
        </w:rPr>
        <w:t>万元，执行数为</w:t>
      </w:r>
      <w:r>
        <w:rPr>
          <w:rFonts w:hint="eastAsia" w:ascii="Times New Roman" w:eastAsia="仿宋_GB2312"/>
          <w:b w:val="0"/>
          <w:sz w:val="32"/>
          <w:szCs w:val="32"/>
          <w:lang w:val="en-US" w:eastAsia="zh-CN"/>
        </w:rPr>
        <w:t>85836</w:t>
      </w:r>
      <w:r>
        <w:rPr>
          <w:rFonts w:ascii="Times New Roman" w:eastAsia="仿宋_GB2312"/>
          <w:b w:val="0"/>
          <w:sz w:val="32"/>
          <w:szCs w:val="32"/>
        </w:rPr>
        <w:t>万元，</w:t>
      </w:r>
      <w:r>
        <w:rPr>
          <w:rFonts w:hint="eastAsia" w:ascii="Times New Roman" w:eastAsia="仿宋_GB2312"/>
          <w:b w:val="0"/>
          <w:sz w:val="32"/>
          <w:szCs w:val="32"/>
        </w:rPr>
        <w:t>结余交回财政数</w:t>
      </w:r>
      <w:r>
        <w:rPr>
          <w:rFonts w:hint="eastAsia" w:ascii="Times New Roman" w:eastAsia="仿宋_GB2312"/>
          <w:b w:val="0"/>
          <w:sz w:val="32"/>
          <w:szCs w:val="32"/>
          <w:lang w:val="en-US" w:eastAsia="zh-CN"/>
        </w:rPr>
        <w:t>4164万元，</w:t>
      </w:r>
      <w:r>
        <w:rPr>
          <w:rFonts w:ascii="Times New Roman" w:eastAsia="仿宋_GB2312"/>
          <w:b w:val="0"/>
          <w:sz w:val="32"/>
          <w:szCs w:val="32"/>
        </w:rPr>
        <w:t>完成预算的</w:t>
      </w:r>
      <w:r>
        <w:rPr>
          <w:rFonts w:hint="eastAsia" w:ascii="Times New Roman" w:eastAsia="仿宋_GB2312"/>
          <w:b w:val="0"/>
          <w:sz w:val="32"/>
          <w:szCs w:val="32"/>
          <w:lang w:val="en-US" w:eastAsia="zh-CN"/>
        </w:rPr>
        <w:t>95.37</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2025年运营线路条数达到246条，年载客里程完成年度计划里程的90%以上，为城市公交正常运营提供保障。</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3.</w:t>
      </w:r>
      <w:r>
        <w:rPr>
          <w:rFonts w:hint="eastAsia" w:ascii="Times New Roman" w:eastAsia="仿宋_GB2312"/>
          <w:b w:val="0"/>
          <w:sz w:val="32"/>
          <w:szCs w:val="32"/>
        </w:rPr>
        <w:t>南绕城高速公路专项债付息资金</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南绕城高速公路专项债付息资金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rPr>
        <w:t>8985.58</w:t>
      </w:r>
      <w:r>
        <w:rPr>
          <w:rFonts w:ascii="Times New Roman" w:eastAsia="仿宋_GB2312"/>
          <w:b w:val="0"/>
          <w:sz w:val="32"/>
          <w:szCs w:val="32"/>
        </w:rPr>
        <w:t>万元，执行数为</w:t>
      </w:r>
      <w:r>
        <w:rPr>
          <w:rFonts w:hint="eastAsia" w:ascii="Times New Roman" w:eastAsia="仿宋_GB2312"/>
          <w:b w:val="0"/>
          <w:sz w:val="32"/>
          <w:szCs w:val="32"/>
        </w:rPr>
        <w:t>8985.58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%。项目绩效目标完成情况是</w:t>
      </w:r>
      <w:r>
        <w:rPr>
          <w:rFonts w:hint="eastAsia" w:ascii="Times New Roman" w:eastAsia="仿宋_GB2312"/>
          <w:b w:val="0"/>
          <w:sz w:val="32"/>
          <w:szCs w:val="32"/>
          <w:lang w:eastAsia="zh-CN"/>
        </w:rPr>
        <w:t>及时足额</w:t>
      </w:r>
      <w:r>
        <w:rPr>
          <w:rFonts w:hint="eastAsia" w:ascii="Times New Roman" w:eastAsia="仿宋_GB2312"/>
          <w:b w:val="0"/>
          <w:sz w:val="32"/>
          <w:szCs w:val="32"/>
        </w:rPr>
        <w:t>支付专项债券利息金额8985.58万元</w:t>
      </w:r>
      <w:r>
        <w:rPr>
          <w:rFonts w:hint="eastAsia" w:ascii="Times New Roman" w:eastAsia="仿宋_GB2312"/>
          <w:b w:val="0"/>
          <w:sz w:val="32"/>
          <w:szCs w:val="32"/>
          <w:lang w:eastAsia="zh-CN"/>
        </w:rPr>
        <w:t>。未发现问题</w:t>
      </w:r>
      <w:r>
        <w:rPr>
          <w:rFonts w:ascii="Times New Roman" w:eastAsia="仿宋_GB2312"/>
          <w:b w:val="0"/>
          <w:sz w:val="32"/>
          <w:szCs w:val="32"/>
        </w:rPr>
        <w:t>。</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4.政府还贷高速公路运营经费项目绩效自评情况：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政府还贷高速公路运营经费</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45500</w:t>
      </w:r>
      <w:r>
        <w:rPr>
          <w:rFonts w:ascii="Times New Roman" w:eastAsia="仿宋_GB2312"/>
          <w:b w:val="0"/>
          <w:sz w:val="32"/>
          <w:szCs w:val="32"/>
        </w:rPr>
        <w:t>万元，执行数为</w:t>
      </w:r>
      <w:r>
        <w:rPr>
          <w:rFonts w:hint="eastAsia" w:ascii="Times New Roman" w:eastAsia="仿宋_GB2312"/>
          <w:b w:val="0"/>
          <w:sz w:val="32"/>
          <w:szCs w:val="32"/>
          <w:lang w:val="en-US" w:eastAsia="zh-CN"/>
        </w:rPr>
        <w:t>45500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保障政府还贷高速公路里程</w:t>
      </w:r>
      <w:r>
        <w:rPr>
          <w:rFonts w:hint="eastAsia" w:ascii="Times New Roman" w:eastAsia="仿宋_GB2312"/>
          <w:b w:val="0"/>
          <w:sz w:val="32"/>
          <w:szCs w:val="32"/>
          <w:lang w:val="en-US" w:eastAsia="zh-CN"/>
        </w:rPr>
        <w:t>259公里，</w:t>
      </w:r>
      <w:r>
        <w:rPr>
          <w:rFonts w:hint="eastAsia" w:ascii="Times New Roman" w:eastAsia="仿宋_GB2312"/>
          <w:b w:val="0"/>
          <w:sz w:val="32"/>
          <w:szCs w:val="32"/>
        </w:rPr>
        <w:t>及时拨付高速公路运营养护等资金，保障高速公路正常运营</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5.复兴大街及北三环市政化改造项目资金项目绩效自评情况：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复兴大街及北三环市政化改造项目资金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12300</w:t>
      </w:r>
      <w:r>
        <w:rPr>
          <w:rFonts w:ascii="Times New Roman" w:eastAsia="仿宋_GB2312"/>
          <w:b w:val="0"/>
          <w:sz w:val="32"/>
          <w:szCs w:val="32"/>
        </w:rPr>
        <w:t>万元，执行数为</w:t>
      </w:r>
      <w:r>
        <w:rPr>
          <w:rFonts w:hint="eastAsia" w:ascii="Times New Roman" w:eastAsia="仿宋_GB2312"/>
          <w:b w:val="0"/>
          <w:sz w:val="32"/>
          <w:szCs w:val="32"/>
          <w:lang w:val="en-US" w:eastAsia="zh-CN"/>
        </w:rPr>
        <w:t>12300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新修建公路里程数</w:t>
      </w:r>
      <w:r>
        <w:rPr>
          <w:rFonts w:hint="eastAsia" w:ascii="Times New Roman" w:eastAsia="仿宋_GB2312"/>
          <w:b w:val="0"/>
          <w:sz w:val="32"/>
          <w:szCs w:val="32"/>
          <w:lang w:eastAsia="zh-CN"/>
        </w:rPr>
        <w:t>为</w:t>
      </w:r>
      <w:r>
        <w:rPr>
          <w:rFonts w:hint="eastAsia" w:ascii="Times New Roman" w:eastAsia="仿宋_GB2312"/>
          <w:b w:val="0"/>
          <w:sz w:val="32"/>
          <w:szCs w:val="32"/>
          <w:lang w:val="en-US" w:eastAsia="zh-CN"/>
        </w:rPr>
        <w:t>70.5公里，</w:t>
      </w:r>
      <w:r>
        <w:rPr>
          <w:rFonts w:hint="eastAsia" w:ascii="Times New Roman" w:eastAsia="仿宋_GB2312"/>
          <w:b w:val="0"/>
          <w:sz w:val="32"/>
          <w:szCs w:val="32"/>
        </w:rPr>
        <w:t>按照项目批复和工程进度拨付建设资金，确保城市快速路按期完成，提升道路通行能力</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6.城市交通发展奖励资金(新能源公交车运营补贴)项目绩效自评情况：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城市交通发展奖励资金(新能源公交车运营补贴)</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4885.44</w:t>
      </w:r>
      <w:r>
        <w:rPr>
          <w:rFonts w:ascii="Times New Roman" w:eastAsia="仿宋_GB2312"/>
          <w:b w:val="0"/>
          <w:sz w:val="32"/>
          <w:szCs w:val="32"/>
        </w:rPr>
        <w:t>万元，执行数为</w:t>
      </w:r>
      <w:r>
        <w:rPr>
          <w:rFonts w:hint="eastAsia" w:ascii="Times New Roman" w:eastAsia="仿宋_GB2312"/>
          <w:b w:val="0"/>
          <w:sz w:val="32"/>
          <w:szCs w:val="32"/>
          <w:lang w:val="en-US" w:eastAsia="zh-CN"/>
        </w:rPr>
        <w:t>4885.44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新能源公交车运营补贴的标台公里</w:t>
      </w:r>
      <w:r>
        <w:rPr>
          <w:rFonts w:hint="eastAsia" w:ascii="Times New Roman" w:eastAsia="仿宋_GB2312"/>
          <w:b w:val="0"/>
          <w:sz w:val="32"/>
          <w:szCs w:val="32"/>
          <w:lang w:eastAsia="zh-CN"/>
        </w:rPr>
        <w:t>数为</w:t>
      </w:r>
      <w:r>
        <w:rPr>
          <w:rFonts w:hint="eastAsia" w:ascii="Times New Roman" w:eastAsia="仿宋_GB2312"/>
          <w:b w:val="0"/>
          <w:sz w:val="32"/>
          <w:szCs w:val="32"/>
          <w:lang w:val="en-US" w:eastAsia="zh-CN"/>
        </w:rPr>
        <w:t>17599.843公里，</w:t>
      </w:r>
      <w:r>
        <w:rPr>
          <w:rFonts w:hint="eastAsia" w:ascii="Times New Roman" w:eastAsia="仿宋_GB2312"/>
          <w:b w:val="0"/>
          <w:sz w:val="32"/>
          <w:szCs w:val="32"/>
        </w:rPr>
        <w:t>全市公交全部为新能源公交车运营</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7.</w:t>
      </w:r>
      <w:r>
        <w:rPr>
          <w:rFonts w:hint="eastAsia" w:ascii="Times New Roman" w:eastAsia="仿宋_GB2312"/>
          <w:b w:val="0"/>
          <w:sz w:val="32"/>
          <w:szCs w:val="32"/>
        </w:rPr>
        <w:t>公交运营补贴</w:t>
      </w:r>
      <w:r>
        <w:rPr>
          <w:rFonts w:ascii="Times New Roman" w:eastAsia="仿宋_GB2312"/>
          <w:b w:val="0"/>
          <w:sz w:val="32"/>
          <w:szCs w:val="32"/>
        </w:rPr>
        <w:t>项目绩效自评情况：根据年初设定的绩效目标，</w:t>
      </w:r>
      <w:r>
        <w:rPr>
          <w:rFonts w:hint="eastAsia" w:ascii="Times New Roman" w:eastAsia="仿宋_GB2312"/>
          <w:b w:val="0"/>
          <w:sz w:val="32"/>
          <w:szCs w:val="32"/>
        </w:rPr>
        <w:t>公交运营补贴</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rPr>
        <w:t>2000</w:t>
      </w:r>
      <w:r>
        <w:rPr>
          <w:rFonts w:ascii="Times New Roman" w:eastAsia="仿宋_GB2312"/>
          <w:b w:val="0"/>
          <w:sz w:val="32"/>
          <w:szCs w:val="32"/>
        </w:rPr>
        <w:t>万元，执行数为</w:t>
      </w:r>
      <w:r>
        <w:rPr>
          <w:rFonts w:hint="eastAsia" w:ascii="Times New Roman" w:eastAsia="仿宋_GB2312"/>
          <w:b w:val="0"/>
          <w:sz w:val="32"/>
          <w:szCs w:val="32"/>
        </w:rPr>
        <w:t>2000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rPr>
        <w:t>2025年运营线路条数达到246条</w:t>
      </w:r>
      <w:r>
        <w:rPr>
          <w:rFonts w:ascii="Times New Roman" w:eastAsia="仿宋_GB2312"/>
          <w:b w:val="0"/>
          <w:sz w:val="32"/>
          <w:szCs w:val="32"/>
        </w:rPr>
        <w:t>；二是</w:t>
      </w:r>
      <w:r>
        <w:rPr>
          <w:rFonts w:hint="eastAsia" w:ascii="Times New Roman" w:eastAsia="仿宋_GB2312"/>
          <w:b w:val="0"/>
          <w:sz w:val="32"/>
          <w:szCs w:val="32"/>
        </w:rPr>
        <w:t>年载客里程完成年度计划里程的90%以上</w:t>
      </w:r>
      <w:r>
        <w:rPr>
          <w:rFonts w:ascii="Times New Roman" w:eastAsia="仿宋_GB2312"/>
          <w:b w:val="0"/>
          <w:sz w:val="32"/>
          <w:szCs w:val="32"/>
        </w:rPr>
        <w:t>。</w:t>
      </w:r>
      <w:r>
        <w:rPr>
          <w:rFonts w:hint="eastAsia" w:ascii="Times New Roman" w:eastAsia="仿宋_GB2312"/>
          <w:b w:val="0"/>
          <w:sz w:val="32"/>
          <w:szCs w:val="32"/>
        </w:rPr>
        <w:t>为城市公交正常运营提供</w:t>
      </w:r>
      <w:r>
        <w:rPr>
          <w:rFonts w:hint="eastAsia" w:ascii="Times New Roman" w:eastAsia="仿宋_GB2312"/>
          <w:b w:val="0"/>
          <w:sz w:val="32"/>
          <w:szCs w:val="32"/>
          <w:lang w:eastAsia="zh-CN"/>
        </w:rPr>
        <w:t>了</w:t>
      </w:r>
      <w:r>
        <w:rPr>
          <w:rFonts w:hint="eastAsia" w:ascii="Times New Roman" w:eastAsia="仿宋_GB2312"/>
          <w:b w:val="0"/>
          <w:sz w:val="32"/>
          <w:szCs w:val="32"/>
        </w:rPr>
        <w:t>保障</w:t>
      </w:r>
      <w:r>
        <w:rPr>
          <w:rFonts w:hint="eastAsia" w:ascii="Times New Roman" w:eastAsia="仿宋_GB2312"/>
          <w:b w:val="0"/>
          <w:sz w:val="32"/>
          <w:szCs w:val="32"/>
          <w:lang w:eastAsia="zh-CN"/>
        </w:rPr>
        <w:t>，未发现问题</w:t>
      </w:r>
      <w:r>
        <w:rPr>
          <w:rFonts w:ascii="Times New Roman" w:eastAsia="仿宋_GB2312"/>
          <w:b w:val="0"/>
          <w:sz w:val="32"/>
          <w:szCs w:val="32"/>
        </w:rPr>
        <w:t>。</w:t>
      </w:r>
    </w:p>
    <w:p>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8.市区至机场免费通行项目资金项目</w:t>
      </w:r>
      <w:r>
        <w:rPr>
          <w:rFonts w:ascii="Times New Roman" w:eastAsia="仿宋_GB2312"/>
          <w:b w:val="0"/>
          <w:sz w:val="32"/>
          <w:szCs w:val="32"/>
        </w:rPr>
        <w:t>绩效自评情况：根据年初设定的绩效目标，</w:t>
      </w:r>
      <w:r>
        <w:rPr>
          <w:rFonts w:hint="eastAsia" w:ascii="Times New Roman" w:eastAsia="仿宋_GB2312"/>
          <w:b w:val="0"/>
          <w:sz w:val="32"/>
          <w:szCs w:val="32"/>
          <w:lang w:val="en-US" w:eastAsia="zh-CN"/>
        </w:rPr>
        <w:t>市区至机场免费通行项目资金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2060</w:t>
      </w:r>
      <w:r>
        <w:rPr>
          <w:rFonts w:ascii="Times New Roman" w:eastAsia="仿宋_GB2312"/>
          <w:b w:val="0"/>
          <w:sz w:val="32"/>
          <w:szCs w:val="32"/>
        </w:rPr>
        <w:t>万元，执行数为</w:t>
      </w:r>
      <w:r>
        <w:rPr>
          <w:rFonts w:hint="eastAsia" w:ascii="Times New Roman" w:eastAsia="仿宋_GB2312"/>
          <w:b w:val="0"/>
          <w:sz w:val="32"/>
          <w:szCs w:val="32"/>
          <w:lang w:val="en-US" w:eastAsia="zh-CN"/>
        </w:rPr>
        <w:t>2060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rPr>
        <w:t>保障免费通行路段公里数</w:t>
      </w:r>
      <w:r>
        <w:rPr>
          <w:rFonts w:hint="eastAsia" w:ascii="Times New Roman" w:eastAsia="仿宋_GB2312"/>
          <w:b w:val="0"/>
          <w:sz w:val="32"/>
          <w:szCs w:val="32"/>
          <w:lang w:val="en-US" w:eastAsia="zh-CN"/>
        </w:rPr>
        <w:t>21.48公里。</w:t>
      </w:r>
      <w:r>
        <w:rPr>
          <w:rFonts w:hint="eastAsia" w:ascii="Times New Roman" w:eastAsia="仿宋_GB2312"/>
          <w:b w:val="0"/>
          <w:sz w:val="32"/>
          <w:szCs w:val="32"/>
        </w:rPr>
        <w:t>通过开展市区至机场惠民免费工作，提升</w:t>
      </w:r>
      <w:r>
        <w:rPr>
          <w:rFonts w:hint="eastAsia" w:ascii="Times New Roman" w:eastAsia="仿宋_GB2312"/>
          <w:b w:val="0"/>
          <w:sz w:val="32"/>
          <w:szCs w:val="32"/>
          <w:lang w:eastAsia="zh-CN"/>
        </w:rPr>
        <w:t>了</w:t>
      </w:r>
      <w:r>
        <w:rPr>
          <w:rFonts w:hint="eastAsia" w:ascii="Times New Roman" w:eastAsia="仿宋_GB2312"/>
          <w:b w:val="0"/>
          <w:sz w:val="32"/>
          <w:szCs w:val="32"/>
        </w:rPr>
        <w:t>人民群众满意度和获得感</w:t>
      </w:r>
      <w:r>
        <w:rPr>
          <w:rFonts w:hint="eastAsia" w:ascii="Times New Roman" w:eastAsia="仿宋_GB2312"/>
          <w:b w:val="0"/>
          <w:sz w:val="32"/>
          <w:szCs w:val="32"/>
          <w:lang w:eastAsia="zh-CN"/>
        </w:rPr>
        <w:t>。未发现问题</w:t>
      </w:r>
      <w:r>
        <w:rPr>
          <w:rFonts w:ascii="Times New Roman" w:eastAsia="仿宋_GB2312"/>
          <w:b w:val="0"/>
          <w:sz w:val="32"/>
          <w:szCs w:val="32"/>
        </w:rPr>
        <w:t>。</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9.重点城市重型柴油货车新能源替代奖励（专项资金）项目绩效自评情况：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重点城市重型柴油货车新能源替代奖励（专项资金）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1951</w:t>
      </w:r>
      <w:r>
        <w:rPr>
          <w:rFonts w:ascii="Times New Roman" w:eastAsia="仿宋_GB2312"/>
          <w:b w:val="0"/>
          <w:sz w:val="32"/>
          <w:szCs w:val="32"/>
        </w:rPr>
        <w:t>万元，执行数为</w:t>
      </w:r>
      <w:r>
        <w:rPr>
          <w:rFonts w:hint="eastAsia" w:ascii="Times New Roman" w:eastAsia="仿宋_GB2312"/>
          <w:b w:val="0"/>
          <w:sz w:val="32"/>
          <w:szCs w:val="32"/>
          <w:lang w:val="en-US" w:eastAsia="zh-CN"/>
        </w:rPr>
        <w:t>1951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年内新登记注册并在省内运营的新能源重型货车</w:t>
      </w:r>
      <w:r>
        <w:rPr>
          <w:rFonts w:hint="eastAsia" w:ascii="Times New Roman" w:eastAsia="仿宋_GB2312"/>
          <w:b w:val="0"/>
          <w:sz w:val="32"/>
          <w:szCs w:val="32"/>
          <w:lang w:val="en-US" w:eastAsia="zh-CN"/>
        </w:rPr>
        <w:t>4123辆，</w:t>
      </w:r>
      <w:r>
        <w:rPr>
          <w:rFonts w:hint="eastAsia" w:ascii="Times New Roman" w:eastAsia="仿宋_GB2312"/>
          <w:b w:val="0"/>
          <w:sz w:val="32"/>
          <w:szCs w:val="32"/>
        </w:rPr>
        <w:t>2024新增新能源重型货车占比达到20%以上</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10.绿色货运配送示范城市奖励资金项目</w:t>
      </w:r>
      <w:r>
        <w:rPr>
          <w:rFonts w:ascii="Times New Roman" w:eastAsia="仿宋_GB2312"/>
          <w:b w:val="0"/>
          <w:sz w:val="32"/>
          <w:szCs w:val="32"/>
        </w:rPr>
        <w:t>绩效自评情况：根据年初设定的绩效目标，</w:t>
      </w:r>
      <w:r>
        <w:rPr>
          <w:rFonts w:hint="eastAsia" w:ascii="Times New Roman" w:eastAsia="仿宋_GB2312"/>
          <w:b w:val="0"/>
          <w:sz w:val="32"/>
          <w:szCs w:val="32"/>
          <w:lang w:val="en-US" w:eastAsia="zh-CN"/>
        </w:rPr>
        <w:t>绿色货运配送示范城市奖励资金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300</w:t>
      </w:r>
      <w:r>
        <w:rPr>
          <w:rFonts w:ascii="Times New Roman" w:eastAsia="仿宋_GB2312"/>
          <w:b w:val="0"/>
          <w:sz w:val="32"/>
          <w:szCs w:val="32"/>
        </w:rPr>
        <w:t>万元，执行数为</w:t>
      </w:r>
      <w:r>
        <w:rPr>
          <w:rFonts w:hint="eastAsia" w:ascii="Times New Roman" w:eastAsia="仿宋_GB2312"/>
          <w:b w:val="0"/>
          <w:sz w:val="32"/>
          <w:szCs w:val="32"/>
          <w:lang w:val="en-US" w:eastAsia="zh-CN"/>
        </w:rPr>
        <w:t>300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是已整合并投入运营的一级货运枢纽达到4个，二级公配中心达到10个，2025年奖励新投入运营的末端配送网点293个。未发现问题。</w:t>
      </w: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lang w:val="en-US" w:eastAsia="zh-CN"/>
        </w:rPr>
        <w:t>1.</w:t>
      </w:r>
      <w:r>
        <w:rPr>
          <w:rFonts w:hint="eastAsia" w:ascii="方正仿宋_GB2312" w:hAnsi="方正仿宋_GB2312" w:eastAsia="方正仿宋_GB2312" w:cs="方正仿宋_GB2312"/>
          <w:b/>
          <w:sz w:val="32"/>
          <w:szCs w:val="32"/>
        </w:rPr>
        <w:t>城市公交车差异化补贴项目</w:t>
      </w:r>
    </w:p>
    <w:p>
      <w:pPr>
        <w:widowControl/>
        <w:numPr>
          <w:ilvl w:val="0"/>
          <w:numId w:val="0"/>
        </w:numPr>
        <w:spacing w:before="0" w:beforeLines="0" w:beforeAutospacing="0" w:after="0" w:afterLines="0" w:afterAutospacing="0" w:line="360" w:lineRule="auto"/>
        <w:jc w:val="left"/>
      </w:pP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509260" cy="6734175"/>
            <wp:effectExtent l="0" t="0" r="762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5509260" cy="673417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ind w:left="319" w:leftChars="133" w:firstLine="321" w:firstLineChars="1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2.</w:t>
      </w:r>
      <w:r>
        <w:rPr>
          <w:rFonts w:hint="eastAsia" w:ascii="方正仿宋_GB2312" w:hAnsi="方正仿宋_GB2312" w:eastAsia="方正仿宋_GB2312" w:cs="方正仿宋_GB2312"/>
          <w:b/>
          <w:sz w:val="32"/>
          <w:szCs w:val="32"/>
          <w:lang w:eastAsia="zh-CN"/>
        </w:rPr>
        <w:t>公交运营补贴项目</w:t>
      </w:r>
      <w:r>
        <w:drawing>
          <wp:inline distT="0" distB="0" distL="114300" distR="114300">
            <wp:extent cx="5663565" cy="6759575"/>
            <wp:effectExtent l="0" t="0" r="5715" b="698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0"/>
                    <a:stretch>
                      <a:fillRect/>
                    </a:stretch>
                  </pic:blipFill>
                  <pic:spPr>
                    <a:xfrm>
                      <a:off x="0" y="0"/>
                      <a:ext cx="5663565" cy="675957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left="319" w:leftChars="133" w:firstLine="321" w:firstLineChars="100"/>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left="319" w:leftChars="133" w:firstLine="321" w:firstLineChars="1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3.</w:t>
      </w:r>
      <w:r>
        <w:rPr>
          <w:rFonts w:hint="eastAsia" w:ascii="方正仿宋_GB2312" w:hAnsi="方正仿宋_GB2312" w:eastAsia="方正仿宋_GB2312" w:cs="方正仿宋_GB2312"/>
          <w:b/>
          <w:sz w:val="32"/>
          <w:szCs w:val="32"/>
        </w:rPr>
        <w:t>南绕城高速公路专项债付息资金项目</w:t>
      </w:r>
      <w:r>
        <w:rPr>
          <w:rFonts w:hint="eastAsia" w:ascii="方正仿宋_GB2312" w:hAnsi="方正仿宋_GB2312" w:eastAsia="方正仿宋_GB2312" w:cs="方正仿宋_GB2312"/>
          <w:b/>
          <w:sz w:val="32"/>
          <w:szCs w:val="32"/>
          <w:lang w:val="en-US" w:eastAsia="zh-CN"/>
        </w:rPr>
        <w:t xml:space="preserve">          </w:t>
      </w:r>
    </w:p>
    <w:p>
      <w:pPr>
        <w:pStyle w:val="2"/>
        <w:numPr>
          <w:ilvl w:val="1"/>
          <w:numId w:val="0"/>
        </w:numPr>
        <w:ind w:leftChars="0"/>
        <w:rPr>
          <w:rFonts w:hint="default"/>
          <w:lang w:val="en-US" w:eastAsia="zh-CN"/>
        </w:rPr>
      </w:pP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419725" cy="6526530"/>
            <wp:effectExtent l="0" t="0" r="5715" b="1143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1"/>
                    <a:stretch>
                      <a:fillRect/>
                    </a:stretch>
                  </pic:blipFill>
                  <pic:spPr>
                    <a:xfrm>
                      <a:off x="0" y="0"/>
                      <a:ext cx="5419725" cy="6526530"/>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4.</w:t>
      </w:r>
      <w:r>
        <w:rPr>
          <w:rFonts w:hint="eastAsia" w:ascii="方正仿宋_GB2312" w:hAnsi="方正仿宋_GB2312" w:eastAsia="方正仿宋_GB2312" w:cs="方正仿宋_GB2312"/>
          <w:b/>
          <w:sz w:val="32"/>
          <w:szCs w:val="32"/>
        </w:rPr>
        <w:t>政府还贷高速公路运营经费项目</w:t>
      </w:r>
      <w:r>
        <w:rPr>
          <w:rFonts w:hint="eastAsia" w:ascii="方正仿宋_GB2312" w:hAnsi="方正仿宋_GB2312" w:eastAsia="方正仿宋_GB2312" w:cs="方正仿宋_GB2312"/>
          <w:b/>
          <w:sz w:val="32"/>
          <w:szCs w:val="32"/>
          <w:lang w:val="en-US" w:eastAsia="zh-CN"/>
        </w:rPr>
        <w:t xml:space="preserve">   </w:t>
      </w:r>
    </w:p>
    <w:p>
      <w:pPr>
        <w:widowControl/>
        <w:numPr>
          <w:ilvl w:val="0"/>
          <w:numId w:val="0"/>
        </w:numPr>
        <w:spacing w:before="0" w:beforeLines="0" w:beforeAutospacing="0" w:after="0" w:afterLines="0" w:afterAutospacing="0" w:line="360" w:lineRule="auto"/>
        <w:jc w:val="left"/>
        <w:rPr>
          <w:rFonts w:hint="default" w:ascii="方正仿宋_GB2312" w:hAnsi="方正仿宋_GB2312" w:eastAsia="方正仿宋_GB2312" w:cs="方正仿宋_GB2312"/>
          <w:b/>
          <w:sz w:val="32"/>
          <w:szCs w:val="32"/>
          <w:lang w:val="en-US" w:eastAsia="zh-CN"/>
        </w:rPr>
      </w:pPr>
      <w:r>
        <w:rPr>
          <w:rFonts w:hint="eastAsia"/>
          <w:lang w:val="en-US" w:eastAsia="zh-CN"/>
        </w:rPr>
        <w:t xml:space="preserve">  </w:t>
      </w:r>
      <w:r>
        <w:drawing>
          <wp:inline distT="0" distB="0" distL="114300" distR="114300">
            <wp:extent cx="5506720" cy="6570345"/>
            <wp:effectExtent l="0" t="0" r="10160" b="1333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2"/>
                    <a:stretch>
                      <a:fillRect/>
                    </a:stretch>
                  </pic:blipFill>
                  <pic:spPr>
                    <a:xfrm>
                      <a:off x="0" y="0"/>
                      <a:ext cx="5506720" cy="657034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5.</w:t>
      </w:r>
      <w:r>
        <w:rPr>
          <w:rFonts w:hint="eastAsia" w:ascii="方正仿宋_GB2312" w:hAnsi="方正仿宋_GB2312" w:eastAsia="方正仿宋_GB2312" w:cs="方正仿宋_GB2312"/>
          <w:b/>
          <w:sz w:val="32"/>
          <w:szCs w:val="32"/>
        </w:rPr>
        <w:t>复兴大街及北三环市政化改造项目</w:t>
      </w:r>
      <w:r>
        <w:rPr>
          <w:rFonts w:hint="eastAsia" w:ascii="方正仿宋_GB2312" w:hAnsi="方正仿宋_GB2312" w:eastAsia="方正仿宋_GB2312" w:cs="方正仿宋_GB2312"/>
          <w:b/>
          <w:sz w:val="32"/>
          <w:szCs w:val="32"/>
          <w:lang w:val="en-US" w:eastAsia="zh-CN"/>
        </w:rPr>
        <w:t xml:space="preserve"> </w:t>
      </w:r>
    </w:p>
    <w:p>
      <w:pPr>
        <w:widowControl/>
        <w:numPr>
          <w:ilvl w:val="0"/>
          <w:numId w:val="0"/>
        </w:numPr>
        <w:spacing w:before="0" w:beforeLines="0" w:beforeAutospacing="0" w:after="0" w:afterLines="0" w:afterAutospacing="0" w:line="360" w:lineRule="auto"/>
        <w:jc w:val="left"/>
        <w:rPr>
          <w:rFonts w:hint="default" w:ascii="方正仿宋_GB2312" w:hAnsi="方正仿宋_GB2312" w:eastAsia="方正仿宋_GB2312" w:cs="方正仿宋_GB2312"/>
          <w:b/>
          <w:sz w:val="32"/>
          <w:szCs w:val="32"/>
          <w:lang w:val="en-US" w:eastAsia="zh-CN"/>
        </w:rPr>
      </w:pPr>
      <w:r>
        <w:drawing>
          <wp:inline distT="0" distB="0" distL="114300" distR="114300">
            <wp:extent cx="5688965" cy="6961505"/>
            <wp:effectExtent l="0" t="0" r="10795" b="317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3"/>
                    <a:stretch>
                      <a:fillRect/>
                    </a:stretch>
                  </pic:blipFill>
                  <pic:spPr>
                    <a:xfrm>
                      <a:off x="0" y="0"/>
                      <a:ext cx="5688965" cy="696150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6.</w:t>
      </w:r>
      <w:r>
        <w:rPr>
          <w:rFonts w:hint="eastAsia" w:ascii="方正仿宋_GB2312" w:hAnsi="方正仿宋_GB2312" w:eastAsia="方正仿宋_GB2312" w:cs="方正仿宋_GB2312"/>
          <w:b/>
          <w:sz w:val="32"/>
          <w:szCs w:val="32"/>
        </w:rPr>
        <w:t>城市交通发展奖励资金(新能源公交车运营补贴)项目</w:t>
      </w:r>
    </w:p>
    <w:p>
      <w:pPr>
        <w:widowControl/>
        <w:numPr>
          <w:ilvl w:val="0"/>
          <w:numId w:val="0"/>
        </w:numPr>
        <w:spacing w:before="0" w:beforeLines="0" w:beforeAutospacing="0" w:after="0" w:afterLines="0" w:afterAutospacing="0" w:line="360" w:lineRule="auto"/>
        <w:jc w:val="left"/>
      </w:pP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531485" cy="6875780"/>
            <wp:effectExtent l="0" t="0" r="635" b="1270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24"/>
                    <a:stretch>
                      <a:fillRect/>
                    </a:stretch>
                  </pic:blipFill>
                  <pic:spPr>
                    <a:xfrm>
                      <a:off x="0" y="0"/>
                      <a:ext cx="5531485" cy="6875780"/>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default"/>
          <w:lang w:val="en-US" w:eastAsia="zh-CN"/>
        </w:rPr>
      </w:pP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7.</w:t>
      </w:r>
      <w:r>
        <w:rPr>
          <w:rFonts w:hint="eastAsia" w:ascii="方正仿宋_GB2312" w:hAnsi="方正仿宋_GB2312" w:eastAsia="方正仿宋_GB2312" w:cs="方正仿宋_GB2312"/>
          <w:b/>
          <w:sz w:val="32"/>
          <w:szCs w:val="32"/>
        </w:rPr>
        <w:t>公交运营补贴项目</w:t>
      </w:r>
    </w:p>
    <w:p>
      <w:pPr>
        <w:widowControl/>
        <w:spacing w:before="0" w:beforeLines="0" w:beforeAutospacing="0" w:after="0" w:afterLines="0" w:afterAutospacing="0" w:line="360" w:lineRule="auto"/>
        <w:jc w:val="left"/>
        <w:rPr>
          <w:rFonts w:ascii="Times New Roman" w:eastAsia="仿宋_GB2312"/>
          <w:b/>
          <w:sz w:val="32"/>
          <w:szCs w:val="32"/>
        </w:rPr>
      </w:pPr>
      <w:r>
        <w:drawing>
          <wp:inline distT="0" distB="0" distL="114300" distR="114300">
            <wp:extent cx="5524500" cy="6797675"/>
            <wp:effectExtent l="0" t="0" r="7620" b="1460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5"/>
                    <a:stretch>
                      <a:fillRect/>
                    </a:stretch>
                  </pic:blipFill>
                  <pic:spPr>
                    <a:xfrm>
                      <a:off x="0" y="0"/>
                      <a:ext cx="5524500" cy="6797675"/>
                    </a:xfrm>
                    <a:prstGeom prst="rect">
                      <a:avLst/>
                    </a:prstGeom>
                    <a:noFill/>
                    <a:ln>
                      <a:noFill/>
                    </a:ln>
                  </pic:spPr>
                </pic:pic>
              </a:graphicData>
            </a:graphic>
          </wp:inline>
        </w:drawing>
      </w:r>
    </w:p>
    <w:p>
      <w:pPr>
        <w:widowControl/>
        <w:spacing w:before="0" w:beforeLines="0" w:beforeAutospacing="0" w:after="0" w:afterLines="0" w:afterAutospacing="0" w:line="360" w:lineRule="auto"/>
        <w:jc w:val="left"/>
        <w:rPr>
          <w:rFonts w:ascii="Times New Roman" w:eastAsia="仿宋_GB2312"/>
          <w:b/>
          <w:sz w:val="32"/>
          <w:szCs w:val="32"/>
        </w:rPr>
      </w:pPr>
    </w:p>
    <w:p>
      <w:pPr>
        <w:widowControl/>
        <w:spacing w:before="0" w:beforeLines="0" w:beforeAutospacing="0" w:after="0" w:afterLines="0" w:afterAutospacing="0" w:line="360" w:lineRule="auto"/>
        <w:ind w:firstLine="964" w:firstLineChars="3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方正仿宋_GB2312" w:hAnsi="方正仿宋_GB2312" w:eastAsia="方正仿宋_GB2312" w:cs="方正仿宋_GB2312"/>
          <w:b/>
          <w:sz w:val="32"/>
          <w:szCs w:val="32"/>
          <w:lang w:val="en-US" w:eastAsia="zh-CN"/>
        </w:rPr>
        <w:t>8.</w:t>
      </w:r>
      <w:r>
        <w:rPr>
          <w:rFonts w:hint="eastAsia" w:ascii="方正仿宋_GB2312" w:hAnsi="方正仿宋_GB2312" w:eastAsia="方正仿宋_GB2312" w:cs="方正仿宋_GB2312"/>
          <w:b/>
          <w:sz w:val="32"/>
          <w:szCs w:val="32"/>
        </w:rPr>
        <w:t>市区至机场免费通行项目资金项目</w:t>
      </w:r>
    </w:p>
    <w:p>
      <w:pPr>
        <w:widowControl/>
        <w:spacing w:before="0" w:beforeLines="0" w:beforeAutospacing="0" w:after="0" w:afterLines="0" w:afterAutospacing="0" w:line="360" w:lineRule="auto"/>
        <w:jc w:val="left"/>
        <w:rPr>
          <w:rFonts w:ascii="Times New Roman" w:eastAsia="仿宋_GB2312"/>
          <w:b/>
          <w:sz w:val="32"/>
          <w:szCs w:val="32"/>
        </w:rPr>
      </w:pPr>
      <w:r>
        <w:drawing>
          <wp:inline distT="0" distB="0" distL="114300" distR="114300">
            <wp:extent cx="5758180" cy="6475095"/>
            <wp:effectExtent l="0" t="0" r="2540" b="190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6"/>
                    <a:stretch>
                      <a:fillRect/>
                    </a:stretch>
                  </pic:blipFill>
                  <pic:spPr>
                    <a:xfrm>
                      <a:off x="0" y="0"/>
                      <a:ext cx="5758180" cy="6475095"/>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方正仿宋_GB2312" w:hAnsi="方正仿宋_GB2312" w:eastAsia="方正仿宋_GB2312" w:cs="方正仿宋_GB2312"/>
          <w:b/>
          <w:sz w:val="32"/>
          <w:szCs w:val="32"/>
          <w:lang w:val="en-US" w:eastAsia="zh-CN"/>
        </w:rPr>
        <w:t>9.</w:t>
      </w:r>
      <w:r>
        <w:rPr>
          <w:rFonts w:hint="eastAsia" w:ascii="方正仿宋_GB2312" w:hAnsi="方正仿宋_GB2312" w:eastAsia="方正仿宋_GB2312" w:cs="方正仿宋_GB2312"/>
          <w:b/>
          <w:sz w:val="32"/>
          <w:szCs w:val="32"/>
        </w:rPr>
        <w:t>重点城市重型柴油货车新能源替代奖励（专项资金）项目</w:t>
      </w:r>
    </w:p>
    <w:p>
      <w:pPr>
        <w:widowControl/>
        <w:spacing w:before="0" w:beforeLines="0" w:beforeAutospacing="0" w:after="0" w:afterLines="0" w:afterAutospacing="0" w:line="360" w:lineRule="auto"/>
        <w:ind w:firstLine="480" w:firstLineChars="200"/>
        <w:jc w:val="left"/>
        <w:rPr>
          <w:rFonts w:ascii="Times New Roman" w:eastAsia="仿宋_GB2312"/>
          <w:b/>
          <w:sz w:val="32"/>
          <w:szCs w:val="32"/>
        </w:rPr>
      </w:pPr>
      <w:r>
        <w:drawing>
          <wp:inline distT="0" distB="0" distL="114300" distR="114300">
            <wp:extent cx="5252720" cy="6482715"/>
            <wp:effectExtent l="0" t="0" r="5080" b="952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7"/>
                    <a:stretch>
                      <a:fillRect/>
                    </a:stretch>
                  </pic:blipFill>
                  <pic:spPr>
                    <a:xfrm>
                      <a:off x="0" y="0"/>
                      <a:ext cx="5252720" cy="6482715"/>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方正仿宋_GB2312" w:hAnsi="方正仿宋_GB2312" w:eastAsia="方正仿宋_GB2312" w:cs="方正仿宋_GB2312"/>
          <w:b/>
          <w:sz w:val="32"/>
          <w:szCs w:val="32"/>
          <w:lang w:val="en-US" w:eastAsia="zh-CN"/>
        </w:rPr>
        <w:t>10.</w:t>
      </w:r>
      <w:r>
        <w:rPr>
          <w:rFonts w:hint="eastAsia" w:ascii="方正仿宋_GB2312" w:hAnsi="方正仿宋_GB2312" w:eastAsia="方正仿宋_GB2312" w:cs="方正仿宋_GB2312"/>
          <w:b/>
          <w:sz w:val="32"/>
          <w:szCs w:val="32"/>
        </w:rPr>
        <w:t>绿色货运配送示范城市奖励资金项目</w:t>
      </w:r>
    </w:p>
    <w:p>
      <w:pPr>
        <w:widowControl/>
        <w:spacing w:before="0" w:beforeLines="0" w:beforeAutospacing="0" w:after="0" w:afterLines="0" w:afterAutospacing="0" w:line="360" w:lineRule="auto"/>
        <w:ind w:firstLine="480" w:firstLineChars="200"/>
        <w:jc w:val="left"/>
        <w:rPr>
          <w:rFonts w:ascii="Times New Roman" w:eastAsia="仿宋_GB2312"/>
          <w:b/>
          <w:sz w:val="32"/>
          <w:szCs w:val="32"/>
        </w:rPr>
      </w:pPr>
      <w:r>
        <w:drawing>
          <wp:inline distT="0" distB="0" distL="114300" distR="114300">
            <wp:extent cx="5478145" cy="6601460"/>
            <wp:effectExtent l="0" t="0" r="8255" b="1270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8"/>
                    <a:stretch>
                      <a:fillRect/>
                    </a:stretch>
                  </pic:blipFill>
                  <pic:spPr>
                    <a:xfrm>
                      <a:off x="0" y="0"/>
                      <a:ext cx="5478145" cy="6601460"/>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color w:val="auto"/>
          <w:sz w:val="32"/>
          <w:szCs w:val="32"/>
          <w:lang w:val="en-US" w:eastAsia="zh-CN"/>
        </w:rPr>
      </w:pPr>
      <w:r>
        <w:rPr>
          <w:rFonts w:hint="eastAsia" w:ascii="方正仿宋_GB2312" w:hAnsi="方正仿宋_GB2312" w:eastAsia="方正仿宋_GB2312" w:cs="方正仿宋_GB2312"/>
          <w:b/>
          <w:color w:val="auto"/>
          <w:sz w:val="32"/>
          <w:szCs w:val="32"/>
          <w:lang w:val="en-US" w:eastAsia="zh-CN"/>
        </w:rPr>
        <w:t>45个项目绩效自评表见附件。</w:t>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（三）部门评价项目绩效评价结果</w:t>
      </w:r>
    </w:p>
    <w:p>
      <w:pPr>
        <w:widowControl/>
        <w:spacing w:before="0" w:beforeLines="0" w:beforeAutospacing="0" w:after="0" w:afterLines="0" w:afterAutospacing="0" w:line="360" w:lineRule="auto"/>
        <w:ind w:firstLine="1280" w:firstLineChars="400"/>
        <w:jc w:val="left"/>
        <w:rPr>
          <w:rFonts w:ascii="Times New Roman" w:eastAsia="仿宋_GB2312"/>
          <w:sz w:val="32"/>
          <w:szCs w:val="32"/>
        </w:rPr>
      </w:pPr>
      <w:r>
        <w:rPr>
          <w:rFonts w:hint="eastAsia" w:ascii="Times New Roman" w:eastAsia="仿宋_GB2312"/>
          <w:b w:val="0"/>
          <w:color w:val="auto"/>
          <w:sz w:val="32"/>
          <w:szCs w:val="32"/>
        </w:rPr>
        <w:t>本单位无部门重点评价项目。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3"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C76F6FC-B036-40D9-AEF3-BC45C0517939}"/>
  </w:font>
  <w:font w:name="黑体">
    <w:panose1 w:val="02010609060101010101"/>
    <w:charset w:val="86"/>
    <w:family w:val="auto"/>
    <w:pitch w:val="default"/>
    <w:sig w:usb0="800002BF" w:usb1="38CF7CFA" w:usb2="00000016" w:usb3="00000000" w:csb0="00040001" w:csb1="00000000"/>
    <w:embedRegular r:id="rId2" w:fontKey="{1825B8DA-63AF-4815-8661-58E096A1A2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AAAE9A29-AC1A-42AD-BEA8-B0D72A21DB7B}"/>
  </w:font>
  <w:font w:name="仿宋">
    <w:panose1 w:val="02010609060101010101"/>
    <w:charset w:val="86"/>
    <w:family w:val="modern"/>
    <w:pitch w:val="default"/>
    <w:sig w:usb0="800002BF" w:usb1="38CF7CFA" w:usb2="00000016" w:usb3="00000000" w:csb0="00040001" w:csb1="00000000"/>
    <w:embedRegular r:id="rId4" w:fontKey="{E7C678FB-B7F9-481C-ACB1-441ACCE6B602}"/>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01B9EB34-880A-4C36-91F0-58FB65119BEC}"/>
  </w:font>
  <w:font w:name="楷体_GB2312">
    <w:panose1 w:val="02010609030101010101"/>
    <w:charset w:val="86"/>
    <w:family w:val="auto"/>
    <w:pitch w:val="default"/>
    <w:sig w:usb0="00000001" w:usb1="080E0000" w:usb2="00000000" w:usb3="00000000" w:csb0="00040000" w:csb1="00000000"/>
    <w:embedRegular r:id="rId6" w:fontKey="{F59595DC-FB3A-4671-9E0F-DBDE5FCFC5E6}"/>
  </w:font>
  <w:font w:name="微软雅黑">
    <w:panose1 w:val="020B0503020204020204"/>
    <w:charset w:val="86"/>
    <w:family w:val="auto"/>
    <w:pitch w:val="default"/>
    <w:sig w:usb0="80000287" w:usb1="280F3C52" w:usb2="00000016" w:usb3="00000000" w:csb0="0004001F" w:csb1="00000000"/>
    <w:embedRegular r:id="rId7" w:fontKey="{D0A594E9-6889-4F48-A362-37E09456DCAF}"/>
  </w:font>
  <w:font w:name="方正小标宋_GBK">
    <w:panose1 w:val="02000000000000000000"/>
    <w:charset w:val="86"/>
    <w:family w:val="script"/>
    <w:pitch w:val="default"/>
    <w:sig w:usb0="A00002BF" w:usb1="38CF7CFA" w:usb2="00082016" w:usb3="00000000" w:csb0="00040001" w:csb1="00000000"/>
    <w:embedRegular r:id="rId8" w:fontKey="{62746B9A-EC4B-4986-A944-78DA86F25E03}"/>
  </w:font>
  <w:font w:name="仿宋_GB2312">
    <w:panose1 w:val="02010609030101010101"/>
    <w:charset w:val="86"/>
    <w:family w:val="auto"/>
    <w:pitch w:val="default"/>
    <w:sig w:usb0="00000001" w:usb1="080E0000" w:usb2="00000000" w:usb3="00000000" w:csb0="00040000" w:csb1="00000000"/>
    <w:embedRegular r:id="rId9" w:fontKey="{E7FDF44D-D2EF-494D-8160-D49D7CDCCDC0}"/>
  </w:font>
  <w:font w:name="ArialUnicodeMS">
    <w:altName w:val="Malgun Gothic"/>
    <w:panose1 w:val="00000000000000000000"/>
    <w:charset w:val="81"/>
    <w:family w:val="auto"/>
    <w:pitch w:val="default"/>
    <w:sig w:usb0="00000000" w:usb1="00000000" w:usb2="00000010" w:usb3="00000000" w:csb0="00080001" w:csb1="00000000"/>
    <w:embedRegular r:id="rId10" w:fontKey="{FBC1371B-D5B9-4F1C-A5A4-443AA9E6C93A}"/>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2"/>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336663"/>
    <w:rsid w:val="00822154"/>
    <w:rsid w:val="00C65689"/>
    <w:rsid w:val="00CC2C8E"/>
    <w:rsid w:val="0179546C"/>
    <w:rsid w:val="01A03C5A"/>
    <w:rsid w:val="01A5267D"/>
    <w:rsid w:val="01AE3368"/>
    <w:rsid w:val="01AF6A8D"/>
    <w:rsid w:val="01C21F0A"/>
    <w:rsid w:val="024808A2"/>
    <w:rsid w:val="025C3821"/>
    <w:rsid w:val="02DA3B1B"/>
    <w:rsid w:val="02E57B4D"/>
    <w:rsid w:val="03450B90"/>
    <w:rsid w:val="037B12D4"/>
    <w:rsid w:val="03804D63"/>
    <w:rsid w:val="03BD22CD"/>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67328F"/>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BEA012F"/>
    <w:rsid w:val="0C481041"/>
    <w:rsid w:val="0C4E53E8"/>
    <w:rsid w:val="0C6712D6"/>
    <w:rsid w:val="0C7F7845"/>
    <w:rsid w:val="0C9F7900"/>
    <w:rsid w:val="0CB20B1A"/>
    <w:rsid w:val="0CB23317"/>
    <w:rsid w:val="0D101068"/>
    <w:rsid w:val="0D141D2C"/>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494D34"/>
    <w:rsid w:val="18935485"/>
    <w:rsid w:val="18A34206"/>
    <w:rsid w:val="18DE3B2C"/>
    <w:rsid w:val="18EF453A"/>
    <w:rsid w:val="1906685D"/>
    <w:rsid w:val="19111683"/>
    <w:rsid w:val="19353916"/>
    <w:rsid w:val="193C28B3"/>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5D2184"/>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8065DC"/>
    <w:rsid w:val="27AA3D97"/>
    <w:rsid w:val="280A3758"/>
    <w:rsid w:val="28292E99"/>
    <w:rsid w:val="284E28FF"/>
    <w:rsid w:val="287F7CA0"/>
    <w:rsid w:val="289057C5"/>
    <w:rsid w:val="28A67C7A"/>
    <w:rsid w:val="28EA3248"/>
    <w:rsid w:val="28F72F97"/>
    <w:rsid w:val="28F879DA"/>
    <w:rsid w:val="294B7731"/>
    <w:rsid w:val="29514455"/>
    <w:rsid w:val="29D21FF2"/>
    <w:rsid w:val="2A611B0F"/>
    <w:rsid w:val="2AC1762B"/>
    <w:rsid w:val="2AE845D0"/>
    <w:rsid w:val="2B4975FB"/>
    <w:rsid w:val="2B695031"/>
    <w:rsid w:val="2B735A8F"/>
    <w:rsid w:val="2B88437A"/>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0E33E8"/>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76785"/>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5F68D7"/>
    <w:rsid w:val="37731921"/>
    <w:rsid w:val="37C7238E"/>
    <w:rsid w:val="37E509C0"/>
    <w:rsid w:val="37E96FB8"/>
    <w:rsid w:val="38222D85"/>
    <w:rsid w:val="38767A34"/>
    <w:rsid w:val="38803721"/>
    <w:rsid w:val="388F4F9A"/>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7D1B7C"/>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D4A97"/>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236491"/>
    <w:rsid w:val="4E30647F"/>
    <w:rsid w:val="4E353A96"/>
    <w:rsid w:val="4E53210E"/>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12463"/>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270168"/>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9F60854"/>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139AE"/>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775968"/>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43576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2">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2"/>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228147.65</c:v>
                </c:pt>
                <c:pt idx="1">
                  <c:v>1146787.61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2281476507.68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22510607.53</c:v>
                </c:pt>
                <c:pt idx="1">
                  <c:v>2258965900.15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1146787.61</c:v>
                </c:pt>
                <c:pt idx="1">
                  <c:v>1146787.61</c:v>
                </c:pt>
                <c:pt idx="2">
                  <c:v>105482.62</c:v>
                </c:pt>
                <c:pt idx="3">
                  <c:v>105482.62</c:v>
                </c:pt>
                <c:pt idx="4">
                  <c:v>1041304.98</c:v>
                </c:pt>
                <c:pt idx="5">
                  <c:v>1041304.98</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228147.65</c:v>
                </c:pt>
                <c:pt idx="1">
                  <c:v>228147.65</c:v>
                </c:pt>
                <c:pt idx="2">
                  <c:v>102597.4</c:v>
                </c:pt>
                <c:pt idx="3">
                  <c:v>102597.4</c:v>
                </c:pt>
                <c:pt idx="4">
                  <c:v>125550.25</c:v>
                </c:pt>
                <c:pt idx="5">
                  <c:v>125550.25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275000.32</c:v>
                </c:pt>
                <c:pt idx="1">
                  <c:v>275000.32</c:v>
                </c:pt>
                <c:pt idx="2">
                  <c:v>104695.56</c:v>
                </c:pt>
                <c:pt idx="3">
                  <c:v>104695.56</c:v>
                </c:pt>
                <c:pt idx="4">
                  <c:v>170304.76</c:v>
                </c:pt>
                <c:pt idx="5">
                  <c:v>170304.76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228147.65</c:v>
                </c:pt>
                <c:pt idx="1">
                  <c:v>228147.65</c:v>
                </c:pt>
                <c:pt idx="2">
                  <c:v>102597.4</c:v>
                </c:pt>
                <c:pt idx="3">
                  <c:v>102597.4</c:v>
                </c:pt>
                <c:pt idx="4">
                  <c:v>125550.25</c:v>
                </c:pt>
                <c:pt idx="5">
                  <c:v>125550.25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6</TotalTime>
  <ScaleCrop>false</ScaleCrop>
  <LinksUpToDate>false</LinksUpToDate>
  <CharactersWithSpaces>6550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2026-09-10T01:48:07Z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A67FC921959C42E1A7CFB423BF7D1519</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