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石家庄市交通运输服务中心</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348003</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石家庄市交通运输服务中心</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石家庄市交通运输服务中心</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我单位负责为我市交通运输相关工作提供保障和服务。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石家庄市交通运输服务中心</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财政补助事业单位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部门（单位）：石家庄市交通运输服务中心</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618.31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768.53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部门（单位）：石家庄市交通运输服务中心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1,449.23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1,449.23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768.53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768.53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768.53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768.53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公路运输管理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768.53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768.53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部门（单位）：石家庄市交通运输服务中心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1,168.40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280.83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618.31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618.31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531.70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487.69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280.83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487.69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280.83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公路运输管理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39.27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39.27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39.27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部门（单位）：石家庄市交通运输服务中心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618.31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618.31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768.53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768.53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1,449.23</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部门（单位）：石家庄市交通运输服务中心</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1,449.23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1,168.40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280.83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618.31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618.31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531.70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487.69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280.83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487.69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280.83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公路运输管理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768.53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487.69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280.83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部门（单位）：石家庄市交通运输服务中心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530.33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173.59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23.23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64.11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120.40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42.92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43.69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23.12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FF"/>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534.79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526.30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1,065.12</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部门（单位）：石家庄市交通运输服务中心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部门（单位）：石家庄市交通运输服务中心</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部门（单位）：石家庄市交通运输服务中心</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26.80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26.80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8.00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18.80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18.36</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18.36</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10.78</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本单位2025年度收、支总计（含结转和结余）均为1,449.23万元。与2024年度决算相比，收支各增加67.87万元，增长4.9%，主要原因是2025年业务划转，有新增项目。</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1,449.23万元，其中：财政拨款收入1,449.23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本单位2025年度本年支出合计1,449.23万元，其中：基本支出1,168.40万元，占80.6%；项目支出280.83万元，占19.4%；经营支出0.00万元，占0.0%；上缴上级支出0.00万元，占0.0%；对附属单位补助支出0.00万元，占0.0%。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本单位2025年度财政拨款收、支总计（含结转和结余）均为1,449.23万元。与2024年度相比，财政拨款收支各增加67.87万元，增长4.9%，主要原因是2025年业务划转，有新增项目。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1,449.23万元,比上年增加67.87万元，增长4.9%，主要原因是2025年业务划转，有新增项目；本年支出1,449.23万元，比上年增加67.87万元，增长4.9%，主要原因是2025年业务划转，有新增项目。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1,449.23万元,比上年增加67.87万元，增长4.9%，主要原因是2025年业务划转，有新增项目；本年支出1,449.23万元，比上年增加67.87万元，增长4.9%，主要原因是2025年业务划转，有新增项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政府性基金预算财政拨款本年收入0.00万元，比上年增加0.00万元，增长0.00%，主要原因是我单位无相关项目资金的收入；本年支出0.00万元，比上年增加0.00万元，增长0.00%，主要原因是我单位相关项目资金的支出。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我单位无相关项目资金的收入；本年支出0.00万元，比上年增加0.00万元，增长0.00%，主要原因是我单位无相关项目资金的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1,449.23万元，完成年初预算的98.5%，比年初预算减少22.12万元，决算数小于预算数主要原因是人员经费决算收入的减少；本年支出1,449.23万元，完成年初预算的98.5%，比年初预算减少22.12万元，决算数小于预算数主要原因是人员经费决算支出的减少。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一般公共预算财政拨款本年收入完成年初预算的98.5%，比年初预算减少22.12万元，主要原因是人员经费决算收入的减少；支出完成年初预算的98.5%，比年初预算减少22.12万元，主要原因是人员经费决算支出的减少。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我单位无相关项目资金的收入；支出完成年初预算的0.0%，比年初预算增加0.00万元，主要原因是我单位无相关项目资金的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我单位无相关项目资金的收入；支出完成年初预算的0.0%，比年初预算增加0.00万元，主要原因是我单位无相关项目资金的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2025年度财政拨款支出1,449.23万元，主要用于以下方面：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618.31万元，占42.7%，主要用于离退休人员经费、职工基本养老保险等人员经费等支出；卫生健康（类）支出23.12万元，占1.6%，主要用于职工医疗保险等人员经费等支出；节能环保（类）支出0.00万元，占0.0%，主要用于等支出；城乡社区（类）支出0.00万元，占0.0%，主要用于等支出；农林水（类）支出0.00万元，占0.0%，主要用于等支出；交通运输（类）支出768.53万元，占53.0%，主要用于人员工资、津贴补贴、日常公用经费、专项公用、专项项目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39.27万元，占2.7%，主要用于职工住房公积金等人员经费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2025年度财政拨款基本支出1,168.40万元，其中：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人员经费1,065.12万元，主要包括基本工资、津贴补贴、奖金、绩效工资、机关事业</w:t>
      </w:r>
      <w:r>
        <w:rPr>
          <w:rFonts w:hint="eastAsia" w:ascii="Times New Roman" w:eastAsia="仿宋_GB2312"/>
          <w:b w:val="0"/>
          <w:sz w:val="32"/>
          <w:szCs w:val="32"/>
          <w:lang w:eastAsia="zh-CN"/>
        </w:rPr>
        <w:t>部门</w:t>
      </w:r>
      <w:r>
        <w:rPr>
          <w:rFonts w:ascii="Times New Roman" w:eastAsia="仿宋_GB2312"/>
          <w:b w:val="0"/>
          <w:sz w:val="32"/>
          <w:szCs w:val="32"/>
        </w:rPr>
        <w:t>基本养老保险缴费、职业年金缴费、职工基本医疗保险缴费、公务员医疗补助缴费、住房公积金、医疗费、其他社会保障缴费、其他工资福利支出、 退休费、 抚恤金、生活补助、奖励金、其他对个人和家庭的补助支出。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公用经费103.27万元，主要包括办公费、取暖费、物业管理费、差旅费、维修（护）费、培训费、工会经费、福利费、公务用车运行维护费</w:t>
      </w:r>
      <w:r>
        <w:rPr>
          <w:rFonts w:hint="eastAsia" w:ascii="Times New Roman" w:eastAsia="仿宋_GB2312"/>
          <w:b w:val="0"/>
          <w:sz w:val="32"/>
          <w:szCs w:val="32"/>
          <w:lang w:eastAsia="zh-CN"/>
        </w:rPr>
        <w:t>、</w:t>
      </w:r>
      <w:r>
        <w:rPr>
          <w:rFonts w:ascii="Times New Roman" w:eastAsia="仿宋_GB2312"/>
          <w:b w:val="0"/>
          <w:sz w:val="32"/>
          <w:szCs w:val="32"/>
        </w:rPr>
        <w:t>其他商品和服务支出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26.80万元，支出决算为18.36万元，完成预算的68.5%，较预算减少8.44万元，降低31.5%，主要原因是厉行节约，减少支出；较2024年度决算增加4.13万元，增长29.0%，主要原因是</w:t>
      </w:r>
      <w:r>
        <w:rPr>
          <w:rFonts w:hint="eastAsia" w:ascii="Times New Roman" w:eastAsia="仿宋_GB2312"/>
          <w:b w:val="0"/>
          <w:sz w:val="32"/>
          <w:szCs w:val="32"/>
          <w:lang w:eastAsia="zh-CN"/>
        </w:rPr>
        <w:t>按照机关事务局批复，</w:t>
      </w:r>
      <w:r>
        <w:rPr>
          <w:rFonts w:hint="eastAsia" w:ascii="Times New Roman" w:eastAsia="仿宋_GB2312"/>
          <w:b w:val="0"/>
          <w:sz w:val="32"/>
          <w:szCs w:val="32"/>
          <w:lang w:val="en-US" w:eastAsia="zh-CN"/>
        </w:rPr>
        <w:t>2025年购置公车一辆</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val="en-US" w:eastAsia="zh-CN"/>
        </w:rPr>
        <w:t>2025年我单位无此类支出</w:t>
      </w:r>
      <w:r>
        <w:rPr>
          <w:rFonts w:ascii="Times New Roman" w:eastAsia="仿宋_GB2312"/>
          <w:b w:val="0"/>
          <w:sz w:val="32"/>
          <w:szCs w:val="32"/>
        </w:rPr>
        <w:t>；较上年增加0.00万元，增长0.00%,主要原因是</w:t>
      </w:r>
      <w:r>
        <w:rPr>
          <w:rFonts w:hint="eastAsia" w:ascii="Times New Roman" w:eastAsia="仿宋_GB2312"/>
          <w:b w:val="0"/>
          <w:sz w:val="32"/>
          <w:szCs w:val="32"/>
          <w:lang w:val="en-US" w:eastAsia="zh-CN"/>
        </w:rPr>
        <w:t>2024年、2025年我单位均无此类支出</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本单位2025年度公务用车购置及运行维护费预算为26.80万元，支出决算18.36万元，完成预算的68.5%,较预算减少8.44万元，降低31.5%,主要原因是厉行节约，减少支出；较上年增加4.13万元，增长29.0%,主要原因是</w:t>
      </w:r>
      <w:r>
        <w:rPr>
          <w:rFonts w:hint="eastAsia" w:ascii="Times New Roman" w:eastAsia="仿宋_GB2312"/>
          <w:b w:val="0"/>
          <w:sz w:val="32"/>
          <w:szCs w:val="32"/>
          <w:lang w:eastAsia="zh-CN"/>
        </w:rPr>
        <w:t>按照机关事务局批复，</w:t>
      </w:r>
      <w:r>
        <w:rPr>
          <w:rFonts w:hint="eastAsia" w:ascii="Times New Roman" w:eastAsia="仿宋_GB2312"/>
          <w:b w:val="0"/>
          <w:sz w:val="32"/>
          <w:szCs w:val="32"/>
          <w:lang w:val="en-US" w:eastAsia="zh-CN"/>
        </w:rPr>
        <w:t>2025年购置公车一辆</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公务用车购置费支出7.58万元：</w:t>
      </w:r>
      <w:r>
        <w:rPr>
          <w:rFonts w:ascii="Times New Roman" w:eastAsia="仿宋_GB2312"/>
          <w:b w:val="0"/>
          <w:sz w:val="32"/>
          <w:szCs w:val="32"/>
        </w:rPr>
        <w:t>本单位2025年度公务用车购置量1辆，发生“公务用车购置”经费支出7.58万元。公务用车购置费支出较预算减少0.42万元，降低5.3%,主要原因是落实党政机关过紧日子政策，厉行节约；较上年增加7.58万元，增长100.00%,主要原因是上年度无公务用车购置经费支出，2025年按照机关事务局批复，购置公车一辆。</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公务用车运行维护费支出10.78万元：</w:t>
      </w:r>
      <w:r>
        <w:rPr>
          <w:rFonts w:ascii="Times New Roman" w:eastAsia="仿宋_GB2312"/>
          <w:b w:val="0"/>
          <w:sz w:val="32"/>
          <w:szCs w:val="32"/>
        </w:rPr>
        <w:t>本单位2025年度单位公务用车保有量8辆，发生运行维护费支出10.78万元。公车运行维护费支出较预算减少8.02万元，降低42.7%,主要原因是落实党政机关过紧日子政策，厉行节约；较上年减少3.45万元，降低24.2%，主要原因是厉行节约，减少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w:t>
      </w:r>
      <w:r>
        <w:rPr>
          <w:rFonts w:hint="eastAsia" w:ascii="Times New Roman" w:eastAsia="仿宋_GB2312"/>
          <w:b w:val="0"/>
          <w:sz w:val="32"/>
          <w:szCs w:val="32"/>
          <w:lang w:val="en-US" w:eastAsia="zh-CN"/>
        </w:rPr>
        <w:t>2025年我单位无此类支出</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2024年、2025年我单位均无此类支出</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outlineLvl w:val="1"/>
        <w:rPr>
          <w:rFonts w:hint="default" w:ascii="Times New Roman" w:eastAsia="仿宋_GB2312"/>
          <w:b w:val="0"/>
          <w:sz w:val="32"/>
          <w:szCs w:val="32"/>
          <w:lang w:val="en-US" w:eastAsia="zh-CN"/>
        </w:rPr>
      </w:pPr>
      <w:r>
        <w:rPr>
          <w:rFonts w:hint="eastAsia" w:ascii="Times New Roman" w:eastAsia="仿宋_GB2312"/>
          <w:b w:val="0"/>
          <w:sz w:val="32"/>
          <w:szCs w:val="32"/>
          <w:lang w:eastAsia="zh-CN"/>
        </w:rPr>
        <w:t>我单位为事业单位，无机关运行经费。</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88.49万元，从采购类型来看，政府采购货物支出22.13万元、政府采购工程支出0.00万元、政府采购服务支出66.36万元。授予中小企业合同金额78.16万元，占政府采购支出总额的88.3%，其中授予小微企业合同金额69.73万元，占政府采购支出总额的78.8%。</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9辆，比上年增加0辆，主要是2025年按照机关事务局批复，购置公车一辆；按照上级部门批复，报废公车一辆。其中，副部（省）级及以上领导用车0辆，主要负责人用车0辆，机要通信用车0辆，应急保障用车0辆，执法执勤用车4辆，特种专业技术用车0辆，离退休干部用车1辆，其他用车4辆，其他用车主要是</w:t>
      </w:r>
      <w:r>
        <w:rPr>
          <w:rFonts w:hint="eastAsia" w:ascii="Times New Roman" w:eastAsia="仿宋_GB2312"/>
          <w:b w:val="0"/>
          <w:sz w:val="32"/>
          <w:szCs w:val="32"/>
          <w:lang w:eastAsia="zh-CN"/>
        </w:rPr>
        <w:t>业务用车</w:t>
      </w:r>
      <w:r>
        <w:rPr>
          <w:rFonts w:ascii="Times New Roman" w:eastAsia="仿宋_GB2312"/>
          <w:b w:val="0"/>
          <w:sz w:val="32"/>
          <w:szCs w:val="32"/>
        </w:rPr>
        <w:t>。单位价值100万元（含）以上设备（不含车辆）2台（套）。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280.83万元（决算金额）。其中，一般公共预算项目13个，涉及资金280.83万元，占一般公共预算项目支出总额的100%；政府性基金预算项目0个，涉及资金0万元，占政府性基金预算项目支出总额的0%；国有资本经营预算项目0个，涉及资金0万元，占国有资本经营预算项目支出总额的0%。</w:t>
      </w:r>
    </w:p>
    <w:p>
      <w:pPr>
        <w:pStyle w:val="10"/>
        <w:widowControl/>
        <w:spacing w:beforeAutospacing="0" w:afterAutospacing="0"/>
        <w:ind w:firstLine="640" w:firstLineChars="200"/>
        <w:rPr>
          <w:rFonts w:ascii="Times New Roman" w:eastAsia="仿宋_GB2312"/>
          <w:b w:val="0"/>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办公设备购置</w:t>
      </w:r>
      <w:r>
        <w:rPr>
          <w:rFonts w:ascii="Times New Roman" w:eastAsia="仿宋_GB2312"/>
          <w:b w:val="0"/>
          <w:sz w:val="32"/>
          <w:szCs w:val="32"/>
        </w:rPr>
        <w:t>等13个项目开展了部门重点评价，涉及一般公共预算支出280.83万元，政府性基金预算支出0万元，国有资本经营预算支出0万元，从评价情况来看，</w:t>
      </w:r>
      <w:r>
        <w:rPr>
          <w:rFonts w:hint="eastAsia" w:ascii="Times New Roman" w:hAnsi="Times New Roman" w:eastAsia="仿宋_GB2312"/>
          <w:sz w:val="32"/>
          <w:szCs w:val="32"/>
          <w:highlight w:val="none"/>
          <w:lang w:val="en-US" w:eastAsia="zh-CN"/>
        </w:rPr>
        <w:t>各</w:t>
      </w:r>
      <w:r>
        <w:rPr>
          <w:rFonts w:hint="eastAsia" w:ascii="Times New Roman" w:hAnsi="Times New Roman" w:eastAsia="仿宋_GB2312"/>
          <w:kern w:val="2"/>
          <w:sz w:val="32"/>
          <w:szCs w:val="32"/>
          <w:lang w:val="en-US" w:eastAsia="zh-CN"/>
        </w:rPr>
        <w:t>个项目</w:t>
      </w:r>
      <w:r>
        <w:rPr>
          <w:rFonts w:hint="eastAsia" w:ascii="Times New Roman" w:hAnsi="Times New Roman" w:eastAsia="仿宋_GB2312"/>
          <w:kern w:val="2"/>
          <w:sz w:val="32"/>
          <w:szCs w:val="32"/>
          <w:lang w:val="zh-CN"/>
        </w:rPr>
        <w:t>绩效目标设定基本清晰准确，绩效指标全面完整、科学合理，绩效标准设立的基本恰当适宜、易于评价，可以深入分析原因，容易查找实际与预算的差距</w:t>
      </w:r>
      <w:r>
        <w:rPr>
          <w:rFonts w:ascii="Times New Roman" w:eastAsia="仿宋_GB2312"/>
          <w:b w:val="0"/>
          <w:sz w:val="32"/>
          <w:szCs w:val="32"/>
        </w:rPr>
        <w:t>。</w:t>
      </w:r>
    </w:p>
    <w:p>
      <w:pPr>
        <w:pStyle w:val="10"/>
        <w:widowControl/>
        <w:spacing w:beforeAutospacing="0" w:afterAutospacing="0"/>
        <w:ind w:firstLine="640" w:firstLineChars="200"/>
        <w:rPr>
          <w:rFonts w:hint="default" w:ascii="Times New Roman" w:eastAsia="仿宋_GB2312"/>
          <w:b w:val="0"/>
          <w:sz w:val="32"/>
          <w:szCs w:val="32"/>
          <w:lang w:val="en-US" w:eastAsia="zh-CN"/>
        </w:rPr>
      </w:pPr>
      <w:r>
        <w:rPr>
          <w:rFonts w:hint="eastAsia" w:ascii="Times New Roman" w:eastAsia="仿宋_GB2312"/>
          <w:b w:val="0"/>
          <w:sz w:val="32"/>
          <w:szCs w:val="32"/>
          <w:lang w:val="en-US" w:eastAsia="zh-CN"/>
        </w:rPr>
        <w:t>本单位无部门重点评价项目。</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lang w:eastAsia="zh-CN"/>
        </w:rPr>
        <w:t>办公设备购置</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等个项目绩效自评结果。</w:t>
      </w:r>
    </w:p>
    <w:p>
      <w:pPr>
        <w:widowControl/>
        <w:numPr>
          <w:ilvl w:val="0"/>
          <w:numId w:val="2"/>
        </w:numPr>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eastAsia="zh-CN"/>
        </w:rPr>
        <w:t>办公设备购置</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99.93</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11.88</w:t>
      </w:r>
      <w:r>
        <w:rPr>
          <w:rFonts w:ascii="Times New Roman" w:eastAsia="仿宋_GB2312"/>
          <w:b w:val="0"/>
          <w:sz w:val="32"/>
          <w:szCs w:val="32"/>
        </w:rPr>
        <w:t>万元，执行数为</w:t>
      </w:r>
      <w:r>
        <w:rPr>
          <w:rFonts w:hint="eastAsia" w:ascii="Times New Roman" w:eastAsia="仿宋_GB2312"/>
          <w:b w:val="0"/>
          <w:sz w:val="32"/>
          <w:szCs w:val="32"/>
          <w:lang w:val="en-US" w:eastAsia="zh-CN"/>
        </w:rPr>
        <w:t>11.80</w:t>
      </w:r>
      <w:r>
        <w:rPr>
          <w:rFonts w:ascii="Times New Roman" w:eastAsia="仿宋_GB2312"/>
          <w:b w:val="0"/>
          <w:sz w:val="32"/>
          <w:szCs w:val="32"/>
        </w:rPr>
        <w:t>万元，完成预算的</w:t>
      </w:r>
      <w:r>
        <w:rPr>
          <w:rFonts w:hint="eastAsia" w:ascii="Times New Roman" w:eastAsia="仿宋_GB2312"/>
          <w:b w:val="0"/>
          <w:sz w:val="32"/>
          <w:szCs w:val="32"/>
          <w:lang w:val="en-US" w:eastAsia="zh-CN"/>
        </w:rPr>
        <w:t>99.29</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tbl>
      <w:tblPr>
        <w:tblStyle w:val="11"/>
        <w:tblW w:w="514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09"/>
        <w:gridCol w:w="1233"/>
        <w:gridCol w:w="867"/>
        <w:gridCol w:w="660"/>
        <w:gridCol w:w="720"/>
        <w:gridCol w:w="705"/>
        <w:gridCol w:w="1425"/>
        <w:gridCol w:w="1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125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64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4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7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6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4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07"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5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办公设备购置（专项资金）</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9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0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1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11.88</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11.88</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11.7956</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11.88</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11.88</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11.7956</w:t>
            </w: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259"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4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4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259"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4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通过购置道路运政管理信息系统业务办公专用设备，保障业务正常办理，提高办事效率，优化营商环境。</w:t>
            </w:r>
          </w:p>
        </w:tc>
        <w:tc>
          <w:tcPr>
            <w:tcW w:w="148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办公设备购置预算资金11.88万元已基本全部支付完成，结余0.0844万元已全部交回财政。</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59"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8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59"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8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644"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5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设备购置的数量</w:t>
            </w:r>
          </w:p>
        </w:tc>
        <w:tc>
          <w:tcPr>
            <w:tcW w:w="36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19台（套、批）</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19台（套、批）</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21"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设备验收合格率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744"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购买设备完成时间</w:t>
            </w:r>
          </w:p>
        </w:tc>
        <w:tc>
          <w:tcPr>
            <w:tcW w:w="368"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办公设备的购置成本</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0.5万元</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0.5万元</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53"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99.29%</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45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业务保障率</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4"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5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单位工作人员满意度</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59"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93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25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27"/>
                <w:rFonts w:eastAsia="宋体"/>
                <w:lang w:val="en-US" w:eastAsia="zh-CN" w:bidi="ar"/>
              </w:rPr>
              <w:t xml:space="preserve"> </w:t>
            </w:r>
            <w:r>
              <w:rPr>
                <w:rStyle w:val="28"/>
                <w:lang w:val="en-US" w:eastAsia="zh-CN" w:bidi="ar"/>
              </w:rPr>
              <w:t>存在问题、原因及下一步整改措施</w:t>
            </w:r>
          </w:p>
        </w:tc>
        <w:tc>
          <w:tcPr>
            <w:tcW w:w="374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125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64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魏雨婷</w:t>
            </w:r>
          </w:p>
        </w:tc>
        <w:tc>
          <w:tcPr>
            <w:tcW w:w="4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4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7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6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4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0311-67668701</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val="en-US" w:eastAsia="zh-CN"/>
        </w:rPr>
        <w:t>2、</w:t>
      </w:r>
      <w:r>
        <w:rPr>
          <w:rFonts w:hint="eastAsia" w:ascii="Times New Roman" w:eastAsia="仿宋_GB2312"/>
          <w:b w:val="0"/>
          <w:sz w:val="32"/>
          <w:szCs w:val="32"/>
          <w:lang w:eastAsia="zh-CN"/>
        </w:rPr>
        <w:t>党组织活动经费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2.38</w:t>
      </w:r>
      <w:r>
        <w:rPr>
          <w:rFonts w:ascii="Times New Roman" w:eastAsia="仿宋_GB2312"/>
          <w:b w:val="0"/>
          <w:sz w:val="32"/>
          <w:szCs w:val="32"/>
        </w:rPr>
        <w:t>万元，执行数为</w:t>
      </w:r>
      <w:r>
        <w:rPr>
          <w:rFonts w:hint="eastAsia" w:ascii="Times New Roman" w:eastAsia="仿宋_GB2312"/>
          <w:b w:val="0"/>
          <w:sz w:val="32"/>
          <w:szCs w:val="32"/>
          <w:lang w:val="en-US" w:eastAsia="zh-CN"/>
        </w:rPr>
        <w:t>2.38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tbl>
      <w:tblPr>
        <w:tblStyle w:val="11"/>
        <w:tblW w:w="51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64"/>
        <w:gridCol w:w="1461"/>
        <w:gridCol w:w="680"/>
        <w:gridCol w:w="754"/>
        <w:gridCol w:w="1050"/>
        <w:gridCol w:w="960"/>
        <w:gridCol w:w="1050"/>
        <w:gridCol w:w="1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24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7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5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0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45"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党组织活动经费（专项资金)</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245"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5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61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24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2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1.订阅党报党刊，组织党员进行党性教育，警示教育，革命传统教育等，提升单位人员的凝聚力、向心力。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2.通过党组织专项资金的运用，保障处党委和所属党支部党建活动的正常开展。</w:t>
            </w:r>
          </w:p>
        </w:tc>
        <w:tc>
          <w:tcPr>
            <w:tcW w:w="161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党组织活动经费预算资金2.38万元已全部支付完成。</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4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1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4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1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769"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5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党组织活动的次数</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≥3次</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10次</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组织活动人员的参加率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党性教育的周期</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1次</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1次</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党建活动的支付成本</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0.4万元</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0.4万元</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58"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35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党员的觉悟提高率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5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党员的满意程度</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45"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313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45"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75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24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7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宗力军</w:t>
            </w:r>
          </w:p>
        </w:tc>
        <w:tc>
          <w:tcPr>
            <w:tcW w:w="35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0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3"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6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0311-67668701</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val="en-US" w:eastAsia="zh-CN"/>
        </w:rPr>
        <w:t>3、</w:t>
      </w:r>
      <w:r>
        <w:rPr>
          <w:rFonts w:hint="eastAsia" w:ascii="Times New Roman" w:eastAsia="仿宋_GB2312"/>
          <w:b w:val="0"/>
          <w:sz w:val="32"/>
          <w:szCs w:val="32"/>
          <w:lang w:eastAsia="zh-CN"/>
        </w:rPr>
        <w:t>电梯运维费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99.93</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2.8</w:t>
      </w:r>
      <w:r>
        <w:rPr>
          <w:rFonts w:ascii="Times New Roman" w:eastAsia="仿宋_GB2312"/>
          <w:b w:val="0"/>
          <w:sz w:val="32"/>
          <w:szCs w:val="32"/>
        </w:rPr>
        <w:t>万元，执行数为</w:t>
      </w:r>
      <w:r>
        <w:rPr>
          <w:rFonts w:hint="eastAsia" w:ascii="Times New Roman" w:eastAsia="仿宋_GB2312"/>
          <w:b w:val="0"/>
          <w:sz w:val="32"/>
          <w:szCs w:val="32"/>
          <w:lang w:val="en-US" w:eastAsia="zh-CN"/>
        </w:rPr>
        <w:t>2.78</w:t>
      </w:r>
      <w:r>
        <w:rPr>
          <w:rFonts w:ascii="Times New Roman" w:eastAsia="仿宋_GB2312"/>
          <w:b w:val="0"/>
          <w:sz w:val="32"/>
          <w:szCs w:val="32"/>
        </w:rPr>
        <w:t>万元，完成预算的</w:t>
      </w:r>
      <w:r>
        <w:rPr>
          <w:rFonts w:hint="eastAsia" w:ascii="Times New Roman" w:eastAsia="仿宋_GB2312"/>
          <w:b w:val="0"/>
          <w:sz w:val="32"/>
          <w:szCs w:val="32"/>
          <w:lang w:val="en-US" w:eastAsia="zh-CN"/>
        </w:rPr>
        <w:t>99.29</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tbl>
      <w:tblPr>
        <w:tblStyle w:val="11"/>
        <w:tblW w:w="512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74"/>
        <w:gridCol w:w="1291"/>
        <w:gridCol w:w="628"/>
        <w:gridCol w:w="496"/>
        <w:gridCol w:w="840"/>
        <w:gridCol w:w="645"/>
        <w:gridCol w:w="1335"/>
        <w:gridCol w:w="105"/>
        <w:gridCol w:w="16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135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6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2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4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98" w:type="pct"/>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5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5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电梯运维费（专项资金)</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93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0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0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w:t>
            </w:r>
          </w:p>
        </w:tc>
        <w:tc>
          <w:tcPr>
            <w:tcW w:w="8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w:t>
            </w:r>
          </w:p>
        </w:tc>
        <w:tc>
          <w:tcPr>
            <w:tcW w:w="8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8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352"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53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35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用于支付电梯运行维护费用，保障办公电梯的正常运行，保障单位职工上下班正常办公需要。</w:t>
            </w:r>
          </w:p>
        </w:tc>
        <w:tc>
          <w:tcPr>
            <w:tcW w:w="153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电梯运维费预算资金2.8万元已基本全部支付完成，结余0.02万元已全部交回财政。</w:t>
            </w:r>
          </w:p>
        </w:tc>
        <w:tc>
          <w:tcPr>
            <w:tcW w:w="8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35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3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135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3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67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2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运维电梯的数量</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2部</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2部</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电梯因欠费停用的天数</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≤1天</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0天</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电梯使用时间</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电梯运维费成本</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1.4万元</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1.39万元</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29"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99.29%</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329"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工作保障率</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29"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工作人员的满意度</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52"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80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5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64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35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6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宗力军</w:t>
            </w:r>
          </w:p>
        </w:tc>
        <w:tc>
          <w:tcPr>
            <w:tcW w:w="32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4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56" w:type="pct"/>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4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0311-67668701</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val="en-US" w:eastAsia="zh-CN"/>
        </w:rPr>
        <w:t>4、</w:t>
      </w:r>
      <w:r>
        <w:rPr>
          <w:rFonts w:hint="eastAsia" w:ascii="Times New Roman" w:eastAsia="仿宋_GB2312"/>
          <w:b w:val="0"/>
          <w:sz w:val="32"/>
          <w:szCs w:val="32"/>
          <w:lang w:eastAsia="zh-CN"/>
        </w:rPr>
        <w:t>工作场地租用费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33.09</w:t>
      </w:r>
      <w:r>
        <w:rPr>
          <w:rFonts w:ascii="Times New Roman" w:eastAsia="仿宋_GB2312"/>
          <w:b w:val="0"/>
          <w:sz w:val="32"/>
          <w:szCs w:val="32"/>
        </w:rPr>
        <w:t>万元，执行数为</w:t>
      </w:r>
      <w:r>
        <w:rPr>
          <w:rFonts w:hint="eastAsia" w:ascii="Times New Roman" w:eastAsia="仿宋_GB2312"/>
          <w:b w:val="0"/>
          <w:sz w:val="32"/>
          <w:szCs w:val="32"/>
          <w:lang w:val="en-US" w:eastAsia="zh-CN"/>
        </w:rPr>
        <w:t>33.09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tbl>
      <w:tblPr>
        <w:tblStyle w:val="11"/>
        <w:tblW w:w="515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74"/>
        <w:gridCol w:w="1515"/>
        <w:gridCol w:w="1155"/>
        <w:gridCol w:w="748"/>
        <w:gridCol w:w="947"/>
        <w:gridCol w:w="1110"/>
        <w:gridCol w:w="945"/>
        <w:gridCol w:w="11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3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79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0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9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7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9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8"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3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9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工作场地租用费（从业业务大厅以及出租车考场租赁费）（专项资金)</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3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0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33.09</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33.09</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33.09</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33.09</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33.09</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33.09</w:t>
            </w:r>
          </w:p>
        </w:tc>
        <w:tc>
          <w:tcPr>
            <w:tcW w:w="618" w:type="pct"/>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030"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78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5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030"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8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通过租赁从业业务大厅及出租车考场，保障道路运输从业资格证的办证、换证、补证、诚信考核业务顺利进行，保障出租车从业人员报名顺利进行。</w:t>
            </w:r>
          </w:p>
        </w:tc>
        <w:tc>
          <w:tcPr>
            <w:tcW w:w="156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工作场地租用费（从业业务大厅以及出租车考场租赁费）预算资金33.09万元已全部支付完成。</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030"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8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6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30"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8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6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79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6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租赁面积</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788平方米</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788平方米</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租赁场地完备率</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资金支付时间</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2025年11月30日</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2025年9月29日</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租赁费的成本</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16.55万元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16.55万元</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602"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60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资格证考试顺利进行的保障率</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602"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道路运输从业人员满意度</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33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3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9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rPr>
        <w:tc>
          <w:tcPr>
            <w:tcW w:w="1030" w:type="pct"/>
            <w:tcBorders>
              <w:top w:val="nil"/>
              <w:left w:val="nil"/>
              <w:bottom w:val="nil"/>
              <w:right w:val="nil"/>
            </w:tcBorders>
            <w:shd w:val="clear" w:color="auto" w:fill="auto"/>
            <w:noWrap/>
            <w:vAlign w:val="top"/>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790" w:type="pct"/>
            <w:tcBorders>
              <w:top w:val="nil"/>
              <w:left w:val="nil"/>
              <w:bottom w:val="nil"/>
              <w:right w:val="nil"/>
            </w:tcBorders>
            <w:shd w:val="clear" w:color="auto" w:fill="auto"/>
            <w:noWrap/>
            <w:vAlign w:val="top"/>
          </w:tcPr>
          <w:p>
            <w:pPr>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宗力军</w:t>
            </w:r>
          </w:p>
        </w:tc>
        <w:tc>
          <w:tcPr>
            <w:tcW w:w="602" w:type="pct"/>
            <w:tcBorders>
              <w:top w:val="nil"/>
              <w:left w:val="nil"/>
              <w:bottom w:val="nil"/>
              <w:right w:val="nil"/>
            </w:tcBorders>
            <w:shd w:val="clear" w:color="auto" w:fill="auto"/>
            <w:noWrap/>
            <w:vAlign w:val="top"/>
          </w:tcPr>
          <w:p>
            <w:pPr>
              <w:jc w:val="both"/>
              <w:rPr>
                <w:rFonts w:hint="eastAsia" w:ascii="宋体" w:hAnsi="宋体" w:eastAsia="宋体" w:cs="宋体"/>
                <w:i w:val="0"/>
                <w:iCs w:val="0"/>
                <w:color w:val="000000"/>
                <w:sz w:val="20"/>
                <w:szCs w:val="20"/>
                <w:u w:val="none"/>
              </w:rPr>
            </w:pPr>
          </w:p>
        </w:tc>
        <w:tc>
          <w:tcPr>
            <w:tcW w:w="390" w:type="pct"/>
            <w:tcBorders>
              <w:top w:val="nil"/>
              <w:left w:val="nil"/>
              <w:bottom w:val="nil"/>
              <w:right w:val="nil"/>
            </w:tcBorders>
            <w:shd w:val="clear" w:color="auto" w:fill="auto"/>
            <w:noWrap/>
            <w:vAlign w:val="top"/>
          </w:tcPr>
          <w:p>
            <w:pPr>
              <w:jc w:val="both"/>
              <w:rPr>
                <w:rFonts w:hint="eastAsia" w:ascii="宋体" w:hAnsi="宋体" w:eastAsia="宋体" w:cs="宋体"/>
                <w:i w:val="0"/>
                <w:iCs w:val="0"/>
                <w:color w:val="000000"/>
                <w:sz w:val="20"/>
                <w:szCs w:val="20"/>
                <w:u w:val="none"/>
              </w:rPr>
            </w:pPr>
          </w:p>
        </w:tc>
        <w:tc>
          <w:tcPr>
            <w:tcW w:w="494" w:type="pct"/>
            <w:tcBorders>
              <w:top w:val="nil"/>
              <w:left w:val="nil"/>
              <w:bottom w:val="nil"/>
              <w:right w:val="nil"/>
            </w:tcBorders>
            <w:shd w:val="clear" w:color="auto" w:fill="auto"/>
            <w:noWrap/>
            <w:vAlign w:val="top"/>
          </w:tcPr>
          <w:p>
            <w:pPr>
              <w:jc w:val="both"/>
              <w:rPr>
                <w:rFonts w:hint="eastAsia" w:ascii="宋体" w:hAnsi="宋体" w:eastAsia="宋体" w:cs="宋体"/>
                <w:i w:val="0"/>
                <w:iCs w:val="0"/>
                <w:color w:val="000000"/>
                <w:sz w:val="20"/>
                <w:szCs w:val="20"/>
                <w:u w:val="none"/>
              </w:rPr>
            </w:pPr>
          </w:p>
        </w:tc>
        <w:tc>
          <w:tcPr>
            <w:tcW w:w="579" w:type="pct"/>
            <w:tcBorders>
              <w:top w:val="nil"/>
              <w:left w:val="nil"/>
              <w:bottom w:val="nil"/>
              <w:right w:val="nil"/>
            </w:tcBorders>
            <w:shd w:val="clear" w:color="auto" w:fill="auto"/>
            <w:noWrap/>
            <w:vAlign w:val="top"/>
          </w:tcPr>
          <w:p>
            <w:pPr>
              <w:jc w:val="both"/>
              <w:rPr>
                <w:rFonts w:hint="eastAsia" w:ascii="宋体" w:hAnsi="宋体" w:eastAsia="宋体" w:cs="宋体"/>
                <w:i w:val="0"/>
                <w:iCs w:val="0"/>
                <w:color w:val="000000"/>
                <w:sz w:val="20"/>
                <w:szCs w:val="20"/>
                <w:u w:val="none"/>
              </w:rPr>
            </w:pPr>
          </w:p>
        </w:tc>
        <w:tc>
          <w:tcPr>
            <w:tcW w:w="493" w:type="pct"/>
            <w:tcBorders>
              <w:top w:val="nil"/>
              <w:left w:val="nil"/>
              <w:bottom w:val="nil"/>
              <w:right w:val="nil"/>
            </w:tcBorders>
            <w:shd w:val="clear" w:color="auto" w:fill="auto"/>
            <w:noWrap/>
            <w:vAlign w:val="top"/>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618" w:type="pct"/>
            <w:tcBorders>
              <w:top w:val="nil"/>
              <w:left w:val="nil"/>
              <w:bottom w:val="nil"/>
              <w:right w:val="nil"/>
            </w:tcBorders>
            <w:shd w:val="clear" w:color="auto" w:fill="auto"/>
            <w:noWrap/>
            <w:vAlign w:val="top"/>
          </w:tcPr>
          <w:p>
            <w:pPr>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0311-67668701</w:t>
            </w:r>
          </w:p>
        </w:tc>
      </w:tr>
    </w:tbl>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5、</w:t>
      </w:r>
      <w:r>
        <w:rPr>
          <w:rFonts w:hint="eastAsia" w:ascii="Times New Roman" w:eastAsia="仿宋_GB2312"/>
          <w:b w:val="0"/>
          <w:sz w:val="32"/>
          <w:szCs w:val="32"/>
          <w:lang w:eastAsia="zh-CN"/>
        </w:rPr>
        <w:t>文件资料印刷费（出租车年审标志）</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99.97</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w:t>
      </w:r>
      <w:r>
        <w:rPr>
          <w:rFonts w:ascii="Times New Roman" w:eastAsia="仿宋_GB2312"/>
          <w:b w:val="0"/>
          <w:sz w:val="32"/>
          <w:szCs w:val="32"/>
        </w:rPr>
        <w:t>万元，执行数为</w:t>
      </w:r>
      <w:r>
        <w:rPr>
          <w:rFonts w:hint="eastAsia" w:ascii="Times New Roman" w:eastAsia="仿宋_GB2312"/>
          <w:b w:val="0"/>
          <w:sz w:val="32"/>
          <w:szCs w:val="32"/>
          <w:lang w:val="en-US" w:eastAsia="zh-CN"/>
        </w:rPr>
        <w:t>1.99</w:t>
      </w:r>
      <w:r>
        <w:rPr>
          <w:rFonts w:ascii="Times New Roman" w:eastAsia="仿宋_GB2312"/>
          <w:b w:val="0"/>
          <w:sz w:val="32"/>
          <w:szCs w:val="32"/>
        </w:rPr>
        <w:t>万元，完成预算的</w:t>
      </w:r>
      <w:r>
        <w:rPr>
          <w:rFonts w:hint="eastAsia" w:ascii="Times New Roman" w:eastAsia="仿宋_GB2312"/>
          <w:b w:val="0"/>
          <w:sz w:val="32"/>
          <w:szCs w:val="32"/>
          <w:lang w:val="en-US" w:eastAsia="zh-CN"/>
        </w:rPr>
        <w:t>99.74</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tbl>
      <w:tblPr>
        <w:tblStyle w:val="11"/>
        <w:tblW w:w="517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79"/>
        <w:gridCol w:w="1486"/>
        <w:gridCol w:w="479"/>
        <w:gridCol w:w="180"/>
        <w:gridCol w:w="465"/>
        <w:gridCol w:w="780"/>
        <w:gridCol w:w="1020"/>
        <w:gridCol w:w="1245"/>
        <w:gridCol w:w="15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5000" w:type="pct"/>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rPr>
        <w:tc>
          <w:tcPr>
            <w:tcW w:w="123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77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5" w:type="pct"/>
            <w:gridSpan w:val="2"/>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0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3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4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1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3" w:hRule="atLeast"/>
        </w:trPr>
        <w:tc>
          <w:tcPr>
            <w:tcW w:w="12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7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58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文件资料印刷费（出租车年审标志）（专项资金)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99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1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1.9948</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1.9948</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12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35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58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2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58"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1.服务监督卡办理完成驾驶员注册；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2.通过年审标志发放与完成年审的出租汽车号牌一一对应，录入系统，保障人民顺利出行。</w:t>
            </w:r>
          </w:p>
        </w:tc>
        <w:tc>
          <w:tcPr>
            <w:tcW w:w="158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文件资料印刷费（出租车年审标志）预算资金2万元已基本全部支付完成，结余0.0052万元已全部交回财政。</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5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8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2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5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8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77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42" w:type="pct"/>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出租车监督卡及年审标志制作数量</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13000张</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14390张</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出租车监督卡质量合格率</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出租车监督卡制作的期限</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出租车监督卡及年审标志制作成本</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1.54万元</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1.54万元</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42" w:type="pct"/>
            <w:gridSpan w:val="2"/>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99.74%</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342" w:type="pct"/>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业务保障率</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42" w:type="pct"/>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使用人员满意度</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7"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94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37"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76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3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77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张娟</w:t>
            </w:r>
          </w:p>
        </w:tc>
        <w:tc>
          <w:tcPr>
            <w:tcW w:w="342" w:type="pct"/>
            <w:gridSpan w:val="2"/>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0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3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4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1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0311-83609991</w:t>
            </w:r>
          </w:p>
        </w:tc>
      </w:tr>
    </w:tbl>
    <w:p>
      <w:pPr>
        <w:widowControl/>
        <w:numPr>
          <w:ilvl w:val="0"/>
          <w:numId w:val="3"/>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eastAsia="zh-CN"/>
        </w:rPr>
        <w:t>物业管理费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99.95</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55.81</w:t>
      </w:r>
      <w:r>
        <w:rPr>
          <w:rFonts w:ascii="Times New Roman" w:eastAsia="仿宋_GB2312"/>
          <w:b w:val="0"/>
          <w:sz w:val="32"/>
          <w:szCs w:val="32"/>
        </w:rPr>
        <w:t>万元，执行数为</w:t>
      </w:r>
      <w:r>
        <w:rPr>
          <w:rFonts w:hint="eastAsia" w:ascii="Times New Roman" w:eastAsia="仿宋_GB2312"/>
          <w:b w:val="0"/>
          <w:sz w:val="32"/>
          <w:szCs w:val="32"/>
          <w:lang w:val="en-US" w:eastAsia="zh-CN"/>
        </w:rPr>
        <w:t>55.52</w:t>
      </w:r>
      <w:r>
        <w:rPr>
          <w:rFonts w:ascii="Times New Roman" w:eastAsia="仿宋_GB2312"/>
          <w:b w:val="0"/>
          <w:sz w:val="32"/>
          <w:szCs w:val="32"/>
        </w:rPr>
        <w:t>元，完成预算的</w:t>
      </w:r>
      <w:r>
        <w:rPr>
          <w:rFonts w:hint="eastAsia" w:ascii="Times New Roman" w:eastAsia="仿宋_GB2312"/>
          <w:b w:val="0"/>
          <w:sz w:val="32"/>
          <w:szCs w:val="32"/>
          <w:lang w:val="en-US" w:eastAsia="zh-CN"/>
        </w:rPr>
        <w:t>99.47</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p>
    <w:p>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p>
    <w:tbl>
      <w:tblPr>
        <w:tblStyle w:val="11"/>
        <w:tblW w:w="51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44"/>
        <w:gridCol w:w="1369"/>
        <w:gridCol w:w="908"/>
        <w:gridCol w:w="753"/>
        <w:gridCol w:w="915"/>
        <w:gridCol w:w="900"/>
        <w:gridCol w:w="1065"/>
        <w:gridCol w:w="13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8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72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7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6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18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物业管理费（专项资金)</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3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1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0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55.81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55.81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55.516</w:t>
            </w:r>
          </w:p>
        </w:tc>
        <w:tc>
          <w:tcPr>
            <w:tcW w:w="7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55.81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55.81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55.516</w:t>
            </w: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182"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5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5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18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9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通过支付物业管理费用，完成办公场所的保安保洁的工作，改善办公环境，促进工作的正常开展。</w:t>
            </w:r>
          </w:p>
        </w:tc>
        <w:tc>
          <w:tcPr>
            <w:tcW w:w="151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物业管理费预算资金55.81万元已基本全部支付完成，结余0.294万元已全部交回财政。</w:t>
            </w:r>
          </w:p>
        </w:tc>
        <w:tc>
          <w:tcPr>
            <w:tcW w:w="7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18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9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82"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9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1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721"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7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物业保障面积</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≥17148.11平方米</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17148.11平方米</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物业服务合格率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物业服务周期</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物业服务单位面积服务费用</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≤3.6元/平方米/月</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2.71元/平方米/月</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78"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99.47%</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47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工作保障率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21"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7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员工的满意度</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82"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31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8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81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8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72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宗力军</w:t>
            </w:r>
          </w:p>
        </w:tc>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7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6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70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0311-67668701</w:t>
            </w:r>
          </w:p>
        </w:tc>
      </w:tr>
    </w:tbl>
    <w:p>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eastAsia="zh-CN"/>
        </w:rPr>
        <w:t>专用设备维修费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34.35</w:t>
      </w:r>
      <w:r>
        <w:rPr>
          <w:rFonts w:ascii="Times New Roman" w:eastAsia="仿宋_GB2312"/>
          <w:b w:val="0"/>
          <w:sz w:val="32"/>
          <w:szCs w:val="32"/>
        </w:rPr>
        <w:t>万元，执行数为</w:t>
      </w:r>
      <w:r>
        <w:rPr>
          <w:rFonts w:hint="eastAsia" w:ascii="Times New Roman" w:eastAsia="仿宋_GB2312"/>
          <w:b w:val="0"/>
          <w:sz w:val="32"/>
          <w:szCs w:val="32"/>
          <w:lang w:val="en-US" w:eastAsia="zh-CN"/>
        </w:rPr>
        <w:t>34.29</w:t>
      </w:r>
      <w:r>
        <w:rPr>
          <w:rFonts w:ascii="Times New Roman" w:eastAsia="仿宋_GB2312"/>
          <w:b w:val="0"/>
          <w:sz w:val="32"/>
          <w:szCs w:val="32"/>
        </w:rPr>
        <w:t>万元，完成预算的</w:t>
      </w:r>
      <w:r>
        <w:rPr>
          <w:rFonts w:hint="eastAsia" w:ascii="Times New Roman" w:eastAsia="仿宋_GB2312"/>
          <w:b w:val="0"/>
          <w:sz w:val="32"/>
          <w:szCs w:val="32"/>
          <w:lang w:val="en-US" w:eastAsia="zh-CN"/>
        </w:rPr>
        <w:t>99.84</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p>
    <w:tbl>
      <w:tblPr>
        <w:tblStyle w:val="11"/>
        <w:tblW w:w="515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74"/>
        <w:gridCol w:w="1725"/>
        <w:gridCol w:w="1035"/>
        <w:gridCol w:w="615"/>
        <w:gridCol w:w="825"/>
        <w:gridCol w:w="750"/>
        <w:gridCol w:w="1095"/>
        <w:gridCol w:w="15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103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90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2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3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7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14"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03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专用设备维修费（专项资金)</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4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9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34.2938</w:t>
            </w:r>
          </w:p>
        </w:tc>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34.35</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34.2938</w:t>
            </w:r>
          </w:p>
        </w:tc>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7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39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030"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6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1.保障各项业务工作的正常开展。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2.项目实施的完成情况的统计和项目维修维护后的达标情况，保障办公大楼的顺利运转。</w:t>
            </w:r>
          </w:p>
        </w:tc>
        <w:tc>
          <w:tcPr>
            <w:tcW w:w="1393"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专用设备维修费预算资金34.35万元已基本全部支付完成，结余0.0562万元已全部交回财政。</w:t>
            </w:r>
          </w:p>
        </w:tc>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030"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9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1030"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9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90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4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项目的数量</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8项</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8项</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消防设备正常运行率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专业设备维修的时限</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单项设备项目的维修成本</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9万元</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9万元</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40"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99.84%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54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对工作正常开展的保障率</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4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员工的满意度</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30"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315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03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9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30"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90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宗力军</w:t>
            </w:r>
          </w:p>
        </w:tc>
        <w:tc>
          <w:tcPr>
            <w:tcW w:w="54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2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3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7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1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0311-67668701</w:t>
            </w:r>
          </w:p>
        </w:tc>
      </w:tr>
    </w:tbl>
    <w:p>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eastAsia="zh-CN"/>
        </w:rPr>
        <w:t>防汛安全（突发事件）应急演练</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99.89</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9</w:t>
      </w:r>
      <w:r>
        <w:rPr>
          <w:rFonts w:ascii="Times New Roman" w:eastAsia="仿宋_GB2312"/>
          <w:b w:val="0"/>
          <w:sz w:val="32"/>
          <w:szCs w:val="32"/>
        </w:rPr>
        <w:t>万元，执行数为</w:t>
      </w:r>
      <w:r>
        <w:rPr>
          <w:rFonts w:hint="eastAsia" w:ascii="Times New Roman" w:eastAsia="仿宋_GB2312"/>
          <w:b w:val="0"/>
          <w:sz w:val="32"/>
          <w:szCs w:val="32"/>
          <w:lang w:val="en-US" w:eastAsia="zh-CN"/>
        </w:rPr>
        <w:t>8.9</w:t>
      </w:r>
      <w:r>
        <w:rPr>
          <w:rFonts w:ascii="Times New Roman" w:eastAsia="仿宋_GB2312"/>
          <w:b w:val="0"/>
          <w:sz w:val="32"/>
          <w:szCs w:val="32"/>
        </w:rPr>
        <w:t>万元，完成预算的</w:t>
      </w:r>
      <w:r>
        <w:rPr>
          <w:rFonts w:hint="eastAsia" w:ascii="Times New Roman" w:eastAsia="仿宋_GB2312"/>
          <w:b w:val="0"/>
          <w:sz w:val="32"/>
          <w:szCs w:val="32"/>
          <w:lang w:val="en-US" w:eastAsia="zh-CN"/>
        </w:rPr>
        <w:t>98.89</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p>
    <w:tbl>
      <w:tblPr>
        <w:tblStyle w:val="11"/>
        <w:tblW w:w="511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84"/>
        <w:gridCol w:w="1718"/>
        <w:gridCol w:w="622"/>
        <w:gridCol w:w="750"/>
        <w:gridCol w:w="855"/>
        <w:gridCol w:w="690"/>
        <w:gridCol w:w="975"/>
        <w:gridCol w:w="17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4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90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2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6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1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9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14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防汛安全（突发事件）应急演练（专项资金)</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3"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148"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6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3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148"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开展应急救援演练,检验应急预案的可行性,提高全市道路运输行业应对和处置各类突发事件的能力,维护人民群众生命财产安全和社会稳定。</w:t>
            </w:r>
          </w:p>
        </w:tc>
        <w:tc>
          <w:tcPr>
            <w:tcW w:w="132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防汛安全（突发事件）应急演练预算资金9万元已基本全部支付完成，结余0.1万元已全部交回财政。</w:t>
            </w:r>
          </w:p>
        </w:tc>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148"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8"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9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2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租用车辆数</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8辆</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8辆</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安全保障率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演练完成时间</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2025年6月30日</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2025年6月26日</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租赁车辆的成本</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3.6万元</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3.6万元</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27"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98.89%</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急救能力的提升率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工作人员满意度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8"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9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48"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85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4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90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石月斌</w:t>
            </w:r>
          </w:p>
        </w:tc>
        <w:tc>
          <w:tcPr>
            <w:tcW w:w="32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9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6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1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9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0311-67668760</w:t>
            </w:r>
          </w:p>
        </w:tc>
      </w:tr>
    </w:tbl>
    <w:p>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eastAsia="zh-CN"/>
        </w:rPr>
        <w:t>公务用车购置</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99.48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8</w:t>
      </w:r>
      <w:r>
        <w:rPr>
          <w:rFonts w:ascii="Times New Roman" w:eastAsia="仿宋_GB2312"/>
          <w:b w:val="0"/>
          <w:sz w:val="32"/>
          <w:szCs w:val="32"/>
        </w:rPr>
        <w:t>万元，执行数为</w:t>
      </w:r>
      <w:r>
        <w:rPr>
          <w:rFonts w:hint="eastAsia" w:ascii="Times New Roman" w:eastAsia="仿宋_GB2312"/>
          <w:b w:val="0"/>
          <w:sz w:val="32"/>
          <w:szCs w:val="32"/>
          <w:lang w:val="en-US" w:eastAsia="zh-CN"/>
        </w:rPr>
        <w:t>7.58</w:t>
      </w:r>
      <w:r>
        <w:rPr>
          <w:rFonts w:ascii="Times New Roman" w:eastAsia="仿宋_GB2312"/>
          <w:b w:val="0"/>
          <w:sz w:val="32"/>
          <w:szCs w:val="32"/>
        </w:rPr>
        <w:t>万元，完成预算的</w:t>
      </w:r>
      <w:r>
        <w:rPr>
          <w:rFonts w:hint="eastAsia" w:ascii="Times New Roman" w:eastAsia="仿宋_GB2312"/>
          <w:b w:val="0"/>
          <w:sz w:val="32"/>
          <w:szCs w:val="32"/>
          <w:lang w:val="en-US" w:eastAsia="zh-CN"/>
        </w:rPr>
        <w:t>94.75</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p>
    <w:tbl>
      <w:tblPr>
        <w:tblStyle w:val="11"/>
        <w:tblW w:w="512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49"/>
        <w:gridCol w:w="1553"/>
        <w:gridCol w:w="667"/>
        <w:gridCol w:w="780"/>
        <w:gridCol w:w="885"/>
        <w:gridCol w:w="675"/>
        <w:gridCol w:w="960"/>
        <w:gridCol w:w="16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233"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81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0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5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0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6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3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公务用车购置（专项资金)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7.58</w:t>
            </w:r>
          </w:p>
        </w:tc>
        <w:tc>
          <w:tcPr>
            <w:tcW w:w="8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7.58</w:t>
            </w: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233"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5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3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233"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7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购买公务用车，满足离退休老干部用车需求。</w:t>
            </w:r>
          </w:p>
        </w:tc>
        <w:tc>
          <w:tcPr>
            <w:tcW w:w="1323"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公务用车购置预算资金8万元已基本全部支付完成，结余0.42万元已全部交回财政。</w:t>
            </w:r>
          </w:p>
        </w:tc>
        <w:tc>
          <w:tcPr>
            <w:tcW w:w="8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233"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7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33"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7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815"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5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购车数量</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1辆</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购置车辆合格率</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公车的购买周期</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购置成本</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≤8万元</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7.58万元</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50"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94.75%</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35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车辆可使用年限</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≥8年</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≥8年</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5"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50"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车辆使用人员的满意度</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33"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89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23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76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233"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81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何瑾哲</w:t>
            </w:r>
          </w:p>
        </w:tc>
        <w:tc>
          <w:tcPr>
            <w:tcW w:w="3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0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5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0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6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0311-67668701</w:t>
            </w:r>
          </w:p>
        </w:tc>
      </w:tr>
    </w:tbl>
    <w:p>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eastAsia="zh-CN"/>
        </w:rPr>
        <w:t>聘用人员劳务费用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107.87</w:t>
      </w:r>
      <w:r>
        <w:rPr>
          <w:rFonts w:ascii="Times New Roman" w:eastAsia="仿宋_GB2312"/>
          <w:b w:val="0"/>
          <w:sz w:val="32"/>
          <w:szCs w:val="32"/>
        </w:rPr>
        <w:t>万元，执行数为</w:t>
      </w:r>
      <w:r>
        <w:rPr>
          <w:rFonts w:hint="eastAsia" w:ascii="Times New Roman" w:eastAsia="仿宋_GB2312"/>
          <w:b w:val="0"/>
          <w:sz w:val="32"/>
          <w:szCs w:val="32"/>
          <w:lang w:val="en-US" w:eastAsia="zh-CN"/>
        </w:rPr>
        <w:t>107.85</w:t>
      </w:r>
      <w:r>
        <w:rPr>
          <w:rFonts w:ascii="Times New Roman" w:eastAsia="仿宋_GB2312"/>
          <w:b w:val="0"/>
          <w:sz w:val="32"/>
          <w:szCs w:val="32"/>
        </w:rPr>
        <w:t>万元，完成预算的</w:t>
      </w:r>
      <w:r>
        <w:rPr>
          <w:rFonts w:hint="eastAsia" w:ascii="Times New Roman" w:eastAsia="仿宋_GB2312"/>
          <w:b w:val="0"/>
          <w:sz w:val="32"/>
          <w:szCs w:val="32"/>
          <w:lang w:val="en-US" w:eastAsia="zh-CN"/>
        </w:rPr>
        <w:t>99.98</w:t>
      </w:r>
      <w:r>
        <w:rPr>
          <w:rFonts w:ascii="Times New Roman" w:eastAsia="仿宋_GB2312"/>
          <w:b w:val="0"/>
          <w:sz w:val="32"/>
          <w:szCs w:val="32"/>
        </w:rPr>
        <w:t>%。项目绩效目标完成情况：</w:t>
      </w:r>
      <w:r>
        <w:rPr>
          <w:rFonts w:hint="eastAsia" w:ascii="Times New Roman" w:hAnsi="Times New Roman" w:eastAsia="仿宋_GB2312"/>
          <w:kern w:val="2"/>
          <w:sz w:val="32"/>
          <w:szCs w:val="32"/>
          <w:rtl w:val="0"/>
          <w:lang w:val="en-US" w:eastAsia="zh-CN"/>
        </w:rPr>
        <w:t>通过项目实施，完成了年初设定的各项绩效目标，完成100%</w:t>
      </w:r>
      <w:r>
        <w:rPr>
          <w:rFonts w:ascii="Times New Roman" w:eastAsia="仿宋_GB2312"/>
          <w:b w:val="0"/>
          <w:sz w:val="32"/>
          <w:szCs w:val="32"/>
        </w:rPr>
        <w:t>。</w:t>
      </w:r>
      <w:r>
        <w:rPr>
          <w:rFonts w:hint="eastAsia" w:ascii="Times New Roman" w:eastAsia="仿宋_GB2312"/>
          <w:b w:val="0"/>
          <w:sz w:val="32"/>
          <w:szCs w:val="32"/>
          <w:lang w:val="en-US" w:eastAsia="zh-CN"/>
        </w:rPr>
        <w:t>未发现问题。</w:t>
      </w:r>
    </w:p>
    <w:tbl>
      <w:tblPr>
        <w:tblStyle w:val="11"/>
        <w:tblW w:w="515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58"/>
        <w:gridCol w:w="1701"/>
        <w:gridCol w:w="915"/>
        <w:gridCol w:w="735"/>
        <w:gridCol w:w="840"/>
        <w:gridCol w:w="699"/>
        <w:gridCol w:w="1191"/>
        <w:gridCol w:w="14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3"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填报单位：石家庄市交通运输服务中心</w:t>
            </w:r>
          </w:p>
        </w:tc>
        <w:tc>
          <w:tcPr>
            <w:tcW w:w="88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7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8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6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2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48"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7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聘用人员劳务费用（专项资金)</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石家庄市交通运输服务中心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3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107.87</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107.87</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107.847609</w:t>
            </w:r>
          </w:p>
        </w:tc>
        <w:tc>
          <w:tcPr>
            <w:tcW w:w="7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107.87</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107.87</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107.847609</w:t>
            </w: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074"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7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4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1074"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维护好劳务派遣辅助管理人员的合法权益，工资福利、养老医疗等社会保险得到保障。及时支付劳务派遣执勤人员工资及保险费用，确保该人员安心工作，并有效的保证交通运输服务保障工作稳步提升。2.更好的开展各项工作。</w:t>
            </w:r>
          </w:p>
        </w:tc>
        <w:tc>
          <w:tcPr>
            <w:tcW w:w="142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聘用人员劳务费用预算资金107.87万元已基本全部支付完成，结余0.022391万元已全部交回财政。</w:t>
            </w:r>
          </w:p>
        </w:tc>
        <w:tc>
          <w:tcPr>
            <w:tcW w:w="7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074"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074"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2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88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劳务派遣人员的数量</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22人</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22人</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考核的合格率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劳务派遣的周期</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项目资金平均成本</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5.14万元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4.9万元</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77" w:type="pc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99.98%</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tcBorders>
              <w:top w:val="nil"/>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47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工作保障率</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8"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7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劳务派遣人员的满意度</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74" w:type="pct"/>
            <w:tcBorders>
              <w:top w:val="nil"/>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317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74"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392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7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88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宿建忠</w:t>
            </w:r>
          </w:p>
        </w:tc>
        <w:tc>
          <w:tcPr>
            <w:tcW w:w="47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8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65"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22"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74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0311-67668706</w:t>
            </w:r>
          </w:p>
        </w:tc>
      </w:tr>
    </w:tbl>
    <w:p>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w:t>
      </w:r>
      <w:r>
        <w:rPr>
          <w:rFonts w:hint="eastAsia" w:ascii="Times New Roman" w:eastAsia="楷体_GB2312"/>
          <w:b/>
          <w:sz w:val="32"/>
          <w:szCs w:val="32"/>
          <w:lang w:val="en-US" w:eastAsia="zh-CN"/>
        </w:rPr>
        <w:t>三</w:t>
      </w:r>
      <w:r>
        <w:rPr>
          <w:rFonts w:ascii="Times New Roman" w:eastAsia="楷体_GB2312"/>
          <w:b/>
          <w:sz w:val="32"/>
          <w:szCs w:val="32"/>
        </w:rPr>
        <w:t>）</w:t>
      </w:r>
      <w:r>
        <w:rPr>
          <w:rFonts w:hint="eastAsia" w:ascii="Times New Roman" w:eastAsia="楷体_GB2312"/>
          <w:b/>
          <w:sz w:val="32"/>
          <w:szCs w:val="32"/>
          <w:lang w:val="en-US" w:eastAsia="zh-CN"/>
        </w:rPr>
        <w:t>部门评价项目绩效评价结果</w:t>
      </w:r>
    </w:p>
    <w:p>
      <w:pPr>
        <w:widowControl/>
        <w:numPr>
          <w:ilvl w:val="0"/>
          <w:numId w:val="0"/>
        </w:numPr>
        <w:spacing w:before="0" w:beforeLines="0" w:beforeAutospacing="0" w:after="0" w:afterLines="0" w:afterAutospacing="0" w:line="360" w:lineRule="auto"/>
        <w:ind w:firstLine="960" w:firstLineChars="300"/>
        <w:jc w:val="left"/>
        <w:rPr>
          <w:rFonts w:hint="eastAsia" w:ascii="Times New Roman" w:eastAsia="仿宋_GB2312"/>
          <w:b w:val="0"/>
          <w:sz w:val="32"/>
          <w:szCs w:val="32"/>
          <w:lang w:val="en-US" w:eastAsia="zh-CN"/>
        </w:rPr>
      </w:pPr>
      <w:bookmarkStart w:id="0" w:name="_GoBack"/>
      <w:bookmarkEnd w:id="0"/>
      <w:r>
        <w:rPr>
          <w:rFonts w:hint="eastAsia" w:ascii="Times New Roman" w:eastAsia="仿宋_GB2312"/>
          <w:b w:val="0"/>
          <w:sz w:val="32"/>
          <w:szCs w:val="32"/>
          <w:lang w:val="en-US" w:eastAsia="zh-CN"/>
        </w:rPr>
        <w:t>本单位无部门重点评价项目。</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83003BE-3712-4334-914E-8A846A5A3E5A}"/>
  </w:font>
  <w:font w:name="黑体">
    <w:panose1 w:val="02010609060101010101"/>
    <w:charset w:val="86"/>
    <w:family w:val="auto"/>
    <w:pitch w:val="default"/>
    <w:sig w:usb0="800002BF" w:usb1="38CF7CFA" w:usb2="00000016" w:usb3="00000000" w:csb0="00040001" w:csb1="00000000"/>
    <w:embedRegular r:id="rId2" w:fontKey="{DCFBD72A-7B31-4541-9580-410EBF1E56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10E823E-67C7-4CF0-A917-A57516BCA980}"/>
  </w:font>
  <w:font w:name="仿宋">
    <w:panose1 w:val="02010609060101010101"/>
    <w:charset w:val="86"/>
    <w:family w:val="modern"/>
    <w:pitch w:val="default"/>
    <w:sig w:usb0="800002BF" w:usb1="38CF7CFA" w:usb2="00000016" w:usb3="00000000" w:csb0="00040001" w:csb1="00000000"/>
    <w:embedRegular r:id="rId4" w:fontKey="{0AE5C51D-00B8-4F36-8D4B-73DA16014BCF}"/>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ED95CD1E-F791-49FC-8503-6DB7230DED7F}"/>
  </w:font>
  <w:font w:name="楷体_GB2312">
    <w:panose1 w:val="02010609030101010101"/>
    <w:charset w:val="86"/>
    <w:family w:val="auto"/>
    <w:pitch w:val="default"/>
    <w:sig w:usb0="00000001" w:usb1="080E0000" w:usb2="00000000" w:usb3="00000000" w:csb0="00040000" w:csb1="00000000"/>
    <w:embedRegular r:id="rId6" w:fontKey="{D9E11FB1-AB56-496D-89F2-EBA45A989C8D}"/>
  </w:font>
  <w:font w:name="微软雅黑">
    <w:panose1 w:val="020B0503020204020204"/>
    <w:charset w:val="86"/>
    <w:family w:val="auto"/>
    <w:pitch w:val="default"/>
    <w:sig w:usb0="80000287" w:usb1="2ACF3C50" w:usb2="00000016" w:usb3="00000000" w:csb0="0004001F" w:csb1="00000000"/>
    <w:embedRegular r:id="rId7" w:fontKey="{4EAB55B2-9AB0-416F-9F75-02EF8CD54E8A}"/>
  </w:font>
  <w:font w:name="方正小标宋_GBK">
    <w:panose1 w:val="02000000000000000000"/>
    <w:charset w:val="86"/>
    <w:family w:val="script"/>
    <w:pitch w:val="default"/>
    <w:sig w:usb0="00000000" w:usb1="00000000" w:usb2="00000000" w:usb3="00000000" w:csb0="00000000" w:csb1="00000000"/>
    <w:embedRegular r:id="rId8" w:fontKey="{3068694B-72C2-446A-8862-D2784DCD347B}"/>
  </w:font>
  <w:font w:name="仿宋_GB2312">
    <w:panose1 w:val="02010609030101010101"/>
    <w:charset w:val="86"/>
    <w:family w:val="auto"/>
    <w:pitch w:val="default"/>
    <w:sig w:usb0="00000001" w:usb1="080E0000" w:usb2="00000000" w:usb3="00000000" w:csb0="00040000" w:csb1="00000000"/>
    <w:embedRegular r:id="rId9" w:fontKey="{938CDE23-16C9-4574-90E9-AF28B94D84D4}"/>
  </w:font>
  <w:font w:name="ArialUnicodeMS">
    <w:altName w:val="Malgun Gothic"/>
    <w:panose1 w:val="00000000000000000000"/>
    <w:charset w:val="81"/>
    <w:family w:val="auto"/>
    <w:pitch w:val="default"/>
    <w:sig w:usb0="00000000" w:usb1="00000000" w:usb2="00000010" w:usb3="00000000" w:csb0="00080001" w:csb1="00000000"/>
    <w:embedRegular r:id="rId10" w:fontKey="{31DC5706-9045-4E89-A076-4359EADB29E8}"/>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9FFB2"/>
    <w:multiLevelType w:val="singleLevel"/>
    <w:tmpl w:val="9199FFB2"/>
    <w:lvl w:ilvl="0" w:tentative="0">
      <w:start w:val="6"/>
      <w:numFmt w:val="decimal"/>
      <w:suff w:val="nothing"/>
      <w:lvlText w:val="%1、"/>
      <w:lvlJc w:val="left"/>
    </w:lvl>
  </w:abstractNum>
  <w:abstractNum w:abstractNumId="1">
    <w:nsid w:val="B5C99D9E"/>
    <w:multiLevelType w:val="singleLevel"/>
    <w:tmpl w:val="B5C99D9E"/>
    <w:lvl w:ilvl="0" w:tentative="0">
      <w:start w:val="1"/>
      <w:numFmt w:val="decimal"/>
      <w:suff w:val="nothing"/>
      <w:lvlText w:val="%1、"/>
      <w:lvlJc w:val="left"/>
    </w:lvl>
  </w:abstractNum>
  <w:abstractNum w:abstractNumId="2">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962305"/>
    <w:rsid w:val="03F5128D"/>
    <w:rsid w:val="03FB73B0"/>
    <w:rsid w:val="04642795"/>
    <w:rsid w:val="04714B20"/>
    <w:rsid w:val="04806B11"/>
    <w:rsid w:val="049C1B9D"/>
    <w:rsid w:val="04BD008C"/>
    <w:rsid w:val="04C55939"/>
    <w:rsid w:val="04DA28BB"/>
    <w:rsid w:val="04F528BE"/>
    <w:rsid w:val="050E10CE"/>
    <w:rsid w:val="052D2A0C"/>
    <w:rsid w:val="054F2DFB"/>
    <w:rsid w:val="05991C82"/>
    <w:rsid w:val="05CD1EC8"/>
    <w:rsid w:val="05E57574"/>
    <w:rsid w:val="061416A9"/>
    <w:rsid w:val="061D60A6"/>
    <w:rsid w:val="06236884"/>
    <w:rsid w:val="06B07006"/>
    <w:rsid w:val="06FC7C2A"/>
    <w:rsid w:val="070B57B7"/>
    <w:rsid w:val="07533AFE"/>
    <w:rsid w:val="0790350F"/>
    <w:rsid w:val="07A52105"/>
    <w:rsid w:val="07AC18F2"/>
    <w:rsid w:val="07B3657A"/>
    <w:rsid w:val="07C857D0"/>
    <w:rsid w:val="081163FE"/>
    <w:rsid w:val="083F3A0A"/>
    <w:rsid w:val="08AB5AAF"/>
    <w:rsid w:val="08B66FA6"/>
    <w:rsid w:val="08C65EBD"/>
    <w:rsid w:val="08D24C32"/>
    <w:rsid w:val="08D25D0C"/>
    <w:rsid w:val="09012C64"/>
    <w:rsid w:val="093B2E99"/>
    <w:rsid w:val="095D7943"/>
    <w:rsid w:val="099E5329"/>
    <w:rsid w:val="09C006C6"/>
    <w:rsid w:val="0A10621F"/>
    <w:rsid w:val="0A464C4F"/>
    <w:rsid w:val="0A6729A3"/>
    <w:rsid w:val="0A694877"/>
    <w:rsid w:val="0A976AD2"/>
    <w:rsid w:val="0AA954BE"/>
    <w:rsid w:val="0AE70639"/>
    <w:rsid w:val="0AEC32FF"/>
    <w:rsid w:val="0B4F5E6D"/>
    <w:rsid w:val="0B52270F"/>
    <w:rsid w:val="0B753AE2"/>
    <w:rsid w:val="0BB67D0A"/>
    <w:rsid w:val="0BC56230"/>
    <w:rsid w:val="0BCF21BD"/>
    <w:rsid w:val="0C481041"/>
    <w:rsid w:val="0C4E53E8"/>
    <w:rsid w:val="0C62191E"/>
    <w:rsid w:val="0C6712D6"/>
    <w:rsid w:val="0C7F7845"/>
    <w:rsid w:val="0C9F7900"/>
    <w:rsid w:val="0CB20B1A"/>
    <w:rsid w:val="0CB23317"/>
    <w:rsid w:val="0D101068"/>
    <w:rsid w:val="0D4903E8"/>
    <w:rsid w:val="0D4E13BE"/>
    <w:rsid w:val="0D7557DF"/>
    <w:rsid w:val="0D853E34"/>
    <w:rsid w:val="0D9C2A57"/>
    <w:rsid w:val="0DA16476"/>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A62EC8"/>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7FF4B64"/>
    <w:rsid w:val="280A3758"/>
    <w:rsid w:val="28292E99"/>
    <w:rsid w:val="284E28FF"/>
    <w:rsid w:val="289057C5"/>
    <w:rsid w:val="28A67C7A"/>
    <w:rsid w:val="28EA3248"/>
    <w:rsid w:val="28F72F97"/>
    <w:rsid w:val="28F879DA"/>
    <w:rsid w:val="294B7731"/>
    <w:rsid w:val="29514455"/>
    <w:rsid w:val="29D21FF2"/>
    <w:rsid w:val="2A611B0F"/>
    <w:rsid w:val="2A76033E"/>
    <w:rsid w:val="2AC1762B"/>
    <w:rsid w:val="2AE845D0"/>
    <w:rsid w:val="2B4975FB"/>
    <w:rsid w:val="2B695031"/>
    <w:rsid w:val="2B735A8F"/>
    <w:rsid w:val="2BA25D6C"/>
    <w:rsid w:val="2BA7478D"/>
    <w:rsid w:val="2BB038DB"/>
    <w:rsid w:val="2BB761E0"/>
    <w:rsid w:val="2BB812F9"/>
    <w:rsid w:val="2BE35C27"/>
    <w:rsid w:val="2BFA504B"/>
    <w:rsid w:val="2C681F1F"/>
    <w:rsid w:val="2C8608DC"/>
    <w:rsid w:val="2CA4764A"/>
    <w:rsid w:val="2CC42ECA"/>
    <w:rsid w:val="2CCC7A22"/>
    <w:rsid w:val="2CDA4349"/>
    <w:rsid w:val="2D133E5F"/>
    <w:rsid w:val="2D225539"/>
    <w:rsid w:val="2D4618D2"/>
    <w:rsid w:val="2D5F021B"/>
    <w:rsid w:val="2D6E1286"/>
    <w:rsid w:val="2D70583E"/>
    <w:rsid w:val="2DA07759"/>
    <w:rsid w:val="2DE955A4"/>
    <w:rsid w:val="2E061BAB"/>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2C0469"/>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754EB4"/>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55F1E"/>
    <w:rsid w:val="39A97DAF"/>
    <w:rsid w:val="39BF365D"/>
    <w:rsid w:val="39CD1330"/>
    <w:rsid w:val="39DD1AFF"/>
    <w:rsid w:val="3A2510B9"/>
    <w:rsid w:val="3A2B0CF2"/>
    <w:rsid w:val="3A2B1DFC"/>
    <w:rsid w:val="3AA6422C"/>
    <w:rsid w:val="3AAF46D5"/>
    <w:rsid w:val="3AF562AE"/>
    <w:rsid w:val="3B135A0E"/>
    <w:rsid w:val="3B183213"/>
    <w:rsid w:val="3B272BBC"/>
    <w:rsid w:val="3B2D2398"/>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576904"/>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01455B"/>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EB52A7"/>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DFC723D"/>
    <w:rsid w:val="4E1040C7"/>
    <w:rsid w:val="4E1760BF"/>
    <w:rsid w:val="4E30647F"/>
    <w:rsid w:val="4E353A96"/>
    <w:rsid w:val="4E5D2C75"/>
    <w:rsid w:val="4EBA03C3"/>
    <w:rsid w:val="4EBC5459"/>
    <w:rsid w:val="4ED94CB0"/>
    <w:rsid w:val="4EEC2ED3"/>
    <w:rsid w:val="4F0E56EA"/>
    <w:rsid w:val="4F15104C"/>
    <w:rsid w:val="4F2E11BC"/>
    <w:rsid w:val="4F3C4343"/>
    <w:rsid w:val="4F416688"/>
    <w:rsid w:val="4F5620B0"/>
    <w:rsid w:val="4F616EB4"/>
    <w:rsid w:val="4F6654EE"/>
    <w:rsid w:val="4F7379C6"/>
    <w:rsid w:val="4F872BDB"/>
    <w:rsid w:val="4FA033E9"/>
    <w:rsid w:val="4FA743DA"/>
    <w:rsid w:val="4FB3565A"/>
    <w:rsid w:val="4FC0755B"/>
    <w:rsid w:val="4FC4714D"/>
    <w:rsid w:val="4FD571A2"/>
    <w:rsid w:val="50080118"/>
    <w:rsid w:val="503D1C79"/>
    <w:rsid w:val="507A6406"/>
    <w:rsid w:val="50853863"/>
    <w:rsid w:val="508A4590"/>
    <w:rsid w:val="50F1461D"/>
    <w:rsid w:val="50FE5411"/>
    <w:rsid w:val="510B072E"/>
    <w:rsid w:val="511B0BF4"/>
    <w:rsid w:val="51264306"/>
    <w:rsid w:val="514E62C9"/>
    <w:rsid w:val="516123CE"/>
    <w:rsid w:val="517B5C63"/>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8E1C6D"/>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C42004"/>
    <w:rsid w:val="63D175D1"/>
    <w:rsid w:val="63D27965"/>
    <w:rsid w:val="63F4667E"/>
    <w:rsid w:val="64095516"/>
    <w:rsid w:val="641A2468"/>
    <w:rsid w:val="64372F20"/>
    <w:rsid w:val="648944D0"/>
    <w:rsid w:val="64906B9B"/>
    <w:rsid w:val="64DC72D7"/>
    <w:rsid w:val="64FA42B4"/>
    <w:rsid w:val="653619A6"/>
    <w:rsid w:val="65610A02"/>
    <w:rsid w:val="658C0E37"/>
    <w:rsid w:val="65A11EA3"/>
    <w:rsid w:val="65AC3D66"/>
    <w:rsid w:val="65BB5334"/>
    <w:rsid w:val="663E1DBA"/>
    <w:rsid w:val="665D0213"/>
    <w:rsid w:val="668506C7"/>
    <w:rsid w:val="669E59F1"/>
    <w:rsid w:val="66A2024B"/>
    <w:rsid w:val="66C07AEC"/>
    <w:rsid w:val="66CB5E2D"/>
    <w:rsid w:val="6704732B"/>
    <w:rsid w:val="670F6731"/>
    <w:rsid w:val="67585CB0"/>
    <w:rsid w:val="67770F0C"/>
    <w:rsid w:val="679E649A"/>
    <w:rsid w:val="67B03535"/>
    <w:rsid w:val="68082271"/>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3D0C7E"/>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066F9"/>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163CF"/>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733051"/>
    <w:rsid w:val="748A2F40"/>
    <w:rsid w:val="74D84FF7"/>
    <w:rsid w:val="74F7507E"/>
    <w:rsid w:val="74F85778"/>
    <w:rsid w:val="75272439"/>
    <w:rsid w:val="758F1E9B"/>
    <w:rsid w:val="75CE266B"/>
    <w:rsid w:val="75E538F2"/>
    <w:rsid w:val="76120141"/>
    <w:rsid w:val="76510960"/>
    <w:rsid w:val="768216BE"/>
    <w:rsid w:val="76C23B43"/>
    <w:rsid w:val="76FD6F97"/>
    <w:rsid w:val="770218E8"/>
    <w:rsid w:val="776B60C0"/>
    <w:rsid w:val="779469CE"/>
    <w:rsid w:val="77C875A5"/>
    <w:rsid w:val="77D777E8"/>
    <w:rsid w:val="78A27DF6"/>
    <w:rsid w:val="79285B3A"/>
    <w:rsid w:val="79490B03"/>
    <w:rsid w:val="79625CA9"/>
    <w:rsid w:val="79A91196"/>
    <w:rsid w:val="7A0B32D3"/>
    <w:rsid w:val="7A7371C1"/>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770F28"/>
    <w:rsid w:val="7DFB6D82"/>
    <w:rsid w:val="7E1D71D1"/>
    <w:rsid w:val="7E246254"/>
    <w:rsid w:val="7E553215"/>
    <w:rsid w:val="7E6D090F"/>
    <w:rsid w:val="7E7E2263"/>
    <w:rsid w:val="7ECC66B2"/>
    <w:rsid w:val="7F2914C3"/>
    <w:rsid w:val="7F3823EB"/>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qFormat/>
    <w:uiPriority w:val="0"/>
    <w:rPr>
      <w:rFonts w:hint="default" w:ascii="Calibri" w:hAnsi="Calibri" w:cs="Calibri"/>
      <w:color w:val="000000"/>
      <w:sz w:val="16"/>
      <w:szCs w:val="16"/>
      <w:u w:val="none"/>
    </w:rPr>
  </w:style>
  <w:style w:type="character" w:customStyle="1" w:styleId="28">
    <w:name w:val="font71"/>
    <w:basedOn w:val="13"/>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1449.23</c:v>
                </c:pt>
                <c:pt idx="1">
                  <c:v>1381.35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14492274.17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11683961.08</c:v>
                </c:pt>
                <c:pt idx="1">
                  <c:v>2808313.09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1381.35</c:v>
                </c:pt>
                <c:pt idx="1">
                  <c:v>1381.35</c:v>
                </c:pt>
                <c:pt idx="2">
                  <c:v>1381.35</c:v>
                </c:pt>
                <c:pt idx="3">
                  <c:v>1381.35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1449.23</c:v>
                </c:pt>
                <c:pt idx="1">
                  <c:v>1449.23</c:v>
                </c:pt>
                <c:pt idx="2">
                  <c:v>1449.23</c:v>
                </c:pt>
                <c:pt idx="3">
                  <c:v>1449.23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1471.35</c:v>
                </c:pt>
                <c:pt idx="1">
                  <c:v>1471.35</c:v>
                </c:pt>
                <c:pt idx="2">
                  <c:v>1471.35</c:v>
                </c:pt>
                <c:pt idx="3">
                  <c:v>1471.35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1449.23</c:v>
                </c:pt>
                <c:pt idx="1">
                  <c:v>1449.23</c:v>
                </c:pt>
                <c:pt idx="2">
                  <c:v>1449.23</c:v>
                </c:pt>
                <c:pt idx="3">
                  <c:v>1449.23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58</Pages>
  <Words>1660</Words>
  <Characters>6225</Characters>
  <Lines>86</Lines>
  <Paragraphs>24</Paragraphs>
  <TotalTime>1</TotalTime>
  <ScaleCrop>false</ScaleCrop>
  <LinksUpToDate>false</LinksUpToDate>
  <CharactersWithSpaces>6550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jy</cp:lastModifiedBy>
  <cp:lastPrinted>2023-08-04T01:00:00Z</cp:lastPrinted>
  <dcterms:modified xsi:type="dcterms:W3CDTF">2026-09-02T08:00:31Z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eyJoZGlkIjoiZjgxYWQ2NzU3NzJhMjlhZDVhNjYyMTIwNTIyMzNjNzIifQ==</vt:lpwstr>
  </property>
</Properties>
</file>