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石家庄市交通运输综合行政执法支队</w:t>
      </w: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预算代码：348013</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rPr>
          <w:rFonts w:ascii="楷体_GB2312" w:hAnsi="楷体_GB2312" w:eastAsia="楷体_GB2312" w:cs="楷体_GB2312"/>
          <w:color w:val="000000"/>
          <w:sz w:val="40"/>
          <w:szCs w:val="40"/>
        </w:rPr>
        <w:sectPr>
          <w:footerReference r:id="rId3" w:type="default"/>
          <w:pgSz w:w="11906" w:h="16838"/>
          <w:pgMar w:top="2098" w:right="1418" w:bottom="1871" w:left="1418" w:header="851" w:footer="992" w:gutter="0"/>
          <w:cols w:space="720" w:num="1"/>
          <w:vAlign w:val="center"/>
          <w:docGrid w:type="lines" w:linePitch="312" w:charSpace="0"/>
        </w:sectPr>
      </w:pPr>
    </w:p>
    <w:p>
      <w:pPr>
        <w:spacing w:line="600" w:lineRule="auto"/>
        <w:jc w:val="center"/>
        <w:rPr>
          <w:rFonts w:ascii="楷体_GB2312" w:hAnsi="楷体_GB2312" w:eastAsia="楷体_GB2312" w:cs="楷体_GB2312"/>
          <w:color w:val="000000"/>
          <w:sz w:val="40"/>
          <w:szCs w:val="40"/>
        </w:rPr>
      </w:pPr>
    </w:p>
    <w:p>
      <w:pPr>
        <w:rPr>
          <w:rFonts w:ascii="黑体" w:hAnsi="黑体" w:eastAsia="黑体" w:cs="黑体"/>
          <w:b/>
          <w:bCs/>
          <w:sz w:val="32"/>
          <w:szCs w:val="36"/>
          <w:highlight w:val="yellow"/>
        </w:rPr>
      </w:pPr>
    </w:p>
    <w:p>
      <w:pPr>
        <w:widowControl/>
        <w:spacing w:line="360" w:lineRule="auto"/>
        <w:jc w:val="center"/>
        <w:rPr>
          <w:rFonts w:ascii="Times New Roman" w:eastAsia="方正小标宋_GBK"/>
          <w:sz w:val="72"/>
          <w:szCs w:val="72"/>
        </w:rPr>
      </w:pPr>
      <w:r>
        <w:rPr>
          <w:rFonts w:ascii="Times New Roman" w:eastAsia="方正小标宋_GBK"/>
          <w:sz w:val="72"/>
          <w:szCs w:val="72"/>
        </w:rPr>
        <w:t>石家庄市交通运输综合行政执法支队</w:t>
      </w:r>
    </w:p>
    <w:p>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pPr>
        <w:spacing w:line="360" w:lineRule="auto"/>
        <w:jc w:val="center"/>
        <w:rPr>
          <w:rFonts w:ascii="黑体" w:hAnsi="黑体" w:eastAsia="黑体" w:cs="黑体"/>
          <w:sz w:val="56"/>
          <w:szCs w:val="72"/>
        </w:rPr>
      </w:pPr>
    </w:p>
    <w:p>
      <w:pPr>
        <w:spacing w:line="480" w:lineRule="auto"/>
        <w:rPr>
          <w:rFonts w:ascii="黑体" w:hAnsi="黑体" w:eastAsia="黑体" w:cs="黑体"/>
          <w:sz w:val="56"/>
          <w:szCs w:val="72"/>
        </w:rPr>
      </w:pPr>
    </w:p>
    <w:p>
      <w:pPr>
        <w:widowControl/>
        <w:spacing w:line="360" w:lineRule="auto"/>
        <w:jc w:val="center"/>
        <w:rPr>
          <w:rFonts w:ascii="Times New Roman" w:eastAsia="楷体_GB2312"/>
          <w:sz w:val="44"/>
          <w:szCs w:val="44"/>
        </w:rPr>
      </w:pPr>
      <w:r>
        <w:rPr>
          <w:rFonts w:ascii="Times New Roman" w:eastAsia="楷体_GB2312"/>
          <w:sz w:val="44"/>
          <w:szCs w:val="44"/>
        </w:rPr>
        <w:t>石家庄市交通运输综合行政执法支队</w:t>
      </w:r>
    </w:p>
    <w:p>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NumType w:start="1"/>
          <w:cols w:space="720" w:num="1"/>
          <w:docGrid w:type="lines" w:linePitch="312" w:charSpace="0"/>
        </w:sectPr>
      </w:pPr>
    </w:p>
    <w:p>
      <w:pPr>
        <w:widowControl/>
        <w:spacing w:line="360" w:lineRule="auto"/>
        <w:jc w:val="center"/>
        <w:outlineLvl w:val="0"/>
        <w:rPr>
          <w:rFonts w:ascii="Times New Roman" w:eastAsia="黑体"/>
          <w:sz w:val="44"/>
          <w:szCs w:val="44"/>
        </w:rPr>
      </w:pPr>
      <w:r>
        <w:rPr>
          <w:rFonts w:ascii="Times New Roman" w:eastAsia="黑体"/>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360" w:lineRule="auto"/>
        <w:jc w:val="left"/>
        <w:rPr>
          <w:rFonts w:ascii="Times New Roman" w:eastAsia="黑体"/>
          <w:sz w:val="32"/>
          <w:szCs w:val="32"/>
        </w:rPr>
      </w:pPr>
      <w:r>
        <w:rPr>
          <w:rFonts w:ascii="Times New Roman" w:eastAsia="黑体"/>
          <w:sz w:val="32"/>
          <w:szCs w:val="32"/>
        </w:rPr>
        <w:t>第一部分单位概况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pPr>
        <w:widowControl/>
        <w:spacing w:line="360" w:lineRule="auto"/>
        <w:jc w:val="left"/>
        <w:rPr>
          <w:rFonts w:ascii="Times New Roman" w:eastAsia="黑体"/>
          <w:sz w:val="32"/>
          <w:szCs w:val="32"/>
        </w:rPr>
      </w:pPr>
      <w:r>
        <w:rPr>
          <w:rFonts w:ascii="Times New Roman" w:eastAsia="黑体"/>
          <w:sz w:val="32"/>
          <w:szCs w:val="32"/>
        </w:rPr>
        <w:t>第四部分 名词解释</w:t>
      </w:r>
    </w:p>
    <w:p>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石家庄市交通运输综合行政执法支队将原公路路政、道路运政、港政航政等方面的行政执法等职能进行整合成立，实现了交通运输领域“一支队伍管执法”。主要职责调整为：负责长安区、桥西区、新华区、裕华区、正定机场、高新区、综合保税区及市本级所管辖公路（含市管高速公路）、水域的交通运输综合行政执法工作；负责组织协调查处跨县（市、区）重大执法案件以及具有重要影响的复杂案件；可按照程序调用县（市、区）交通运输综合行政执法队伍人员力量。</w:t>
      </w:r>
    </w:p>
    <w:p>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石家庄市交通运输综合行政执法支队</w:t>
            </w:r>
          </w:p>
        </w:tc>
        <w:tc>
          <w:tcPr>
            <w:tcW w:w="2445" w:type="dxa"/>
          </w:tcPr>
          <w:p>
            <w:pPr>
              <w:spacing w:line="560" w:lineRule="exact"/>
              <w:jc w:val="center"/>
              <w:rPr>
                <w:rFonts w:ascii="仿宋_GB2312" w:hAnsi="Calibri" w:eastAsia="仿宋_GB2312" w:cs="ArialUnicodeMS"/>
                <w:sz w:val="28"/>
                <w:szCs w:val="28"/>
              </w:rPr>
            </w:pPr>
          </w:p>
        </w:tc>
        <w:tc>
          <w:tcPr>
            <w:tcW w:w="266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部门（单位）：石家庄市交通运输综合行政执法支队</w:t>
            </w:r>
          </w:p>
        </w:tc>
        <w:tc>
          <w:tcPr>
            <w:tcW w:w="1262" w:type="pct"/>
            <w:gridSpan w:val="2"/>
            <w:tcBorders>
              <w:top w:val="nil"/>
              <w:left w:val="nil"/>
              <w:bottom w:val="single" w:color="000000" w:themeColor="text1" w:sz="8" w:space="0"/>
              <w:right w:val="nil"/>
            </w:tcBorders>
            <w:noWrap/>
            <w:vAlign w:val="bottom"/>
          </w:tcPr>
          <w:p>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7" w:type="pct"/>
            <w:gridSpan w:val="3"/>
            <w:tcBorders>
              <w:top w:val="nil"/>
              <w:left w:val="nil"/>
              <w:bottom w:val="single" w:color="000000" w:themeColor="text1" w:sz="8" w:space="0"/>
              <w:right w:val="nil"/>
            </w:tcBorders>
            <w:noWrap/>
            <w:vAlign w:val="bottom"/>
          </w:tcPr>
          <w:p>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1,077.32</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285.03</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9,440.78</w:t>
            </w:r>
          </w:p>
        </w:tc>
      </w:tr>
      <w:tr>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345.24</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r>
      <w:tr>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部门（单位）：石家庄市交通运输综合行政执法支队                                                                                                         </w:t>
            </w:r>
          </w:p>
        </w:tc>
        <w:tc>
          <w:tcPr>
            <w:tcW w:w="3405" w:type="dxa"/>
            <w:gridSpan w:val="4"/>
            <w:tcBorders>
              <w:top w:val="nil"/>
              <w:left w:val="nil"/>
              <w:bottom w:val="single" w:color="000000" w:themeColor="text1" w:sz="8" w:space="0"/>
              <w:right w:val="nil"/>
            </w:tcBorders>
            <w:noWrap/>
            <w:vAlign w:val="bottom"/>
          </w:tcPr>
          <w:p>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11,148.37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11,148.37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1,077.32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1,077.32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1,058.37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1,058.37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539.11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539.11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158.64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158.64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126.39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9,440.78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9,440.78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4,740.53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4,740.53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公路运输管理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3,502.51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3,502.51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公共交通运营补助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4,700.25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345.24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pPr>
        <w:rPr>
          <w:rFonts w:ascii="仿宋_GB2312" w:hAnsi="宋体" w:eastAsia="仿宋_GB2312"/>
          <w:b/>
          <w:sz w:val="32"/>
          <w:szCs w:val="32"/>
        </w:rPr>
      </w:pPr>
    </w:p>
    <w:p>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部门（单位）：石家庄市交通运输综合行政执法支队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5,210.10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5,938.27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1,077.32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1,077.32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1,058.37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1,058.37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539.11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539.11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113.84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113.84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158.64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158.64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126.39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126.39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9,440.78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5,938.27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4,740.53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公路运输管理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公共交通运营补助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部门（单位）：石家庄市交通运输综合行政执法支队 </w:t>
            </w:r>
            <w:r>
              <w:rPr>
                <w:rFonts w:hint="eastAsia" w:asciiTheme="minorEastAsia" w:hAnsiTheme="minorEastAsia" w:cstheme="minorEastAsia"/>
                <w:color w:val="000000"/>
                <w:sz w:val="20"/>
                <w:szCs w:val="20"/>
                <w:lang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19" w:type="pct"/>
            <w:gridSpan w:val="4"/>
            <w:tcBorders>
              <w:top w:val="nil"/>
              <w:left w:val="nil"/>
              <w:bottom w:val="single" w:color="000000" w:themeColor="text1" w:sz="8" w:space="0"/>
              <w:right w:val="nil"/>
            </w:tcBorders>
            <w:noWrap/>
            <w:vAlign w:val="bottom"/>
          </w:tcPr>
          <w:p>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1,077.32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1,077.32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285.03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285.03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9,440.78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9,440.78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345.24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345.24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11,148.37</w:t>
            </w:r>
          </w:p>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761"/>
        <w:gridCol w:w="3308"/>
        <w:gridCol w:w="1016"/>
        <w:gridCol w:w="508"/>
        <w:gridCol w:w="532"/>
        <w:gridCol w:w="368"/>
        <w:gridCol w:w="1204"/>
      </w:tblGrid>
      <w:tr>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部门（单位）：石家庄市交通运输综合行政执法支队</w:t>
            </w:r>
          </w:p>
        </w:tc>
        <w:tc>
          <w:tcPr>
            <w:tcW w:w="1541" w:type="pct"/>
            <w:gridSpan w:val="2"/>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11,148.37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5,210.10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5,938.27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1,077.32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1,077.32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1,058.37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1,058.37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539.11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539.11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113.84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113.84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158.64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158.64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126.39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126.39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9,440.78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5,938.27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4,740.53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公路运输管理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1,238.02</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3,502.51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公共交通运营补助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4,700.25</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345.24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部门（单位）：石家庄市交通运输综合行政执法支队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4,296.49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357.59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1,309.14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38.22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164.88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4.81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576.93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6.70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1,077.07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9.17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405.42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8.36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113.84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30.66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158.64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14.89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145.34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345.24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40.92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556.02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17.32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534.95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4.16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7.20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8.10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0.52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38.82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28.89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1.61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84.54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33.76</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4,852.51</w:t>
            </w:r>
          </w:p>
        </w:tc>
        <w:tc>
          <w:tcPr>
            <w:tcW w:w="5811" w:type="dxa"/>
            <w:gridSpan w:val="6"/>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357.59</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部门（单位）：石家庄市交通运输综合行政执法支队 </w:t>
            </w:r>
            <w:r>
              <w:rPr>
                <w:rFonts w:hint="eastAsia" w:ascii="宋体" w:hAnsi="宋体" w:eastAsia="宋体"/>
                <w:color w:val="000000"/>
                <w:sz w:val="20"/>
                <w:szCs w:val="20"/>
                <w:lang w:bidi="ar"/>
              </w:rPr>
              <w:t xml:space="preserve">                                                                                     </w:t>
            </w:r>
          </w:p>
        </w:tc>
        <w:tc>
          <w:tcPr>
            <w:tcW w:w="1217"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4"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部门（单位）：石家庄市交通运输综合行政执法支队</w:t>
            </w:r>
          </w:p>
        </w:tc>
        <w:tc>
          <w:tcPr>
            <w:tcW w:w="1421"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部门（单位）：石家庄市交通运输综合行政执法支队</w:t>
            </w:r>
          </w:p>
        </w:tc>
        <w:tc>
          <w:tcPr>
            <w:tcW w:w="933"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9" w:type="pct"/>
            <w:gridSpan w:val="5"/>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134.60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133.60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18.00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115.60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1.00</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102.10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102.10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17.56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84.54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r>
      <w:tr>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p>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本单位2025年度收、支总计（含结转和结余）均为11,148.37万元。与2024年度决算相比，收支各增加1,340.00万元，增长13.7%，主要原因是基本支出收支增加，项目支出收支增加。</w:t>
      </w:r>
    </w:p>
    <w:p>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11,148.37万元，其中：财政拨款收入11,148.37万元，占100.0%；上级补助收入0.00万元，占0.0%；事业收入0.00万元，占0.0%；经营收入0.00万元，占0.0%；附属单位上缴收入0.00万元，占0.0%；其他收入0.00万元，占0.0%。</w:t>
      </w:r>
    </w:p>
    <w:p>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本单位2025年度本年支出合计11,148.37万元，其中：基本支出5,210.10万元，占46.7%；项目支出5,938.27万元，占53.3%；经营支出0.00万元，占0.0%；上缴上级支出0.00万元，占0.0%；对附属单位补助支出0.00万元，占0.0%。</w:t>
      </w:r>
    </w:p>
    <w:p>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本单位2025年度财政拨款收、支总计（含结转和结余）均为11,148.37万元。与2024年度相比，财政拨款收支各增加1,340.00万元，增长13.7%，主要原因是基本支出收支增加，项目支出收支增加。</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11,148.37万元,比上年增加1,349.00万元，增长13.8%，主要原因是基本支出收入增加，项目支出收入增加；本年支出11,148.37万元，比上年增加1,340.00万元，增长13.7%，主要原因是基本支出增加，项目支出增加。具体情况如下：</w:t>
      </w:r>
    </w:p>
    <w:p>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11,148.37万元,比上年增加1,349.00万元，增长13.8%，主要原因是基本支出收入增加，项目支出收入增加；本年支出11,148.37万元，比上年增加1,340.00万元，增长13.7%，主要原因是基本支出收入增加，项目支出收入增加。</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政府性基金预算财政拨款本年收入0.00万元，比上年增加0.00万元，增长0.00%，主要原因是；本年支出0.00万元，比上年增加0.00万元，增长0.00%，主要原因是。</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国有资本经营预算财政拨款本年收入0.00万元，比上年增加0.00万元，增长0.00%，主要原因是；本年支出0.00万元，比上年增加0.00万元，增长0.00%，主要原因是。</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11,148.37万元，完成年初预算的173.3%，比年初预算增加4,716.74万元，决算数大于预算数主要原因是基本支出收入增加，项目支出收入增加；本年支出11,148.37万元，完成年初预算的173.3%，比年初预算增加4,716.74万元，决算数大于预算数主要原因是基本支出增加，项目支出增加。具体情况如下：</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173.3%，比年初预算增加4,716.74万元，主要原因是基本支出收入增加，项目支出收入增加；支出完成年初预算的173.3%，比年初预算增加4,716.74万元，主要原因是基本支出增加，项目支出增加。</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政府性基金预算财政拨款本年收入完成年初预算的0.0%，比年初预算增加0.00万元，主要原因是；支出完成年初预算的0.0%，比年初预算增加0.00万元，主要原因是。</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国有资本经营预算财政拨款本年收入完成年初预算的0.0%，比年初预算增加0.00万元，主要原因是；支出完成年初预算的0.0%，比年初预算增加0.00万元，主要原因是。</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2025年度财政拨款支出11,148.37万元，主要用于以下方面：</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1,077.32万元，占9.7%，主要用于离退休人员经费、职工基本养老保险等人员经费支出等支出；卫生健康（类）支出285.03万元，占2.6%，主要用于职工医疗保险等人员经费支出等支出；节能环保（类）支出0.00万元，占0.0%，主要用于等支出；城乡社区（类）支出0.00万元，占0.0%，主要用于等支出；农林水（类）支出0.00万元，占0.0%，主要用于等支出；交通运输（类）支出9,440.78万元，占84.7%，主要用于人员工资、日常公用经费以及项目支出等支出</w:t>
      </w:r>
      <w:bookmarkStart w:id="0" w:name="_GoBack"/>
      <w:bookmarkEnd w:id="0"/>
      <w:r>
        <w:rPr>
          <w:rFonts w:ascii="Times New Roman" w:eastAsia="仿宋_GB2312"/>
          <w:sz w:val="32"/>
          <w:szCs w:val="32"/>
        </w:rPr>
        <w:t>；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345.24万元，占3.1%，主要用于职工住房公积金等人员经费支出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2025年度财政拨款基本支出5,210.10万元，其中：</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4,852.51万元，主要包括基本工资、津贴补贴、奖金、绩效工资、机关事业部门基本养老保险缴费、职业年金缴费、职工基本医疗保险缴费、公务员医疗补助缴费、住房公积金、医疗费、其他社会保障缴费、 退休费、 抚恤金、生活补助、奖励金。</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357.59万元，主要包括办公费、印刷费、水费、电费、邮电费、取暖费、差旅费、维修（护）费、租赁费、培训费、委托业务费、工会经费、福利费、公务用车运行维护费、其他交通费用、其他商品和服务支出。</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134.60万元，支出决算为102.10万元，完成预算的75.9%，较预算减少32.50万元，降低24.1%，主要原因是节约公务用车运行维护费资金；较2024年度决算减少51.08万元，降低33.3%，主要原因是公务用车购置经费支出减少，公务用车运行维护费支出减少。</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133.60万元，支出决算102.10万元，完成预算的76.4%,较预算减少31.50万元，降低23.6%,主要原因是节约公务用车运行维护费资金；较上年减少51.08万元，降低33.3%,主要原因是公务用车购置经费支出减少，公务用车运行维护费支出减少。其中：</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公务用车购置费支出17.56万元：</w:t>
      </w:r>
      <w:r>
        <w:rPr>
          <w:rFonts w:ascii="Times New Roman" w:eastAsia="仿宋_GB2312"/>
          <w:sz w:val="32"/>
          <w:szCs w:val="32"/>
        </w:rPr>
        <w:t>本单位2025年度公务用车购置量2辆，发生“公务用车购置”经费支出17.56万元。公务用车购置费支出较预算减少0.44万元，降低2.4%,主要原因是公务用车购置费支出减少；较上年减少19.96万元，降低53.2%,主要原因是公务用车购置费支出减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公务用车运行维护费支出84.54万元：</w:t>
      </w:r>
      <w:r>
        <w:rPr>
          <w:rFonts w:ascii="Times New Roman" w:eastAsia="仿宋_GB2312"/>
          <w:sz w:val="32"/>
          <w:szCs w:val="32"/>
        </w:rPr>
        <w:t>本单位2025年度单位公务用车保有量55辆，发生运行维护费支出84.54万元。公车运行维护费支出较预算减少31.06万元，降低26.9%,主要原因是节约公务用车运行维护费资金；较上年减少31.12万元，降低26.9%，主要原因是公务用车运行维护费支出减少。</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1.00万元，支出决算0.00万元，完成预算的0.0%。公务接待费支出较预算减少1.00万元，降低100.0%,主要原因是无公务接待费支出；较上年度增加0.00万元，增长0.00%,主要原因是无公务接待费支出。本年度共发生公务接待0批次、0人次。</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本单位2025年度机关运行经费支出0.00万元，较2024年度增加0.00万元，增长0.00%。主要原因是</w:t>
      </w:r>
      <w:r>
        <w:rPr>
          <w:rFonts w:hint="eastAsia" w:ascii="Times New Roman" w:eastAsia="仿宋_GB2312"/>
          <w:sz w:val="32"/>
          <w:szCs w:val="32"/>
        </w:rPr>
        <w:t>无机关运行经费</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279.81万元，从采购类型来看，政府采购货物支出51.06万元、政府采购工程支出0.00万元、政府采购服务支出228.75万元。授予中小企业合同金额269.24万元，占政府采购支出总额的96.2%，其中授予小微企业合同金额235.62万元，占政府采购支出总额的84.2%。</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55辆，比上年增加3辆，主要是新增购置公务用车2辆，新增划转公务用车3辆，核销公务用车2辆。其中，副部（省）级及以上领导用车0辆，主要负责人用车0辆，机要通信用车1辆，应急保障用车1辆，执法执勤用车0辆，特种专业技术用车0辆，离退休干部用车1辆，其他用车52辆，其他用车主要是业务用车。单位价值100万元（含）以上设备（不含车辆）0台（套）。</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5,938.27万元（决算金额）。其中，一般公共预算项目20个，涉及资金5,938.27万元，占一般公共预算项目支出总额的100%；政府性基金预算项目</w:t>
      </w:r>
      <w:r>
        <w:rPr>
          <w:rFonts w:hint="eastAsia" w:ascii="Times New Roman" w:eastAsia="仿宋_GB2312"/>
          <w:sz w:val="32"/>
          <w:szCs w:val="32"/>
        </w:rPr>
        <w:t>0</w:t>
      </w:r>
      <w:r>
        <w:rPr>
          <w:rFonts w:ascii="Times New Roman" w:eastAsia="仿宋_GB2312"/>
          <w:sz w:val="32"/>
          <w:szCs w:val="32"/>
        </w:rPr>
        <w:t>个，涉及资金</w:t>
      </w:r>
      <w:r>
        <w:rPr>
          <w:rFonts w:hint="eastAsia" w:ascii="Times New Roman" w:eastAsia="仿宋_GB2312"/>
          <w:sz w:val="32"/>
          <w:szCs w:val="32"/>
        </w:rPr>
        <w:t>0</w:t>
      </w:r>
      <w:r>
        <w:rPr>
          <w:rFonts w:ascii="Times New Roman" w:eastAsia="仿宋_GB2312"/>
          <w:sz w:val="32"/>
          <w:szCs w:val="32"/>
        </w:rPr>
        <w:t>万元，占政府性基金预算项目支出总额的</w:t>
      </w:r>
      <w:r>
        <w:rPr>
          <w:rFonts w:hint="eastAsia" w:ascii="Times New Roman" w:eastAsia="仿宋_GB2312"/>
          <w:sz w:val="32"/>
          <w:szCs w:val="32"/>
        </w:rPr>
        <w:t>0</w:t>
      </w:r>
      <w:r>
        <w:rPr>
          <w:rFonts w:ascii="Times New Roman" w:eastAsia="仿宋_GB2312"/>
          <w:sz w:val="32"/>
          <w:szCs w:val="32"/>
        </w:rPr>
        <w:t>%；国有资本经营预算项目</w:t>
      </w:r>
      <w:r>
        <w:rPr>
          <w:rFonts w:hint="eastAsia" w:ascii="Times New Roman" w:eastAsia="仿宋_GB2312"/>
          <w:sz w:val="32"/>
          <w:szCs w:val="32"/>
        </w:rPr>
        <w:t>0</w:t>
      </w:r>
      <w:r>
        <w:rPr>
          <w:rFonts w:ascii="Times New Roman" w:eastAsia="仿宋_GB2312"/>
          <w:sz w:val="32"/>
          <w:szCs w:val="32"/>
        </w:rPr>
        <w:t>个，涉及资金</w:t>
      </w:r>
      <w:r>
        <w:rPr>
          <w:rFonts w:hint="eastAsia" w:ascii="Times New Roman" w:eastAsia="仿宋_GB2312"/>
          <w:sz w:val="32"/>
          <w:szCs w:val="32"/>
        </w:rPr>
        <w:t>0</w:t>
      </w:r>
      <w:r>
        <w:rPr>
          <w:rFonts w:ascii="Times New Roman" w:eastAsia="仿宋_GB2312"/>
          <w:sz w:val="32"/>
          <w:szCs w:val="32"/>
        </w:rPr>
        <w:t>万元，占国有资本经营预算项目支出总额的</w:t>
      </w:r>
      <w:r>
        <w:rPr>
          <w:rFonts w:hint="eastAsia" w:ascii="Times New Roman" w:eastAsia="仿宋_GB2312"/>
          <w:sz w:val="32"/>
          <w:szCs w:val="32"/>
        </w:rPr>
        <w:t>0</w:t>
      </w:r>
      <w:r>
        <w:rPr>
          <w:rFonts w:ascii="Times New Roman" w:eastAsia="仿宋_GB2312"/>
          <w:sz w:val="32"/>
          <w:szCs w:val="32"/>
        </w:rPr>
        <w:t>%。</w:t>
      </w:r>
    </w:p>
    <w:p>
      <w:pPr>
        <w:widowControl/>
        <w:spacing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本单位无部门重点评价项目。</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w:t>
      </w:r>
      <w:r>
        <w:rPr>
          <w:rFonts w:hint="eastAsia" w:ascii="Times New Roman" w:eastAsia="仿宋_GB2312"/>
          <w:sz w:val="32"/>
          <w:szCs w:val="32"/>
        </w:rPr>
        <w:t>市法律顾问费</w:t>
      </w:r>
      <w:r>
        <w:rPr>
          <w:rFonts w:ascii="Times New Roman" w:eastAsia="仿宋_GB2312"/>
          <w:sz w:val="32"/>
          <w:szCs w:val="32"/>
        </w:rPr>
        <w:t>等</w:t>
      </w:r>
      <w:r>
        <w:rPr>
          <w:rFonts w:hint="eastAsia" w:ascii="Times New Roman" w:eastAsia="仿宋_GB2312"/>
          <w:sz w:val="32"/>
          <w:szCs w:val="32"/>
        </w:rPr>
        <w:t>1</w:t>
      </w:r>
      <w:r>
        <w:rPr>
          <w:rFonts w:ascii="Times New Roman" w:eastAsia="仿宋_GB2312"/>
          <w:sz w:val="32"/>
          <w:szCs w:val="32"/>
        </w:rPr>
        <w:t>0个项目绩效自评结果。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法律顾问费</w:t>
      </w:r>
      <w:r>
        <w:rPr>
          <w:rFonts w:ascii="Times New Roman" w:eastAsia="仿宋_GB2312"/>
          <w:sz w:val="32"/>
          <w:szCs w:val="32"/>
        </w:rPr>
        <w:t>项目绩效自评情况：根据年初设定的绩效目标，</w:t>
      </w:r>
      <w:r>
        <w:rPr>
          <w:rFonts w:hint="eastAsia" w:ascii="Times New Roman" w:eastAsia="仿宋_GB2312"/>
          <w:sz w:val="32"/>
          <w:szCs w:val="32"/>
        </w:rPr>
        <w:t>法律顾问费</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12</w:t>
      </w:r>
      <w:r>
        <w:rPr>
          <w:rFonts w:ascii="Times New Roman" w:eastAsia="仿宋_GB2312"/>
          <w:sz w:val="32"/>
          <w:szCs w:val="32"/>
        </w:rPr>
        <w:t>万元，执行数为</w:t>
      </w:r>
      <w:r>
        <w:rPr>
          <w:rFonts w:hint="eastAsia" w:ascii="Times New Roman" w:eastAsia="仿宋_GB2312"/>
          <w:sz w:val="32"/>
          <w:szCs w:val="32"/>
        </w:rPr>
        <w:t>12</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通过聘用法律顾问，解决在执法过程中出现的行政复议、行政诉讼、法律纠纷等问题，维护我单位行政执法权。</w:t>
      </w:r>
      <w:r>
        <w:rPr>
          <w:rFonts w:hint="eastAsia" w:ascii="仿宋" w:hAnsi="仿宋" w:eastAsia="仿宋" w:cs="仿宋"/>
          <w:sz w:val="32"/>
          <w:szCs w:val="32"/>
        </w:rPr>
        <w:t>未发现问题。</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专项邮电费</w:t>
      </w:r>
      <w:r>
        <w:rPr>
          <w:rFonts w:ascii="Times New Roman" w:eastAsia="仿宋_GB2312"/>
          <w:sz w:val="32"/>
          <w:szCs w:val="32"/>
        </w:rPr>
        <w:t>项目绩效自评情况：根据年初设定的绩效目标，</w:t>
      </w:r>
      <w:r>
        <w:rPr>
          <w:rFonts w:hint="eastAsia" w:ascii="Times New Roman" w:eastAsia="仿宋_GB2312"/>
          <w:sz w:val="32"/>
          <w:szCs w:val="32"/>
        </w:rPr>
        <w:t>专项邮电费</w:t>
      </w:r>
      <w:r>
        <w:rPr>
          <w:rFonts w:ascii="Times New Roman" w:eastAsia="仿宋_GB2312"/>
          <w:sz w:val="32"/>
          <w:szCs w:val="32"/>
        </w:rPr>
        <w:t>项目绩效自评得分为9</w:t>
      </w:r>
      <w:r>
        <w:rPr>
          <w:rFonts w:hint="eastAsia" w:ascii="Times New Roman" w:eastAsia="仿宋_GB2312"/>
          <w:sz w:val="32"/>
          <w:szCs w:val="32"/>
        </w:rPr>
        <w:t>9</w:t>
      </w:r>
      <w:r>
        <w:rPr>
          <w:rFonts w:ascii="Times New Roman" w:eastAsia="仿宋_GB2312"/>
          <w:sz w:val="32"/>
          <w:szCs w:val="32"/>
        </w:rPr>
        <w:t>.9分（绩效自评表附后）。全年预算数为1</w:t>
      </w:r>
      <w:r>
        <w:rPr>
          <w:rFonts w:hint="eastAsia" w:ascii="Times New Roman" w:eastAsia="仿宋_GB2312"/>
          <w:sz w:val="32"/>
          <w:szCs w:val="32"/>
        </w:rPr>
        <w:t>4.24</w:t>
      </w:r>
      <w:r>
        <w:rPr>
          <w:rFonts w:ascii="Times New Roman" w:eastAsia="仿宋_GB2312"/>
          <w:sz w:val="32"/>
          <w:szCs w:val="32"/>
        </w:rPr>
        <w:t>万元，执行数为</w:t>
      </w:r>
      <w:r>
        <w:rPr>
          <w:rFonts w:hint="eastAsia" w:ascii="Times New Roman" w:eastAsia="仿宋_GB2312"/>
          <w:sz w:val="32"/>
          <w:szCs w:val="32"/>
        </w:rPr>
        <w:t>14.1</w:t>
      </w:r>
      <w:r>
        <w:rPr>
          <w:rFonts w:ascii="Times New Roman" w:eastAsia="仿宋_GB2312"/>
          <w:sz w:val="32"/>
          <w:szCs w:val="32"/>
        </w:rPr>
        <w:t>万元，完成预算的</w:t>
      </w:r>
      <w:r>
        <w:rPr>
          <w:rFonts w:hint="eastAsia" w:ascii="Times New Roman" w:eastAsia="仿宋_GB2312"/>
          <w:sz w:val="32"/>
          <w:szCs w:val="32"/>
        </w:rPr>
        <w:t>99.02</w:t>
      </w:r>
      <w:r>
        <w:rPr>
          <w:rFonts w:ascii="Times New Roman" w:eastAsia="仿宋_GB2312"/>
          <w:sz w:val="32"/>
          <w:szCs w:val="32"/>
        </w:rPr>
        <w:t>%。项目绩效目标完成情况：</w:t>
      </w:r>
      <w:r>
        <w:rPr>
          <w:rFonts w:hint="eastAsia" w:ascii="Times New Roman" w:eastAsia="仿宋_GB2312"/>
          <w:sz w:val="32"/>
          <w:szCs w:val="32"/>
        </w:rPr>
        <w:t>通过对执法装备系统升级及维护，保障设备移动信号流畅，移动带宽稳定，提高执法效率和服务质量。</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石家庄市互联网租赁自行车监管服务工作</w:t>
      </w:r>
      <w:r>
        <w:rPr>
          <w:rFonts w:ascii="Times New Roman" w:eastAsia="仿宋_GB2312"/>
          <w:sz w:val="32"/>
          <w:szCs w:val="32"/>
        </w:rPr>
        <w:t>项目绩效自评情况：根据年初设定的绩效目标，</w:t>
      </w:r>
      <w:r>
        <w:rPr>
          <w:rFonts w:hint="eastAsia" w:ascii="Times New Roman" w:eastAsia="仿宋_GB2312"/>
          <w:sz w:val="32"/>
          <w:szCs w:val="32"/>
        </w:rPr>
        <w:t>石家庄市互联网租赁自行车监管服务工作</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40</w:t>
      </w:r>
      <w:r>
        <w:rPr>
          <w:rFonts w:ascii="Times New Roman" w:eastAsia="仿宋_GB2312"/>
          <w:sz w:val="32"/>
          <w:szCs w:val="32"/>
        </w:rPr>
        <w:t>万元，执行数为</w:t>
      </w:r>
      <w:r>
        <w:rPr>
          <w:rFonts w:hint="eastAsia" w:ascii="Times New Roman" w:eastAsia="仿宋_GB2312"/>
          <w:sz w:val="32"/>
          <w:szCs w:val="32"/>
        </w:rPr>
        <w:t>40</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通过清理违投车辆等监管服务工作，鼓励共享单车行业有序发展，增强企业管理意识和责任意识，提升运营标准和路面秩序，改善城市形象。</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工作场地租用费（违法车辆保管费）</w:t>
      </w:r>
      <w:r>
        <w:rPr>
          <w:rFonts w:ascii="Times New Roman" w:eastAsia="仿宋_GB2312"/>
          <w:sz w:val="32"/>
          <w:szCs w:val="32"/>
        </w:rPr>
        <w:t>项目绩效自评情况：根据年初设定的绩效目标，</w:t>
      </w:r>
      <w:r>
        <w:rPr>
          <w:rFonts w:hint="eastAsia" w:ascii="Times New Roman" w:eastAsia="仿宋_GB2312"/>
          <w:sz w:val="32"/>
          <w:szCs w:val="32"/>
        </w:rPr>
        <w:t>工作场地租用费（违法车辆保管费）</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39</w:t>
      </w:r>
      <w:r>
        <w:rPr>
          <w:rFonts w:ascii="Times New Roman" w:eastAsia="仿宋_GB2312"/>
          <w:sz w:val="32"/>
          <w:szCs w:val="32"/>
        </w:rPr>
        <w:t>万元，执行数为</w:t>
      </w:r>
      <w:r>
        <w:rPr>
          <w:rFonts w:hint="eastAsia" w:ascii="Times New Roman" w:eastAsia="仿宋_GB2312"/>
          <w:sz w:val="32"/>
          <w:szCs w:val="32"/>
        </w:rPr>
        <w:t>39</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通过租赁停车场，按照法规依法处置违法车辆，保障执法工作正常开展，实现违法车辆妥善保管，提升公共服务水平。</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市交通运输综合行政执法支队劳务费用</w:t>
      </w:r>
      <w:r>
        <w:rPr>
          <w:rFonts w:ascii="Times New Roman" w:eastAsia="仿宋_GB2312"/>
          <w:sz w:val="32"/>
          <w:szCs w:val="32"/>
        </w:rPr>
        <w:t>项目绩效自评情况：根据年初设定的绩效目标，</w:t>
      </w:r>
      <w:r>
        <w:rPr>
          <w:rFonts w:hint="eastAsia" w:ascii="Times New Roman" w:eastAsia="仿宋_GB2312"/>
          <w:sz w:val="32"/>
          <w:szCs w:val="32"/>
        </w:rPr>
        <w:t>市交通运输综合行政执法支队劳务费用</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727.81</w:t>
      </w:r>
      <w:r>
        <w:rPr>
          <w:rFonts w:ascii="Times New Roman" w:eastAsia="仿宋_GB2312"/>
          <w:sz w:val="32"/>
          <w:szCs w:val="32"/>
        </w:rPr>
        <w:t>万元，执行数为</w:t>
      </w:r>
      <w:r>
        <w:rPr>
          <w:rFonts w:hint="eastAsia" w:ascii="Times New Roman" w:eastAsia="仿宋_GB2312"/>
          <w:sz w:val="32"/>
          <w:szCs w:val="32"/>
        </w:rPr>
        <w:t>727.81</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通过支付“三站一场”及国省干线道路巡查劳务派遣执勤人员工资及保险费用，确保该人员安心工作。</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公务用车购置经费</w:t>
      </w:r>
      <w:r>
        <w:rPr>
          <w:rFonts w:ascii="Times New Roman" w:eastAsia="仿宋_GB2312"/>
          <w:sz w:val="32"/>
          <w:szCs w:val="32"/>
        </w:rPr>
        <w:t>项目绩效自评情况：根据年初设定的绩效目标，</w:t>
      </w:r>
      <w:r>
        <w:rPr>
          <w:rFonts w:hint="eastAsia" w:ascii="Times New Roman" w:eastAsia="仿宋_GB2312"/>
          <w:sz w:val="32"/>
          <w:szCs w:val="32"/>
        </w:rPr>
        <w:t>公务用车购置经费</w:t>
      </w:r>
      <w:r>
        <w:rPr>
          <w:rFonts w:ascii="Times New Roman" w:eastAsia="仿宋_GB2312"/>
          <w:sz w:val="32"/>
          <w:szCs w:val="32"/>
        </w:rPr>
        <w:t>项目绩效自评得分为</w:t>
      </w:r>
      <w:r>
        <w:rPr>
          <w:rFonts w:hint="eastAsia" w:ascii="Times New Roman" w:eastAsia="仿宋_GB2312"/>
          <w:sz w:val="32"/>
          <w:szCs w:val="32"/>
        </w:rPr>
        <w:t>99.8</w:t>
      </w:r>
      <w:r>
        <w:rPr>
          <w:rFonts w:ascii="Times New Roman" w:eastAsia="仿宋_GB2312"/>
          <w:sz w:val="32"/>
          <w:szCs w:val="32"/>
        </w:rPr>
        <w:t>分（绩效自评表附后）。全年预算数为</w:t>
      </w:r>
      <w:r>
        <w:rPr>
          <w:rFonts w:hint="eastAsia" w:ascii="Times New Roman" w:eastAsia="仿宋_GB2312"/>
          <w:sz w:val="32"/>
          <w:szCs w:val="32"/>
        </w:rPr>
        <w:t>18</w:t>
      </w:r>
      <w:r>
        <w:rPr>
          <w:rFonts w:ascii="Times New Roman" w:eastAsia="仿宋_GB2312"/>
          <w:sz w:val="32"/>
          <w:szCs w:val="32"/>
        </w:rPr>
        <w:t>万元，执行数为</w:t>
      </w:r>
      <w:r>
        <w:rPr>
          <w:rFonts w:hint="eastAsia" w:ascii="Times New Roman" w:eastAsia="仿宋_GB2312"/>
          <w:sz w:val="32"/>
          <w:szCs w:val="32"/>
        </w:rPr>
        <w:t>17.56</w:t>
      </w:r>
      <w:r>
        <w:rPr>
          <w:rFonts w:ascii="Times New Roman" w:eastAsia="仿宋_GB2312"/>
          <w:sz w:val="32"/>
          <w:szCs w:val="32"/>
        </w:rPr>
        <w:t>万元，完成预算的</w:t>
      </w:r>
      <w:r>
        <w:rPr>
          <w:rFonts w:hint="eastAsia" w:ascii="Times New Roman" w:eastAsia="仿宋_GB2312"/>
          <w:sz w:val="32"/>
          <w:szCs w:val="32"/>
        </w:rPr>
        <w:t>97.56</w:t>
      </w:r>
      <w:r>
        <w:rPr>
          <w:rFonts w:ascii="Times New Roman" w:eastAsia="仿宋_GB2312"/>
          <w:sz w:val="32"/>
          <w:szCs w:val="32"/>
        </w:rPr>
        <w:t>%。项目绩效目标完成情况：</w:t>
      </w:r>
      <w:r>
        <w:rPr>
          <w:rFonts w:hint="eastAsia" w:ascii="Times New Roman" w:eastAsia="仿宋_GB2312"/>
          <w:sz w:val="32"/>
          <w:szCs w:val="32"/>
        </w:rPr>
        <w:t xml:space="preserve">通过购置更新公务用车，保障单位执法工作顺利开展，完成上级赋予的任务。 </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党组织活动经费</w:t>
      </w:r>
      <w:r>
        <w:rPr>
          <w:rFonts w:ascii="Times New Roman" w:eastAsia="仿宋_GB2312"/>
          <w:sz w:val="32"/>
          <w:szCs w:val="32"/>
        </w:rPr>
        <w:t>项目绩效自评情况：根据年初设定的绩效目标，</w:t>
      </w:r>
      <w:r>
        <w:rPr>
          <w:rFonts w:hint="eastAsia" w:ascii="Times New Roman" w:eastAsia="仿宋_GB2312"/>
          <w:sz w:val="32"/>
          <w:szCs w:val="32"/>
        </w:rPr>
        <w:t>党组织活动经费</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8.01</w:t>
      </w:r>
      <w:r>
        <w:rPr>
          <w:rFonts w:ascii="Times New Roman" w:eastAsia="仿宋_GB2312"/>
          <w:sz w:val="32"/>
          <w:szCs w:val="32"/>
        </w:rPr>
        <w:t>万元，执行数为</w:t>
      </w:r>
      <w:r>
        <w:rPr>
          <w:rFonts w:hint="eastAsia" w:ascii="Times New Roman" w:eastAsia="仿宋_GB2312"/>
          <w:sz w:val="32"/>
          <w:szCs w:val="32"/>
        </w:rPr>
        <w:t>8.00988</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通过开展支队党务工作，达到增强党员政治思想素质的效果，促进基层党支部建设， 实现党务与业务全面结合，提升支队全面建设水平。</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石家庄市直属三环路铜冶站治超资金</w:t>
      </w:r>
      <w:r>
        <w:rPr>
          <w:rFonts w:ascii="Times New Roman" w:eastAsia="仿宋_GB2312"/>
          <w:sz w:val="32"/>
          <w:szCs w:val="32"/>
        </w:rPr>
        <w:t>项目绩效自评情况：根据年初设定的绩效目标，</w:t>
      </w:r>
      <w:r>
        <w:rPr>
          <w:rFonts w:hint="eastAsia" w:ascii="Times New Roman" w:eastAsia="仿宋_GB2312"/>
          <w:sz w:val="32"/>
          <w:szCs w:val="32"/>
        </w:rPr>
        <w:t>石家庄市直属三环路铜冶站治超资金</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40</w:t>
      </w:r>
      <w:r>
        <w:rPr>
          <w:rFonts w:ascii="Times New Roman" w:eastAsia="仿宋_GB2312"/>
          <w:sz w:val="32"/>
          <w:szCs w:val="32"/>
        </w:rPr>
        <w:t>万元，执行数为</w:t>
      </w:r>
      <w:r>
        <w:rPr>
          <w:rFonts w:hint="eastAsia" w:ascii="Times New Roman" w:eastAsia="仿宋_GB2312"/>
          <w:sz w:val="32"/>
          <w:szCs w:val="32"/>
        </w:rPr>
        <w:t>40</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保障治超站人员治超办公，保障治超工作顺利开展。</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文件资料印刷（包车客运标志牌制作）</w:t>
      </w:r>
      <w:r>
        <w:rPr>
          <w:rFonts w:ascii="Times New Roman" w:eastAsia="仿宋_GB2312"/>
          <w:sz w:val="32"/>
          <w:szCs w:val="32"/>
        </w:rPr>
        <w:t>项目绩效自评情况：根据年初设定的绩效目标，</w:t>
      </w:r>
      <w:r>
        <w:rPr>
          <w:rFonts w:hint="eastAsia" w:ascii="Times New Roman" w:eastAsia="仿宋_GB2312"/>
          <w:sz w:val="32"/>
          <w:szCs w:val="32"/>
        </w:rPr>
        <w:t>文件资料印刷（包车客运标志牌制作）</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18</w:t>
      </w:r>
      <w:r>
        <w:rPr>
          <w:rFonts w:ascii="Times New Roman" w:eastAsia="仿宋_GB2312"/>
          <w:sz w:val="32"/>
          <w:szCs w:val="32"/>
        </w:rPr>
        <w:t>万元，执行数为</w:t>
      </w:r>
      <w:r>
        <w:rPr>
          <w:rFonts w:hint="eastAsia" w:ascii="Times New Roman" w:eastAsia="仿宋_GB2312"/>
          <w:sz w:val="32"/>
          <w:szCs w:val="32"/>
        </w:rPr>
        <w:t>18</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通过为全市包车客运发放包车客运标志牌，发放后将牌子的号段录入包车客运网上执法平台,监督包车客运线路牌使用情况。</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r>
        <w:rPr>
          <w:rFonts w:hint="eastAsia" w:ascii="Times New Roman" w:eastAsia="仿宋_GB2312"/>
          <w:sz w:val="32"/>
          <w:szCs w:val="32"/>
        </w:rPr>
        <w:t>文件资料印刷费（法律文书印刷）</w:t>
      </w:r>
      <w:r>
        <w:rPr>
          <w:rFonts w:ascii="Times New Roman" w:eastAsia="仿宋_GB2312"/>
          <w:sz w:val="32"/>
          <w:szCs w:val="32"/>
        </w:rPr>
        <w:t>项目绩效自评情况：根据年初设定的绩效目标，</w:t>
      </w:r>
      <w:r>
        <w:rPr>
          <w:rFonts w:hint="eastAsia" w:ascii="Times New Roman" w:eastAsia="仿宋_GB2312"/>
          <w:sz w:val="32"/>
          <w:szCs w:val="32"/>
        </w:rPr>
        <w:t>文件资料印刷费（法律文书印刷）</w:t>
      </w:r>
      <w:r>
        <w:rPr>
          <w:rFonts w:ascii="Times New Roman" w:eastAsia="仿宋_GB2312"/>
          <w:sz w:val="32"/>
          <w:szCs w:val="32"/>
        </w:rPr>
        <w:t>项目绩效自评得分为</w:t>
      </w:r>
      <w:r>
        <w:rPr>
          <w:rFonts w:hint="eastAsia" w:ascii="Times New Roman" w:eastAsia="仿宋_GB2312"/>
          <w:sz w:val="32"/>
          <w:szCs w:val="32"/>
        </w:rPr>
        <w:t>100</w:t>
      </w:r>
      <w:r>
        <w:rPr>
          <w:rFonts w:ascii="Times New Roman" w:eastAsia="仿宋_GB2312"/>
          <w:sz w:val="32"/>
          <w:szCs w:val="32"/>
        </w:rPr>
        <w:t>分（绩效自评表附后）。全年预算数为</w:t>
      </w:r>
      <w:r>
        <w:rPr>
          <w:rFonts w:hint="eastAsia" w:ascii="Times New Roman" w:eastAsia="仿宋_GB2312"/>
          <w:sz w:val="32"/>
          <w:szCs w:val="32"/>
        </w:rPr>
        <w:t>12</w:t>
      </w:r>
      <w:r>
        <w:rPr>
          <w:rFonts w:ascii="Times New Roman" w:eastAsia="仿宋_GB2312"/>
          <w:sz w:val="32"/>
          <w:szCs w:val="32"/>
        </w:rPr>
        <w:t>万元，执行数为</w:t>
      </w:r>
      <w:r>
        <w:rPr>
          <w:rFonts w:hint="eastAsia" w:ascii="Times New Roman" w:eastAsia="仿宋_GB2312"/>
          <w:sz w:val="32"/>
          <w:szCs w:val="32"/>
        </w:rPr>
        <w:t>12</w:t>
      </w:r>
      <w:r>
        <w:rPr>
          <w:rFonts w:ascii="Times New Roman" w:eastAsia="仿宋_GB2312"/>
          <w:sz w:val="32"/>
          <w:szCs w:val="32"/>
        </w:rPr>
        <w:t>万元，完成预算的</w:t>
      </w:r>
      <w:r>
        <w:rPr>
          <w:rFonts w:hint="eastAsia" w:ascii="Times New Roman" w:eastAsia="仿宋_GB2312"/>
          <w:sz w:val="32"/>
          <w:szCs w:val="32"/>
        </w:rPr>
        <w:t>100</w:t>
      </w:r>
      <w:r>
        <w:rPr>
          <w:rFonts w:ascii="Times New Roman" w:eastAsia="仿宋_GB2312"/>
          <w:sz w:val="32"/>
          <w:szCs w:val="32"/>
        </w:rPr>
        <w:t>%。项目绩效目标完成情况：</w:t>
      </w:r>
      <w:r>
        <w:rPr>
          <w:rFonts w:hint="eastAsia" w:ascii="Times New Roman" w:eastAsia="仿宋_GB2312"/>
          <w:sz w:val="32"/>
          <w:szCs w:val="32"/>
        </w:rPr>
        <w:t>通过法律文书印刷，确保执法办案文书等材料完善、规范，提高执法形象，实现严格执法，依法行政；提高执法文书案卷评查标准。</w:t>
      </w:r>
      <w:r>
        <w:rPr>
          <w:rFonts w:hint="eastAsia" w:ascii="仿宋" w:hAnsi="仿宋" w:eastAsia="仿宋" w:cs="仿宋"/>
          <w:sz w:val="32"/>
          <w:szCs w:val="32"/>
        </w:rPr>
        <w:t>未发现问题。</w:t>
      </w:r>
    </w:p>
    <w:p>
      <w:pPr>
        <w:widowControl/>
        <w:spacing w:line="360" w:lineRule="auto"/>
        <w:ind w:firstLine="640" w:firstLineChars="200"/>
        <w:jc w:val="left"/>
        <w:rPr>
          <w:rFonts w:ascii="仿宋" w:hAnsi="仿宋" w:eastAsia="仿宋" w:cs="仿宋"/>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480" w:firstLineChars="200"/>
        <w:jc w:val="left"/>
        <w:rPr>
          <w:rFonts w:ascii="Times New Roman" w:eastAsia="仿宋_GB2312"/>
          <w:sz w:val="32"/>
          <w:szCs w:val="32"/>
        </w:rPr>
      </w:pPr>
      <w:r>
        <w:drawing>
          <wp:inline distT="0" distB="0" distL="114300" distR="114300">
            <wp:extent cx="5272405" cy="7091680"/>
            <wp:effectExtent l="0" t="0" r="4445" b="1397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9"/>
                    <a:stretch>
                      <a:fillRect/>
                    </a:stretch>
                  </pic:blipFill>
                  <pic:spPr>
                    <a:xfrm>
                      <a:off x="0" y="0"/>
                      <a:ext cx="5272405" cy="7091680"/>
                    </a:xfrm>
                    <a:prstGeom prst="rect">
                      <a:avLst/>
                    </a:prstGeom>
                    <a:noFill/>
                    <a:ln>
                      <a:noFill/>
                    </a:ln>
                  </pic:spPr>
                </pic:pic>
              </a:graphicData>
            </a:graphic>
          </wp:inline>
        </w:drawing>
      </w: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drawing>
          <wp:inline distT="0" distB="0" distL="114300" distR="114300">
            <wp:extent cx="5159375" cy="7047865"/>
            <wp:effectExtent l="0" t="0" r="6985" b="8255"/>
            <wp:docPr id="2" name="图片 2" descr="59194e1c-c4d7-4cd1-b8b0-0a6bc43281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9194e1c-c4d7-4cd1-b8b0-0a6bc43281a4"/>
                    <pic:cNvPicPr>
                      <a:picLocks noChangeAspect="1"/>
                    </pic:cNvPicPr>
                  </pic:nvPicPr>
                  <pic:blipFill>
                    <a:blip r:embed="rId20"/>
                    <a:stretch>
                      <a:fillRect/>
                    </a:stretch>
                  </pic:blipFill>
                  <pic:spPr>
                    <a:xfrm>
                      <a:off x="0" y="0"/>
                      <a:ext cx="5159375" cy="7047865"/>
                    </a:xfrm>
                    <a:prstGeom prst="rect">
                      <a:avLst/>
                    </a:prstGeom>
                  </pic:spPr>
                </pic:pic>
              </a:graphicData>
            </a:graphic>
          </wp:inline>
        </w:drawing>
      </w:r>
    </w:p>
    <w:p>
      <w:pPr>
        <w:widowControl/>
        <w:spacing w:line="360" w:lineRule="auto"/>
        <w:ind w:firstLine="640" w:firstLineChars="200"/>
        <w:jc w:val="left"/>
        <w:rPr>
          <w:rFonts w:ascii="Times New Roman" w:eastAsia="仿宋_GB2312"/>
          <w:sz w:val="32"/>
          <w:szCs w:val="32"/>
        </w:rPr>
      </w:pPr>
    </w:p>
    <w:p>
      <w:pPr>
        <w:widowControl/>
        <w:spacing w:line="360" w:lineRule="auto"/>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105400" cy="739140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1"/>
                    <a:stretch>
                      <a:fillRect/>
                    </a:stretch>
                  </pic:blipFill>
                  <pic:spPr>
                    <a:xfrm>
                      <a:off x="0" y="0"/>
                      <a:ext cx="5105400" cy="7391400"/>
                    </a:xfrm>
                    <a:prstGeom prst="rect">
                      <a:avLst/>
                    </a:prstGeom>
                    <a:noFill/>
                    <a:ln>
                      <a:noFill/>
                    </a:ln>
                  </pic:spPr>
                </pic:pic>
              </a:graphicData>
            </a:graphic>
          </wp:inline>
        </w:drawing>
      </w:r>
    </w:p>
    <w:p>
      <w:pPr>
        <w:widowControl/>
        <w:spacing w:line="360" w:lineRule="auto"/>
        <w:jc w:val="left"/>
      </w:pPr>
    </w:p>
    <w:p>
      <w:pPr>
        <w:widowControl/>
        <w:spacing w:line="360" w:lineRule="auto"/>
        <w:ind w:firstLine="480" w:firstLineChars="200"/>
        <w:jc w:val="left"/>
      </w:pPr>
      <w:r>
        <w:drawing>
          <wp:inline distT="0" distB="0" distL="114300" distR="114300">
            <wp:extent cx="5053965" cy="7391400"/>
            <wp:effectExtent l="0" t="0" r="5715"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2"/>
                    <a:stretch>
                      <a:fillRect/>
                    </a:stretch>
                  </pic:blipFill>
                  <pic:spPr>
                    <a:xfrm>
                      <a:off x="0" y="0"/>
                      <a:ext cx="5053965" cy="7391400"/>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339715" cy="7322185"/>
            <wp:effectExtent l="0" t="0" r="9525" b="825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3"/>
                    <a:stretch>
                      <a:fillRect/>
                    </a:stretch>
                  </pic:blipFill>
                  <pic:spPr>
                    <a:xfrm>
                      <a:off x="0" y="0"/>
                      <a:ext cx="5339715" cy="7322185"/>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643" w:firstLineChars="200"/>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205730" cy="7214235"/>
            <wp:effectExtent l="0" t="0" r="6350" b="952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4"/>
                    <a:stretch>
                      <a:fillRect/>
                    </a:stretch>
                  </pic:blipFill>
                  <pic:spPr>
                    <a:xfrm>
                      <a:off x="0" y="0"/>
                      <a:ext cx="5205730" cy="7214235"/>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172075" cy="7750175"/>
            <wp:effectExtent l="0" t="0" r="9525" b="6985"/>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25"/>
                    <a:stretch>
                      <a:fillRect/>
                    </a:stretch>
                  </pic:blipFill>
                  <pic:spPr>
                    <a:xfrm>
                      <a:off x="0" y="0"/>
                      <a:ext cx="5172075" cy="7750175"/>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149215" cy="7236460"/>
            <wp:effectExtent l="0" t="0" r="1905" b="254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6"/>
                    <a:stretch>
                      <a:fillRect/>
                    </a:stretch>
                  </pic:blipFill>
                  <pic:spPr>
                    <a:xfrm>
                      <a:off x="0" y="0"/>
                      <a:ext cx="5149215" cy="7236460"/>
                    </a:xfrm>
                    <a:prstGeom prst="rect">
                      <a:avLst/>
                    </a:prstGeom>
                    <a:noFill/>
                    <a:ln>
                      <a:noFill/>
                    </a:ln>
                  </pic:spPr>
                </pic:pic>
              </a:graphicData>
            </a:graphic>
          </wp:inline>
        </w:drawing>
      </w:r>
    </w:p>
    <w:p>
      <w:pPr>
        <w:widowControl/>
        <w:spacing w:line="360" w:lineRule="auto"/>
        <w:ind w:firstLine="480" w:firstLineChars="200"/>
        <w:jc w:val="left"/>
        <w:rPr>
          <w:rFonts w:ascii="Times New Roman" w:eastAsia="仿宋_GB2312"/>
          <w:b/>
          <w:sz w:val="32"/>
          <w:szCs w:val="32"/>
        </w:rPr>
      </w:pPr>
      <w:r>
        <w:drawing>
          <wp:inline distT="0" distB="0" distL="114300" distR="114300">
            <wp:extent cx="5299710" cy="7534910"/>
            <wp:effectExtent l="0" t="0" r="3810" b="889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7"/>
                    <a:stretch>
                      <a:fillRect/>
                    </a:stretch>
                  </pic:blipFill>
                  <pic:spPr>
                    <a:xfrm>
                      <a:off x="0" y="0"/>
                      <a:ext cx="5299710" cy="7534910"/>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480" w:firstLineChars="200"/>
        <w:jc w:val="left"/>
        <w:rPr>
          <w:rFonts w:ascii="Times New Roman" w:eastAsia="仿宋_GB2312"/>
          <w:b/>
          <w:sz w:val="32"/>
          <w:szCs w:val="32"/>
        </w:rPr>
      </w:pPr>
      <w:r>
        <w:drawing>
          <wp:inline distT="0" distB="0" distL="114300" distR="114300">
            <wp:extent cx="5374640" cy="7303135"/>
            <wp:effectExtent l="0" t="0" r="5080" b="1206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8"/>
                    <a:stretch>
                      <a:fillRect/>
                    </a:stretch>
                  </pic:blipFill>
                  <pic:spPr>
                    <a:xfrm>
                      <a:off x="0" y="0"/>
                      <a:ext cx="5374640" cy="7303135"/>
                    </a:xfrm>
                    <a:prstGeom prst="rect">
                      <a:avLst/>
                    </a:prstGeom>
                    <a:noFill/>
                    <a:ln>
                      <a:noFill/>
                    </a:ln>
                  </pic:spPr>
                </pic:pic>
              </a:graphicData>
            </a:graphic>
          </wp:inline>
        </w:drawing>
      </w:r>
    </w:p>
    <w:p>
      <w:pPr>
        <w:widowControl/>
        <w:spacing w:line="360" w:lineRule="auto"/>
        <w:ind w:firstLine="643" w:firstLineChars="200"/>
        <w:jc w:val="left"/>
        <w:rPr>
          <w:rFonts w:ascii="Times New Roman" w:eastAsia="仿宋_GB2312"/>
          <w:b/>
          <w:sz w:val="32"/>
          <w:szCs w:val="32"/>
        </w:rPr>
      </w:pP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pPr>
        <w:widowControl/>
        <w:spacing w:line="360" w:lineRule="auto"/>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lang w:eastAsia="zh-CN"/>
        </w:rPr>
        <w:t>本单位无部门重点评价项目。</w:t>
      </w:r>
    </w:p>
    <w:p>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1E2AFCE-BDB1-412F-B79F-C97C71671239}"/>
  </w:font>
  <w:font w:name="黑体">
    <w:panose1 w:val="02010609060101010101"/>
    <w:charset w:val="86"/>
    <w:family w:val="auto"/>
    <w:pitch w:val="default"/>
    <w:sig w:usb0="800002BF" w:usb1="38CF7CFA" w:usb2="00000016" w:usb3="00000000" w:csb0="00040001" w:csb1="00000000"/>
    <w:embedRegular r:id="rId2" w:fontKey="{BCD98627-92C5-4705-844B-1C79298AB7A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0D20C46-47A5-43BE-988B-776509033791}"/>
  </w:font>
  <w:font w:name="仿宋">
    <w:panose1 w:val="02010609060101010101"/>
    <w:charset w:val="86"/>
    <w:family w:val="modern"/>
    <w:pitch w:val="default"/>
    <w:sig w:usb0="800002BF" w:usb1="38CF7CFA" w:usb2="00000016" w:usb3="00000000" w:csb0="00040001" w:csb1="00000000"/>
    <w:embedRegular r:id="rId4" w:fontKey="{12594C68-8403-4AC3-B641-AC187E6ECF09}"/>
  </w:font>
  <w:font w:name="Calibri Light">
    <w:panose1 w:val="020F0302020204030204"/>
    <w:charset w:val="00"/>
    <w:family w:val="swiss"/>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0000000000000000000"/>
    <w:charset w:val="86"/>
    <w:family w:val="auto"/>
    <w:pitch w:val="default"/>
    <w:sig w:usb0="00000000" w:usb1="00000000" w:usb2="00000012" w:usb3="00000000" w:csb0="00040001" w:csb1="00000000"/>
    <w:embedRegular r:id="rId5" w:fontKey="{53DE1C73-F02F-40CC-A58A-3129831B8908}"/>
  </w:font>
  <w:font w:name="楷体_GB2312">
    <w:panose1 w:val="02010609030101010101"/>
    <w:charset w:val="86"/>
    <w:family w:val="modern"/>
    <w:pitch w:val="default"/>
    <w:sig w:usb0="00000001" w:usb1="080E0000" w:usb2="00000000" w:usb3="00000000" w:csb0="00040000" w:csb1="00000000"/>
    <w:embedRegular r:id="rId6" w:fontKey="{0F30A8CD-DFBD-40E8-8827-6574C7BBD6E4}"/>
  </w:font>
  <w:font w:name="微软雅黑">
    <w:panose1 w:val="020B0503020204020204"/>
    <w:charset w:val="86"/>
    <w:family w:val="swiss"/>
    <w:pitch w:val="default"/>
    <w:sig w:usb0="80000287" w:usb1="280F3C52" w:usb2="00000016" w:usb3="00000000" w:csb0="0004001F" w:csb1="00000000"/>
    <w:embedRegular r:id="rId7" w:fontKey="{F32365E5-43E9-4088-B7A0-BB0DCC0DE09B}"/>
  </w:font>
  <w:font w:name="方正小标宋_GBK">
    <w:panose1 w:val="02000000000000000000"/>
    <w:charset w:val="86"/>
    <w:family w:val="script"/>
    <w:pitch w:val="default"/>
    <w:sig w:usb0="A00002BF" w:usb1="38CF7CFA" w:usb2="00082016" w:usb3="00000000" w:csb0="00040001" w:csb1="00000000"/>
    <w:embedRegular r:id="rId8" w:fontKey="{F5252E09-2F2D-4EF6-89F2-4D9F7A97F448}"/>
  </w:font>
  <w:font w:name="仿宋_GB2312">
    <w:panose1 w:val="02010609030101010101"/>
    <w:charset w:val="86"/>
    <w:family w:val="modern"/>
    <w:pitch w:val="default"/>
    <w:sig w:usb0="00000001" w:usb1="080E0000" w:usb2="00000000" w:usb3="00000000" w:csb0="00040000" w:csb1="00000000"/>
    <w:embedRegular r:id="rId9" w:fontKey="{5FE849DA-FCAE-40BD-80CA-A5833A8D5C7F}"/>
  </w:font>
  <w:font w:name="ArialUnicodeMS">
    <w:altName w:val="Malgun Gothic"/>
    <w:panose1 w:val="00000000000000000000"/>
    <w:charset w:val="81"/>
    <w:family w:val="auto"/>
    <w:pitch w:val="default"/>
    <w:sig w:usb0="00000000" w:usb1="00000000" w:usb2="00000010" w:usb3="00000000" w:csb0="00080001" w:csb1="00000000"/>
    <w:embedRegular r:id="rId10" w:fontKey="{917B2554-DB8E-4E83-AF52-942E72DC9456}"/>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24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822154"/>
    <w:rsid w:val="00A221C5"/>
    <w:rsid w:val="00BE303D"/>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1105"/>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2F5309"/>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1A3A77"/>
    <w:rsid w:val="125F5A1B"/>
    <w:rsid w:val="1260539D"/>
    <w:rsid w:val="126979D6"/>
    <w:rsid w:val="129E45A7"/>
    <w:rsid w:val="13074404"/>
    <w:rsid w:val="136A5C00"/>
    <w:rsid w:val="13B97B08"/>
    <w:rsid w:val="13BE449B"/>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891DEF"/>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87BE6"/>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01016"/>
    <w:rsid w:val="1F9B7FFD"/>
    <w:rsid w:val="1F9C7614"/>
    <w:rsid w:val="1FBE1971"/>
    <w:rsid w:val="2008768D"/>
    <w:rsid w:val="204B327F"/>
    <w:rsid w:val="204C2B10"/>
    <w:rsid w:val="207D30AD"/>
    <w:rsid w:val="208B3FBF"/>
    <w:rsid w:val="209064B9"/>
    <w:rsid w:val="20970D81"/>
    <w:rsid w:val="20D165D5"/>
    <w:rsid w:val="210878E6"/>
    <w:rsid w:val="210E1408"/>
    <w:rsid w:val="211069AD"/>
    <w:rsid w:val="21573FAB"/>
    <w:rsid w:val="215B4E8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D3023A"/>
    <w:rsid w:val="2E0350FD"/>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8366D0"/>
    <w:rsid w:val="368E5CDC"/>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854A54"/>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9F061F"/>
    <w:rsid w:val="3DBB5979"/>
    <w:rsid w:val="3DD56F21"/>
    <w:rsid w:val="3DEF6699"/>
    <w:rsid w:val="3E1057AF"/>
    <w:rsid w:val="3E6C0DFA"/>
    <w:rsid w:val="3E740322"/>
    <w:rsid w:val="3E7F4380"/>
    <w:rsid w:val="3E8D171B"/>
    <w:rsid w:val="3EA5630D"/>
    <w:rsid w:val="3EBA731B"/>
    <w:rsid w:val="3EE33949"/>
    <w:rsid w:val="3EFB5800"/>
    <w:rsid w:val="3F3B4E59"/>
    <w:rsid w:val="3F6A3B6D"/>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3F350F"/>
    <w:rsid w:val="417044B8"/>
    <w:rsid w:val="41A203A0"/>
    <w:rsid w:val="41A25D3E"/>
    <w:rsid w:val="41C77987"/>
    <w:rsid w:val="41E67106"/>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C46FE"/>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20108"/>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7C7C86"/>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B0924"/>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2D3933"/>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414F02"/>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6E219F6"/>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0CC9"/>
    <w:rsid w:val="68C4160B"/>
    <w:rsid w:val="68C41C30"/>
    <w:rsid w:val="68CF3BA4"/>
    <w:rsid w:val="69257FA7"/>
    <w:rsid w:val="693F26C7"/>
    <w:rsid w:val="697E12B2"/>
    <w:rsid w:val="69B80725"/>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5277A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781D00"/>
    <w:rsid w:val="768216BE"/>
    <w:rsid w:val="76C23B43"/>
    <w:rsid w:val="76FD6F97"/>
    <w:rsid w:val="770218E8"/>
    <w:rsid w:val="779469CE"/>
    <w:rsid w:val="77C875A5"/>
    <w:rsid w:val="77D777E8"/>
    <w:rsid w:val="78462EC3"/>
    <w:rsid w:val="78482FD0"/>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1C1C6D"/>
    <w:rsid w:val="7C656A39"/>
    <w:rsid w:val="7CAE7D7C"/>
    <w:rsid w:val="7CB93996"/>
    <w:rsid w:val="7CBE0F99"/>
    <w:rsid w:val="7D4E45F1"/>
    <w:rsid w:val="7D524458"/>
    <w:rsid w:val="7DFB6D82"/>
    <w:rsid w:val="7E1D71D1"/>
    <w:rsid w:val="7E246254"/>
    <w:rsid w:val="7E553215"/>
    <w:rsid w:val="7E6D090F"/>
    <w:rsid w:val="7E7E2263"/>
    <w:rsid w:val="7ECC66B2"/>
    <w:rsid w:val="7F2914C3"/>
    <w:rsid w:val="7F5F2ED6"/>
    <w:rsid w:val="7FA837EF"/>
    <w:rsid w:val="7FB73496"/>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字符"/>
    <w:link w:val="3"/>
    <w:qFormat/>
    <w:uiPriority w:val="0"/>
    <w:rPr>
      <w:rFonts w:ascii="Calibri Light" w:hAnsi="Calibri Light" w:eastAsia="宋体" w:cs="Times New Roman"/>
      <w:b/>
      <w:bCs/>
      <w:sz w:val="28"/>
      <w:szCs w:val="32"/>
    </w:rPr>
  </w:style>
  <w:style w:type="character" w:customStyle="1" w:styleId="16">
    <w:name w:val="页脚 字符"/>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字符"/>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字符"/>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11148.37</c:v>
                </c:pt>
                <c:pt idx="1">
                  <c:v>9808.37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111483672.39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52101014.78</c:v>
                </c:pt>
                <c:pt idx="1">
                  <c:v>59382657.61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9799.37</c:v>
                </c:pt>
                <c:pt idx="1">
                  <c:v>9808.37</c:v>
                </c:pt>
                <c:pt idx="2">
                  <c:v>9799.37</c:v>
                </c:pt>
                <c:pt idx="3">
                  <c:v>9808.37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11148.37</c:v>
                </c:pt>
                <c:pt idx="1">
                  <c:v>11148.37</c:v>
                </c:pt>
                <c:pt idx="2">
                  <c:v>11148.37</c:v>
                </c:pt>
                <c:pt idx="3">
                  <c:v>11148.37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6431.63</c:v>
                </c:pt>
                <c:pt idx="1">
                  <c:v>6431.63</c:v>
                </c:pt>
                <c:pt idx="2">
                  <c:v>6431.63</c:v>
                </c:pt>
                <c:pt idx="3">
                  <c:v>6431.63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11148.37</c:v>
                </c:pt>
                <c:pt idx="1">
                  <c:v>11148.37</c:v>
                </c:pt>
                <c:pt idx="2">
                  <c:v>11148.37</c:v>
                </c:pt>
                <c:pt idx="3">
                  <c:v>11148.37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56</Pages>
  <Words>1998</Words>
  <Characters>2844</Characters>
  <Lines>128</Lines>
  <Paragraphs>36</Paragraphs>
  <TotalTime>14</TotalTime>
  <ScaleCrop>false</ScaleCrop>
  <LinksUpToDate>false</LinksUpToDate>
  <CharactersWithSpaces>3062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2026-08-28T02:48:00Z</cp:lastPrinted>
  <dcterms:modified xsi:type="dcterms:W3CDTF">2026-09-10T02:24:01Z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919DC8BAF24F49B4B9742E7998ED1BD2</vt:lpwstr>
  </property>
  <property fmtid="{D5CDD505-2E9C-101B-9397-08002B2CF9AE}" pid="4" name="KSOTemplateUUID">
    <vt:lpwstr>v1.0_mb_S7ajbG3IpAnL1wSthNCxfw==</vt:lpwstr>
  </property>
  <property fmtid="{D5CDD505-2E9C-101B-9397-08002B2CF9AE}" pid="5" name="KSOTemplateDocerSaveRecord">
    <vt:lpwstr>eyJoZGlkIjoiY2Y0OGE4NGFhMWYzNmI3MTIzMTljYzQ4YTM0MmE5ZTMiLCJ1c2VySWQiOiI1OTk0NzQxMzEifQ==</vt:lpwstr>
  </property>
</Properties>
</file>