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石家庄市邮政快递业安全服务中心</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348021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石家庄市邮政快递业安全服务中心</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石家庄市邮政快递业安全服务中心</w:t>
      </w:r>
    </w:p>
    <w:p>
      <w:pPr>
        <w:widowControl/>
        <w:spacing w:before="0" w:beforeLines="0" w:beforeAutospacing="0" w:after="0" w:afterLines="0" w:afterAutospacing="0" w:line="360" w:lineRule="auto"/>
        <w:jc w:val="center"/>
        <w:rPr>
          <w:rFonts w:ascii="Times New Roman" w:eastAsia="楷体_GB2312"/>
          <w:b w:val="0"/>
          <w:sz w:val="44"/>
          <w:szCs w:val="44"/>
        </w:rPr>
      </w:pPr>
    </w:p>
    <w:p>
      <w:pPr>
        <w:widowControl/>
        <w:spacing w:before="0" w:beforeLines="0" w:beforeAutospacing="0" w:after="0" w:afterLines="0" w:afterAutospacing="0" w:line="360" w:lineRule="auto"/>
        <w:jc w:val="center"/>
        <w:rPr>
          <w:rFonts w:ascii="Times New Roman" w:eastAsia="楷体_GB2312"/>
          <w:b w:val="0"/>
          <w:sz w:val="44"/>
          <w:szCs w:val="44"/>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负责全市邮政快递业安全监管信息系统的运行和维护，负责为行业运行安全监测和应急处置提供技术支持服务。</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石家庄市邮政快递业安全服务中心</w:t>
            </w:r>
          </w:p>
        </w:tc>
        <w:tc>
          <w:tcPr>
            <w:tcW w:w="2445" w:type="dxa"/>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公益一类</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部门（单位）：石家庄市邮政快递业安全服务中心</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部门（单位）：石家庄市邮政快递业安全服务中心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135.40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135.40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邮政业支出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2140504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行业监管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部门（单位）：石家庄市邮政快递业安全服务中心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134.48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邮政业支出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2140504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行业监管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部门（单位）：石家庄市邮政快递业安全服务中心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135.40</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0"/>
        <w:gridCol w:w="1871"/>
        <w:gridCol w:w="1005"/>
        <w:gridCol w:w="944"/>
        <w:gridCol w:w="1004"/>
        <w:gridCol w:w="378"/>
        <w:gridCol w:w="16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部门（单位）：石家庄市邮政快递业安全服务中心</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134.48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邮政业支出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2140504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行业监管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部门（单位）：石家庄市邮政快递业安全服务中心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128.19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36.31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52.81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128.19</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部门（单位）：石家庄市邮政快递业安全服务中心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部门（单位）：石家庄市邮政快递业安全服务中心</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部门（单位）：石家庄市邮政快递业安全服务中心</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2.30</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2.30</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本单位2025年度收、支总计（含结转和结余）均为135.40万元。与2024年度决算相比，收支各增加6.66万元，增长5.2%，主要原因是人员经费增加。</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135.40万元，其中：财政拨款收入135.40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本单位2025年度本年支出合计135.40万元，其中：基本支出134.48万元，占99.3%；项目支出0.92万元，占0.7%；经营支出0.00万元，占0.0%；上缴上级支出0.00万元，占0.0%；对附属单位补助支出0.00万元，占0.0%。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本单位2025年度财政拨款收、支总计（含结转和结余）均为135.40万元。与2024年度相比，财政拨款收支各增加6.66万元，增长5.2%，主要原因是人员经费增加。</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本单位2025年度财政拨款本年收入135.40万元,比上年增加6.66万元，增长5.2%，主要原因是人员经费增加；本年支出135.40万元，比上年增加6.66万元，增长5.2%，主要原因是人员经费增加。具体情况如下：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一般公共预算财政拨款本年收入135.40万元,比上年增加6.66万元，增长5.2%，主要原因是人员经费增加；本年支出135.40万元，比上年增加6.66万元，增长5.2%，主要原因是人员经费增加。</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政府性基金预算财政拨款本年收入0.00万元，比上年增加0.00万元，增长0.00%，主要原因是；本年支出0.00万元，比上年增加0.00万元，增长0.00%，主要原因是</w:t>
      </w:r>
      <w:r>
        <w:rPr>
          <w:rFonts w:hint="eastAsia" w:ascii="Times New Roman" w:eastAsia="仿宋_GB2312"/>
          <w:b w:val="0"/>
          <w:sz w:val="32"/>
          <w:szCs w:val="32"/>
          <w:lang w:val="en-US" w:eastAsia="zh-CN"/>
        </w:rPr>
        <w:t>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国有资本经营预算财政拨款本年收入0.00万元，比上年增加0.00万元，增长0.00%，主要原因是无；本年支出0.00万元，比上年增加0.00万元，增长0.00%，主要原因是无。</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135.40万元，完成年初预算的104.4%，比年初预算增加5.75万元，决算数大于预算数主要原因是人员经费增加；本年支出135.40万元，完成年初预算的104.4%，比年初预算增加5.75万元，决算数大于预算数主要原因是人员经费增加。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一般公共预算财政拨款本年收入完成年初预算的104.4%，比年初预算增加5.75万元，主要原因是人员经费增加；支出完成年初预算的104.4%，比年初预算增加5.75万元，主要原因是人员经费增加。</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政府性基金预算财政拨款本年收入完成年初预算的0.0%，比年初预算增加0.00万元，主要原因是无；支出完成年初预算的0.0%，比年初预算增加0.00万元，主要原因是无。</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国有资本经营预算财政拨款本年收入完成年初预算的0.0%，比年初预算增加0.00万元，主要原因是无；支出完成年初预算的0.0%，比年初预算增加0.00万元，主要原因是无。</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r>
        <w:rPr>
          <w:rFonts w:ascii="Times New Roman" w:eastAsia="仿宋_GB2312"/>
          <w:b w:val="0"/>
          <w:sz w:val="32"/>
          <w:szCs w:val="32"/>
        </w:rPr>
        <w:t>2025年度财政拨款支出135.40万元，主要用于以下方面：</w:t>
      </w:r>
      <w:r>
        <w:rPr>
          <w:rFonts w:hint="eastAsia" w:ascii="Times New Roman" w:eastAsia="仿宋_GB2312"/>
          <w:b w:val="0"/>
          <w:sz w:val="32"/>
          <w:szCs w:val="32"/>
          <w:lang w:val="en-US" w:eastAsia="zh-CN"/>
        </w:rPr>
        <w:t>人员经费支出及公用支出。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无等支出；外交（类）支出0.00万元，占0.0%，主要用于无等支出；国防（类）支出0.00万元，占0.0%，主要用于无等支出；公共安全类（类）支出0.00万元，占0.0%，主要用于无等支出；教育（类）支出0.00万元，占0.0%，主要用于无等支出；科学技术（类）支出0.00万元，占0.0%，主要用于无等支出；文化旅游体育与传媒（类）支出0.00万元，占0.0%，主要用于无等支出；社会保障和就业 （类）支出0.00万元，占0.0%，主要用于无等支出；卫生健康（类）支出0.00万元，占0.0%，主要用于无等支出；节能环保（类）支出0.00万元，占0.0%，主要用于无等支出；城乡社区（类）支出0.00万元，占0.0%，主要用于无等支出；农林水（类）支出0.00万元，占0.0%，主要用于无等支出；交通运输（类）支出135.40万元，占100.0%，主要用于无等支出；资源勘探信息等（类）支出0.00万元，占0.0%，主要用于无等支出；商业服务业等（类）支出0.00万元，占0.0%，主要用于无等支出；金融（类）支出0.00万元，占0.0%，主要用于等支出；援助其他地区（类）支出0.00万元，占0.0%，主要用于无等支出；自然资源海洋气象等（类）支出0.00万元，占0.0%，主要用于无等支出；住房保障（类）支出0.00万元，占0.0%，主要用于无等支出；粮油物资储备（类）支出0.00万元，占0.0%，主要用于无等支出；国有资本经营预算支出0.00万元，占0.0%，主要用于无等支出；灾害防治及应急管理（类）支出0.00万元，占0.0%，主要用于无等支出；其他（类）支出0.00万元，占0.0%，主要用于无等支出；债务还本（类）支出0.00万元，占0.0%，主要用于无等支出；债务付息（类）支出0.00万元，占0.0%，主要用于无等支出；抗疫特别国债安排的支出0.00万元，占0.0%，主要用于无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无等支出；外交（类）支出0.00万元，占0.0%，主要用于无等支出；国防（类）支出0.00万元，占0.0%，主要用于无等支出；公共安全类（类）支出0.00万元，占0.0%，主要用于无等支出；教育（类）支出0.00万元，占0.0%，主要用于无等支出；科学技术（类）支出0.00万元，占0.0%，主要用于无等支出；文化旅游体育与传媒（类）支出0.00万元，占0.0%，主要用于无等支出；社会保障和就业 （类）支出0.00万元，占0.0%，主要用于无等支出；卫生健康（类）支出0.00万元，占0.0%，主要用于无等支出；节能环保（类）支出0.00万元，占0.0%，主要用于无等支出；城乡社区（类）支出0.00万元，占0.0%，主要用于无等支出；农林水（类）支出0.00万元，占0.0%，主要用于无等支出；交通运输（类）支出0.00万元，占0.0%，主要用于无等支出；资源勘探信息等（类）支出0.00万元，占0.0%，主要用于无等支出；商业服务业等（类）支出0.00万元，占0.0%，主要用于无等支出；金融（类）支出0.00万元，占0.0%，主要用于无等支出；援助其他地区（类）支出0.00万元，占0.0%，主要用于无等支出；自然资源海洋气象等（类）支出0.00万元，占0.0%，主要用于无等支出；住房保障（类）支出0.00万元，占0.0%，主要用于无等支出；粮油物资储备（类）支出0.00万元，占0.0%，主要用于无等支出；国有资本经营预算支出0.00万元，占0.0%，主要用于无等支出；灾害防治及应急管理（类）支出0.00万元，占0.0%，主要用于无等支出；其他（类）支出0.00万元，占0.0%，主要用于无等支出；债务还本（类）支出0.00万元，占0.0%，主要用于无等支出；债务付息（类）支出0.00万元，占0.0%，主要用于无等支出；抗疫特别国债安排的支出0.00万元，占0.00%，主要用于无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无等支出；外交（类）支出0.00万元，占0.0%，主要用于无等支出；国防（类）支出0.00万元，占0.0%，主要用于无等支出；公共安全（类）支出0.00万元，占0.0%，主要用于无等支出；教育（类）支出0.00万元，占0.0%，主要用于无等支出；科学技术（类）支出0.00万元，占0.0%，主要用于无等支出；文化旅游体育与传媒（类）支出0.00万元，占0.0%，主要用于无等支出；社会保障和就业 （类）支出0.00万元，占0.0%，主要用于无等支出；卫生健康（类）支出0.00万元，占0.0%，主要用于无等支出；节能环保（类）支出0.00万元，占0.0%，主要用于无等支出；城乡社区（类）支出0.00万元，占0.0%，主要用于无等支出；农林水（类）支出0.00万元，占0.0%，主要用于无等支出；交通运输（类）支出0.00万元，占0.0%，主要用于无等支出；资源勘探信息等（类）支出0.00万元，占0.0%，主要用于无等支出；商业服务业等（类）支出0.00万元，占0.0%，主要用于无等支出；金融（类）支出0.00万元，占0.0%，主要用于无等支出；援助其他地区（类）支出0.00万元，占0.0%，主要用于无等支出；自然资源海洋气象等（类）支出0.00万元，占0.0%，主要用于无等支出；住房保障（类）支出0.00万元，占0.0%，主要用于无等支出；粮油物资储备（类）支出0.00万元，占0.0%，主要用于无等支出；国有资本经营预算支出0.00万元，占0.0%，主要用于无等支出；灾害防治及应急管理（类）支出0.00万元，占0.0%，主要用于无等支出；其他（类）支出0.00万元，占0.0%，主要用于无等支出；债务还本（类）支出0.00万元，占0.0%，主要用于无等支出；债务付息（类）支出0.00万元，占0.0%，主要用于无等支出；抗疫特别国债安排的支出0.00万元，占0.0%，主要用于无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2025年度财政拨款基本支出134.48万元，其中：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128.19万元，主要包括基本工资、津贴补贴、奖金、伙食补助费、绩效工资、机关事业部门基本养老保险缴费、职业年金缴费、职工基本医疗保险缴费、公务员医疗补助缴费、住房公积金、医疗费、其他社会保障缴费、其他工资福利支出、 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6.29万元，主要包括办公费、差旅费、租赁费、会议费、培训费、公务接待费、专用材料费、劳务费、、工会经费、福利费、公务用车运行维护费、其他交通费用、税金及附加费用、其他商品和服务支出、专用设备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2.30万元，支出决算为2.30万元，完成预算的100.0%，较预算减少0.00万元，降低0.0%，主要原因是公务用车维护；较2024年度决算增加2.30万元，增长100.00%，主要原因是增加公务用车维护费。</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无；较上年增加0.00万元，增长0.00%,主要原因是无。因公出国（境）团组0个、共0人、参加其他单位组织的因公出国（境）团组0个、共0人/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2.30万元，支出决算2.30万元，完成预算的100.0%,较预算减少0.00万元，降低0.0%,主要原因是公务用车维护费；较上年增加2.30万元，增长100.00%,主要原因是新增公务用车维护费。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本单位2025年度公务用车购置量0辆，发生“公务用车购置”经费支出0.00万元。公务用车购置费支出较预算增加0.00万元，增长0.0%,主要原因是无；较上年增加0.00万元，增长0.00%,主要原因是无。</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公务用车运行维护费支出2.30万元：</w:t>
      </w:r>
      <w:r>
        <w:rPr>
          <w:rFonts w:ascii="Times New Roman" w:eastAsia="仿宋_GB2312"/>
          <w:b w:val="0"/>
          <w:sz w:val="32"/>
          <w:szCs w:val="32"/>
        </w:rPr>
        <w:t>本单位2025年度单位公务用车保有量1辆，发生运行维护费支出2.30万元。公车运行维护费支出较预算减少0.00万元，降低0.0%,主要原因是公务用车维护；较上年增加2.30万元，增长100.00%，主要原因是新增巩固用车维护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无；较上年度增加0.00万元，增长0.00%,主要原因是无。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本单位2025年度机关运行经费支出0.00万元，较2024年度增加0.00万元，增长0.00%。主要原因是无。</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0.04万元，从采购类型来看，政府采购货物支出0.04万元、政府采购工程支出0.00万元、政府采购服务支出0.00万元。授予中小企业合同金额0.04万元，占政府采购支出总额的100.0%，其中授予小微企业合同金额0.04万元，占政府采购支出总额的100.0%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无。其中，副部（省）级及以上领导用车0辆，主要负责人用车0辆，机要通信用车1辆，应急保障用车0辆，执法执勤用车0辆，特种专业技术用车0辆，离退休干部用车0辆，其他用车0辆，其他用车主要是无。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0.92万元（决算金额）。其中，一般公共预算项目2个，涉及资金0.91982万元，占一般公共预算项目支出总额的100%；政府性基金预算项目0个，涉及资金0万元，占政府性基金预算项目支出总额的0%；国有资本经营预算项目0个，涉及资金0万元，占国有资本经营预算项目支出总额的0%。</w:t>
      </w:r>
    </w:p>
    <w:p>
      <w:pPr>
        <w:widowControl/>
        <w:spacing w:before="0" w:beforeLines="0" w:beforeAutospacing="0" w:after="0" w:afterLines="0" w:afterAutospacing="0" w:line="360" w:lineRule="auto"/>
        <w:ind w:firstLine="640" w:firstLineChars="200"/>
        <w:jc w:val="left"/>
        <w:rPr>
          <w:rFonts w:hint="default" w:ascii="Times New Roman" w:eastAsia="仿宋_GB2312"/>
          <w:b w:val="0"/>
          <w:sz w:val="32"/>
          <w:szCs w:val="32"/>
          <w:lang w:val="en-US" w:eastAsia="zh-CN"/>
        </w:rPr>
      </w:pPr>
      <w:r>
        <w:rPr>
          <w:rFonts w:hint="eastAsia" w:ascii="Times New Roman" w:eastAsia="仿宋_GB2312"/>
          <w:b w:val="0"/>
          <w:sz w:val="32"/>
          <w:szCs w:val="32"/>
          <w:lang w:val="en-US" w:eastAsia="zh-CN"/>
        </w:rPr>
        <w:t>本单位无部门重点评价项目</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w:t>
      </w:r>
      <w:r>
        <w:rPr>
          <w:rFonts w:hint="eastAsia" w:ascii="Times New Roman" w:eastAsia="仿宋_GB2312"/>
          <w:b w:val="0"/>
          <w:sz w:val="32"/>
          <w:szCs w:val="32"/>
          <w:lang w:val="en-US" w:eastAsia="zh-CN"/>
        </w:rPr>
        <w:t>组织自评的2个市本级预算项目，自评得分90分以上的1个，90分一下的1个，平均得分93.38分</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党组织活动经费项目绩效自评情况：根据年初设定的绩效目标，党组织活动经费项目绩效自评得分为99.69分（绩效自评表附后）。全年预算数为0.2万元，执行数为0.19万元，完成预算的96.91%。项目绩效目标完成情况：一是组织本单位全体党员开展党建工作；二是开展主题活动。发现的主要问题及原因是：党员活动未发现问题。下一步改进措施：一是无；二是无。</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教育宣传及安全应急演练</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87.07</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3.5</w:t>
      </w:r>
      <w:r>
        <w:rPr>
          <w:rFonts w:ascii="Times New Roman" w:eastAsia="仿宋_GB2312"/>
          <w:b w:val="0"/>
          <w:sz w:val="32"/>
          <w:szCs w:val="32"/>
        </w:rPr>
        <w:t>万元，执行数为0.</w:t>
      </w:r>
      <w:r>
        <w:rPr>
          <w:rFonts w:hint="eastAsia" w:ascii="Times New Roman" w:eastAsia="仿宋_GB2312"/>
          <w:b w:val="0"/>
          <w:sz w:val="32"/>
          <w:szCs w:val="32"/>
          <w:lang w:val="en-US" w:eastAsia="zh-CN"/>
        </w:rPr>
        <w:t>726</w:t>
      </w:r>
      <w:r>
        <w:rPr>
          <w:rFonts w:ascii="Times New Roman" w:eastAsia="仿宋_GB2312"/>
          <w:b w:val="0"/>
          <w:sz w:val="32"/>
          <w:szCs w:val="32"/>
        </w:rPr>
        <w:t>万元，完成预算的</w:t>
      </w:r>
      <w:r>
        <w:rPr>
          <w:rFonts w:hint="eastAsia" w:ascii="Times New Roman" w:eastAsia="仿宋_GB2312"/>
          <w:b w:val="0"/>
          <w:sz w:val="32"/>
          <w:szCs w:val="32"/>
          <w:lang w:val="en-US" w:eastAsia="zh-CN"/>
        </w:rPr>
        <w:t>20.74</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开展应急演练次数1次</w:t>
      </w:r>
      <w:r>
        <w:rPr>
          <w:rFonts w:ascii="Times New Roman" w:eastAsia="仿宋_GB2312"/>
          <w:b w:val="0"/>
          <w:sz w:val="32"/>
          <w:szCs w:val="32"/>
        </w:rPr>
        <w:t>；二是</w:t>
      </w:r>
      <w:r>
        <w:rPr>
          <w:rFonts w:hint="eastAsia" w:ascii="Times New Roman" w:eastAsia="仿宋_GB2312"/>
          <w:b w:val="0"/>
          <w:sz w:val="32"/>
          <w:szCs w:val="32"/>
          <w:lang w:val="en-US" w:eastAsia="zh-CN"/>
        </w:rPr>
        <w:t>提高处理应急事件的反应能力</w:t>
      </w:r>
      <w:r>
        <w:rPr>
          <w:rFonts w:ascii="Times New Roman" w:eastAsia="仿宋_GB2312"/>
          <w:b w:val="0"/>
          <w:sz w:val="32"/>
          <w:szCs w:val="32"/>
        </w:rPr>
        <w:t>。发现的主要问题及原因是：一是</w:t>
      </w:r>
      <w:r>
        <w:rPr>
          <w:rFonts w:hint="eastAsia" w:ascii="Times New Roman" w:eastAsia="仿宋_GB2312"/>
          <w:b w:val="0"/>
          <w:sz w:val="32"/>
          <w:szCs w:val="32"/>
          <w:lang w:val="en-US" w:eastAsia="zh-CN"/>
        </w:rPr>
        <w:t>预算编制精准度不高</w:t>
      </w:r>
      <w:r>
        <w:rPr>
          <w:rFonts w:ascii="Times New Roman" w:eastAsia="仿宋_GB2312"/>
          <w:b w:val="0"/>
          <w:sz w:val="32"/>
          <w:szCs w:val="32"/>
        </w:rPr>
        <w:t>。下一步改进措施：一是</w:t>
      </w:r>
      <w:r>
        <w:rPr>
          <w:rFonts w:hint="eastAsia" w:ascii="Times New Roman" w:eastAsia="仿宋_GB2312"/>
          <w:b w:val="0"/>
          <w:sz w:val="32"/>
          <w:szCs w:val="32"/>
          <w:lang w:val="en-US" w:eastAsia="zh-CN"/>
        </w:rPr>
        <w:t>规范管理预算编制确保与实际需求相符</w:t>
      </w:r>
      <w:r>
        <w:rPr>
          <w:rFonts w:ascii="Times New Roman" w:eastAsia="仿宋_GB2312"/>
          <w:b w:val="0"/>
          <w:sz w:val="32"/>
          <w:szCs w:val="32"/>
        </w:rPr>
        <w:t>；二是无。</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816"/>
        <w:gridCol w:w="673"/>
        <w:gridCol w:w="908"/>
        <w:gridCol w:w="955"/>
        <w:gridCol w:w="662"/>
        <w:gridCol w:w="1216"/>
        <w:gridCol w:w="28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38"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353" w:type="pct"/>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石家庄市邮政快递业安全服务中心</w:t>
            </w:r>
          </w:p>
        </w:tc>
        <w:tc>
          <w:tcPr>
            <w:tcW w:w="31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3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658"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33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6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党组织活动经费</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石家庄市邮政快递业安全服务中心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5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6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0.19382</w:t>
            </w:r>
          </w:p>
        </w:tc>
        <w:tc>
          <w:tcPr>
            <w:tcW w:w="2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0.19382</w:t>
            </w:r>
          </w:p>
        </w:tc>
        <w:tc>
          <w:tcPr>
            <w:tcW w:w="2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2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9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0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5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组织本单位全体党员开展党建活动。</w:t>
            </w:r>
          </w:p>
        </w:tc>
        <w:tc>
          <w:tcPr>
            <w:tcW w:w="105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完成本单位全体党员党建活动</w:t>
            </w:r>
          </w:p>
        </w:tc>
        <w:tc>
          <w:tcPr>
            <w:tcW w:w="2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8" w:type="pct"/>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28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开展主题活动次数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≥2次</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2次</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职工参与覆盖率</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≥80%</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党组织活动积极性</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2025</w:t>
            </w:r>
            <w:r>
              <w:rPr>
                <w:rStyle w:val="27"/>
                <w:lang w:val="en-US" w:eastAsia="zh-CN" w:bidi="ar"/>
              </w:rPr>
              <w:t>年</w:t>
            </w:r>
            <w:r>
              <w:rPr>
                <w:rFonts w:hint="default" w:ascii="Calibri" w:hAnsi="Calibri" w:eastAsia="宋体" w:cs="Calibri"/>
                <w:i w:val="0"/>
                <w:iCs w:val="0"/>
                <w:color w:val="000000"/>
                <w:kern w:val="0"/>
                <w:sz w:val="20"/>
                <w:szCs w:val="20"/>
                <w:u w:val="none"/>
                <w:lang w:val="en-US" w:eastAsia="zh-CN" w:bidi="ar"/>
              </w:rPr>
              <w:t>12</w:t>
            </w:r>
            <w:r>
              <w:rPr>
                <w:rStyle w:val="27"/>
                <w:lang w:val="en-US" w:eastAsia="zh-CN" w:bidi="ar"/>
              </w:rPr>
              <w:t>月</w:t>
            </w:r>
            <w:r>
              <w:rPr>
                <w:rFonts w:hint="default" w:ascii="Calibri" w:hAnsi="Calibri" w:eastAsia="宋体" w:cs="Calibri"/>
                <w:i w:val="0"/>
                <w:iCs w:val="0"/>
                <w:color w:val="000000"/>
                <w:kern w:val="0"/>
                <w:sz w:val="20"/>
                <w:szCs w:val="20"/>
                <w:u w:val="none"/>
                <w:lang w:val="en-US" w:eastAsia="zh-CN" w:bidi="ar"/>
              </w:rPr>
              <w:t>25</w:t>
            </w:r>
            <w:r>
              <w:rPr>
                <w:rStyle w:val="27"/>
                <w:lang w:val="en-US" w:eastAsia="zh-CN" w:bidi="ar"/>
              </w:rPr>
              <w:t>日前</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w:t>
            </w:r>
            <w:r>
              <w:rPr>
                <w:rStyle w:val="27"/>
                <w:lang w:val="en-US" w:eastAsia="zh-CN" w:bidi="ar"/>
              </w:rPr>
              <w:t>月</w:t>
            </w:r>
            <w:r>
              <w:rPr>
                <w:rFonts w:hint="default" w:ascii="Calibri" w:hAnsi="Calibri" w:eastAsia="宋体" w:cs="Calibri"/>
                <w:i w:val="0"/>
                <w:iCs w:val="0"/>
                <w:color w:val="000000"/>
                <w:kern w:val="0"/>
                <w:sz w:val="20"/>
                <w:szCs w:val="20"/>
                <w:u w:val="none"/>
                <w:lang w:val="en-US" w:eastAsia="zh-CN" w:bidi="ar"/>
              </w:rPr>
              <w:t>25</w:t>
            </w:r>
            <w:r>
              <w:rPr>
                <w:rStyle w:val="27"/>
                <w:lang w:val="en-US" w:eastAsia="zh-CN" w:bidi="ar"/>
              </w:rPr>
              <w:t>日前</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人均费用</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≤280</w:t>
            </w:r>
            <w:r>
              <w:rPr>
                <w:rStyle w:val="27"/>
                <w:lang w:val="en-US" w:eastAsia="zh-CN" w:bidi="ar"/>
              </w:rPr>
              <w:t>元</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276.88</w:t>
            </w:r>
            <w:r>
              <w:rPr>
                <w:rStyle w:val="27"/>
                <w:lang w:val="en-US" w:eastAsia="zh-CN" w:bidi="ar"/>
              </w:rPr>
              <w:t>元</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82" w:type="pc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≤0.2</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0.19382</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282"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党员参政议政、建言献策的比例</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82"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参加各类活动的党员对活动安排满意率</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00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38"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Style w:val="28"/>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466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338"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28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郭丛</w:t>
            </w:r>
          </w:p>
        </w:tc>
        <w:tc>
          <w:tcPr>
            <w:tcW w:w="28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8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0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1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3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2658"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87852923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38"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353" w:type="pct"/>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石家庄市邮政快递业安全服务中心</w:t>
            </w:r>
          </w:p>
        </w:tc>
        <w:tc>
          <w:tcPr>
            <w:tcW w:w="31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3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658"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3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6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教育宣传及安全应急演练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石家庄市邮政快递业安全服务中心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5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6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0.726</w:t>
            </w:r>
          </w:p>
        </w:tc>
        <w:tc>
          <w:tcPr>
            <w:tcW w:w="2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0.726</w:t>
            </w:r>
          </w:p>
        </w:tc>
        <w:tc>
          <w:tcPr>
            <w:tcW w:w="2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2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9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0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5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通过开展教育宣传及安全应急演练提高从业者应急处置能力</w:t>
            </w:r>
          </w:p>
        </w:tc>
        <w:tc>
          <w:tcPr>
            <w:tcW w:w="105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提高了从业者的安全应急处置能力</w:t>
            </w:r>
          </w:p>
        </w:tc>
        <w:tc>
          <w:tcPr>
            <w:tcW w:w="2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8" w:type="pct"/>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28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开展应急演练次数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≥2次</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1次</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人</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人</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任务完成时间</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w:t>
            </w:r>
            <w:r>
              <w:rPr>
                <w:rStyle w:val="29"/>
                <w:rFonts w:eastAsia="宋体"/>
                <w:lang w:val="en-US" w:eastAsia="zh-CN" w:bidi="ar"/>
              </w:rPr>
              <w:t>12</w:t>
            </w:r>
            <w:r>
              <w:rPr>
                <w:rFonts w:hint="eastAsia" w:ascii="宋体" w:hAnsi="宋体" w:eastAsia="宋体" w:cs="宋体"/>
                <w:i w:val="0"/>
                <w:iCs w:val="0"/>
                <w:color w:val="000000"/>
                <w:kern w:val="0"/>
                <w:sz w:val="20"/>
                <w:szCs w:val="20"/>
                <w:u w:val="none"/>
                <w:lang w:val="en-US" w:eastAsia="zh-CN" w:bidi="ar"/>
              </w:rPr>
              <w:t>月</w:t>
            </w:r>
            <w:r>
              <w:rPr>
                <w:rStyle w:val="29"/>
                <w:rFonts w:eastAsia="宋体"/>
                <w:lang w:val="en-US" w:eastAsia="zh-CN" w:bidi="ar"/>
              </w:rPr>
              <w:br w:type="textWrapping"/>
            </w:r>
            <w:r>
              <w:rPr>
                <w:rStyle w:val="29"/>
                <w:rFonts w:eastAsia="宋体"/>
                <w:lang w:val="en-US" w:eastAsia="zh-CN" w:bidi="ar"/>
              </w:rPr>
              <w:t>31</w:t>
            </w:r>
            <w:r>
              <w:rPr>
                <w:rFonts w:hint="eastAsia" w:ascii="宋体" w:hAnsi="宋体" w:eastAsia="宋体" w:cs="宋体"/>
                <w:i w:val="0"/>
                <w:iCs w:val="0"/>
                <w:color w:val="000000"/>
                <w:kern w:val="0"/>
                <w:sz w:val="20"/>
                <w:szCs w:val="20"/>
                <w:u w:val="none"/>
                <w:lang w:val="en-US" w:eastAsia="zh-CN" w:bidi="ar"/>
              </w:rPr>
              <w:t>日前</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项目成本</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w:t>
            </w:r>
            <w:r>
              <w:rPr>
                <w:rStyle w:val="29"/>
                <w:rFonts w:eastAsia="宋体"/>
                <w:lang w:val="en-US" w:eastAsia="zh-CN" w:bidi="ar"/>
              </w:rPr>
              <w:t>3.5</w:t>
            </w:r>
            <w:r>
              <w:rPr>
                <w:rFonts w:hint="eastAsia" w:ascii="宋体" w:hAnsi="宋体" w:eastAsia="宋体" w:cs="宋体"/>
                <w:i w:val="0"/>
                <w:iCs w:val="0"/>
                <w:color w:val="000000"/>
                <w:kern w:val="0"/>
                <w:sz w:val="20"/>
                <w:szCs w:val="20"/>
                <w:u w:val="none"/>
                <w:lang w:val="en-US" w:eastAsia="zh-CN" w:bidi="ar"/>
              </w:rPr>
              <w:t>万</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0.726</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82" w:type="pc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≤3.5万</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20.74%</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282"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提高处理应急事件的反应能力</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82"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38"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00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2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87.07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38"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Style w:val="30"/>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466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预算编制精准度不高，预算目标设定过高。将规范管理预算调整，确保预算与实际需求相符。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38"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28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郭丛</w:t>
            </w:r>
          </w:p>
        </w:tc>
        <w:tc>
          <w:tcPr>
            <w:tcW w:w="28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8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0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1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3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2658"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87852923</w:t>
            </w:r>
          </w:p>
        </w:tc>
      </w:tr>
    </w:tbl>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bookmarkStart w:id="0" w:name="_GoBack"/>
      <w:bookmarkEnd w:id="0"/>
      <w:r>
        <w:rPr>
          <w:rFonts w:ascii="Times New Roman" w:eastAsia="仿宋_GB2312"/>
          <w:b/>
          <w:sz w:val="32"/>
          <w:szCs w:val="32"/>
        </w:rPr>
        <w:t>（三）部门评价项目绩效评价结果</w:t>
      </w:r>
    </w:p>
    <w:p>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r>
        <w:rPr>
          <w:rFonts w:hint="eastAsia" w:ascii="Times New Roman" w:eastAsia="仿宋_GB2312"/>
          <w:sz w:val="32"/>
          <w:szCs w:val="32"/>
          <w:lang w:val="en-US" w:eastAsia="zh-CN"/>
        </w:rPr>
        <w:t>本单位无部门重点评价项目。</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3"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B01D688-F91B-442F-AA3B-67E40183D03D}"/>
  </w:font>
  <w:font w:name="黑体">
    <w:panose1 w:val="02010609060101010101"/>
    <w:charset w:val="86"/>
    <w:family w:val="auto"/>
    <w:pitch w:val="default"/>
    <w:sig w:usb0="800002BF" w:usb1="38CF7CFA" w:usb2="00000016" w:usb3="00000000" w:csb0="00040001" w:csb1="00000000"/>
    <w:embedRegular r:id="rId2" w:fontKey="{88AB1983-854E-448F-BA1A-96010C91953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CCA7464D-E7B8-4886-9274-A3E61DA181C6}"/>
  </w:font>
  <w:font w:name="仿宋">
    <w:panose1 w:val="02010609060101010101"/>
    <w:charset w:val="86"/>
    <w:family w:val="modern"/>
    <w:pitch w:val="default"/>
    <w:sig w:usb0="800002BF" w:usb1="38CF7CFA" w:usb2="00000016" w:usb3="00000000" w:csb0="00040001" w:csb1="00000000"/>
    <w:embedRegular r:id="rId4" w:fontKey="{70B12B21-F438-4C82-9611-FE08A6A14E87}"/>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embedRegular r:id="rId5" w:fontKey="{12B0B750-B281-40B7-A432-A98830B68F25}"/>
  </w:font>
  <w:font w:name="楷体_GB2312">
    <w:panose1 w:val="02010609030101010101"/>
    <w:charset w:val="86"/>
    <w:family w:val="auto"/>
    <w:pitch w:val="default"/>
    <w:sig w:usb0="00000001" w:usb1="080E0000" w:usb2="00000000" w:usb3="00000000" w:csb0="00040000" w:csb1="00000000"/>
    <w:embedRegular r:id="rId6" w:fontKey="{DF3F3A37-48F9-4789-897A-F8AFD006A0F8}"/>
  </w:font>
  <w:font w:name="微软雅黑">
    <w:panose1 w:val="020B0503020204020204"/>
    <w:charset w:val="86"/>
    <w:family w:val="auto"/>
    <w:pitch w:val="default"/>
    <w:sig w:usb0="80000287" w:usb1="280F3C52" w:usb2="00000016" w:usb3="00000000" w:csb0="0004001F" w:csb1="00000000"/>
    <w:embedRegular r:id="rId7" w:fontKey="{E99D5EBD-6C02-4A70-A832-A7EFA9F57B39}"/>
  </w:font>
  <w:font w:name="方正小标宋_GBK">
    <w:panose1 w:val="02000000000000000000"/>
    <w:charset w:val="86"/>
    <w:family w:val="script"/>
    <w:pitch w:val="default"/>
    <w:sig w:usb0="A00002BF" w:usb1="38CF7CFA" w:usb2="00082016" w:usb3="00000000" w:csb0="00040001" w:csb1="00000000"/>
    <w:embedRegular r:id="rId8" w:fontKey="{EA5FE354-1127-4591-B048-C5DD5CB88395}"/>
  </w:font>
  <w:font w:name="仿宋_GB2312">
    <w:panose1 w:val="02010609030101010101"/>
    <w:charset w:val="86"/>
    <w:family w:val="auto"/>
    <w:pitch w:val="default"/>
    <w:sig w:usb0="00000001" w:usb1="080E0000" w:usb2="00000000" w:usb3="00000000" w:csb0="00040000" w:csb1="00000000"/>
    <w:embedRegular r:id="rId9" w:fontKey="{38EE2986-63E2-4B9A-8F8D-B1FD5985087B}"/>
  </w:font>
  <w:font w:name="ArialUnicodeMS">
    <w:altName w:val="Malgun Gothic"/>
    <w:panose1 w:val="00000000000000000000"/>
    <w:charset w:val="81"/>
    <w:family w:val="auto"/>
    <w:pitch w:val="default"/>
    <w:sig w:usb0="00000000" w:usb1="00000000" w:usb2="00000010" w:usb3="00000000" w:csb0="00080001" w:csb1="00000000"/>
    <w:embedRegular r:id="rId10" w:fontKey="{3FA17C41-68FA-45FD-8D70-820DB500A193}"/>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1D42B52"/>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04AF3"/>
    <w:rsid w:val="461F0A8B"/>
    <w:rsid w:val="4648721E"/>
    <w:rsid w:val="46663E71"/>
    <w:rsid w:val="466A37AC"/>
    <w:rsid w:val="468A1A00"/>
    <w:rsid w:val="46CB071B"/>
    <w:rsid w:val="46DE140B"/>
    <w:rsid w:val="46E77334"/>
    <w:rsid w:val="46F22E29"/>
    <w:rsid w:val="46F7142F"/>
    <w:rsid w:val="47107AE3"/>
    <w:rsid w:val="473A432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1E1CDA"/>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AFF5FED"/>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6EC680F"/>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9A59BC"/>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81"/>
    <w:basedOn w:val="13"/>
    <w:uiPriority w:val="0"/>
    <w:rPr>
      <w:rFonts w:hint="eastAsia" w:ascii="宋体" w:hAnsi="宋体" w:eastAsia="宋体" w:cs="宋体"/>
      <w:color w:val="000000"/>
      <w:sz w:val="20"/>
      <w:szCs w:val="20"/>
      <w:u w:val="none"/>
    </w:rPr>
  </w:style>
  <w:style w:type="character" w:customStyle="1" w:styleId="28">
    <w:name w:val="font101"/>
    <w:basedOn w:val="13"/>
    <w:qFormat/>
    <w:uiPriority w:val="0"/>
    <w:rPr>
      <w:rFonts w:hint="default" w:ascii="Calibri" w:hAnsi="Calibri" w:cs="Calibri"/>
      <w:color w:val="000000"/>
      <w:sz w:val="16"/>
      <w:szCs w:val="16"/>
      <w:u w:val="none"/>
    </w:rPr>
  </w:style>
  <w:style w:type="character" w:customStyle="1" w:styleId="29">
    <w:name w:val="font71"/>
    <w:basedOn w:val="13"/>
    <w:qFormat/>
    <w:uiPriority w:val="0"/>
    <w:rPr>
      <w:rFonts w:hint="default" w:ascii="Calibri" w:hAnsi="Calibri" w:cs="Calibri"/>
      <w:color w:val="000000"/>
      <w:sz w:val="20"/>
      <w:szCs w:val="20"/>
      <w:u w:val="none"/>
    </w:rPr>
  </w:style>
  <w:style w:type="character" w:customStyle="1" w:styleId="30">
    <w:name w:val="font112"/>
    <w:basedOn w:val="13"/>
    <w:uiPriority w:val="0"/>
    <w:rPr>
      <w:rFonts w:hint="default" w:ascii="Calibri" w:hAnsi="Calibri" w:cs="Calibri"/>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135.4</c:v>
                </c:pt>
                <c:pt idx="1">
                  <c:v>128.74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1354017.94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1344819.74</c:v>
                </c:pt>
                <c:pt idx="1">
                  <c:v>9198.2</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128.74</c:v>
                </c:pt>
                <c:pt idx="1">
                  <c:v>128.74</c:v>
                </c:pt>
                <c:pt idx="2">
                  <c:v>128.74</c:v>
                </c:pt>
                <c:pt idx="3">
                  <c:v>128.74</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135.4</c:v>
                </c:pt>
                <c:pt idx="1">
                  <c:v>135.4</c:v>
                </c:pt>
                <c:pt idx="2">
                  <c:v>135.4</c:v>
                </c:pt>
                <c:pt idx="3">
                  <c:v>135.4</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129.65</c:v>
                </c:pt>
                <c:pt idx="1">
                  <c:v>129.65</c:v>
                </c:pt>
                <c:pt idx="2">
                  <c:v>129.65</c:v>
                </c:pt>
                <c:pt idx="3">
                  <c:v>129.65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135.4</c:v>
                </c:pt>
                <c:pt idx="1">
                  <c:v>135.4</c:v>
                </c:pt>
                <c:pt idx="2">
                  <c:v>135.4</c:v>
                </c:pt>
                <c:pt idx="3">
                  <c:v>135.4</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42</Pages>
  <Words>380</Words>
  <Characters>397</Characters>
  <Lines>86</Lines>
  <Paragraphs>24</Paragraphs>
  <TotalTime>8</TotalTime>
  <ScaleCrop>false</ScaleCrop>
  <LinksUpToDate>false</LinksUpToDate>
  <CharactersWithSpaces>401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2026-08-28T09:14:00Z</cp:lastPrinted>
  <dcterms:modified xsi:type="dcterms:W3CDTF">2026-09-02T08:35:22Z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F70D84EA4EA8432A9D55CBBEA6EAED65</vt:lpwstr>
  </property>
  <property fmtid="{D5CDD505-2E9C-101B-9397-08002B2CF9AE}" pid="4" name="KSOTemplateUUID">
    <vt:lpwstr>v1.0_mb_S7ajbG3IpAnL1wSthNCxfw==</vt:lpwstr>
  </property>
  <property fmtid="{D5CDD505-2E9C-101B-9397-08002B2CF9AE}" pid="5" name="KSOTemplateDocerSaveRecord">
    <vt:lpwstr>eyJoZGlkIjoiNDA1MDcxYWZjZTk1MmVhY2M2Nzc0YzFmN2IyODc1ZDgiLCJ1c2VySWQiOiIzNzA2MzM5NjQifQ==</vt:lpwstr>
  </property>
</Properties>
</file>