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石家庄市城区道路连接线管护中心</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348022</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石家庄市城区道路连接线管护中心</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val="en-US"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石家庄市城区道路连接线管护中心</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主要职责是负责为三环路以外城区道路连接线设施的建设、管护等工作提供技术支持，承担城区周边国省干线公路过境交通疏解项目建设等相关事务性工作，依法依规承担市交通局交办的工作任务。</w:t>
      </w: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石家庄市城区道路连接线管护中心</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单位：石家庄市城区道路连接线管护中心</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单位：石家庄市城区道路连接线管护中心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2,349.20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2,349.20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公路养护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1,984.23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1,984.23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单位：石家庄市城区道路连接线管护中心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2,059.40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2,059.40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2,059.40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1,984.23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1,984.23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单位：石家庄市城区道路连接线管护中心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2,349.20</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单位：石家庄市城区道路连接线管护中心</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2,349.20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2,059.40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2,059.40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1,984.23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1,984.23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单位：石家庄市城区道路连接线管护中心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278.32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21.84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20.39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278.32</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单位：石家庄市城区道路连接线管护中心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单位：石家庄市城区道路连接线管护中心</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单位：石家庄市城区道路连接线管护中心</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0.51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ascii="Times New Roman" w:eastAsia="仿宋_GB2312"/>
          <w:b w:val="0"/>
          <w:sz w:val="32"/>
          <w:szCs w:val="32"/>
        </w:rPr>
        <w:t>本单位2025年度收、支总计（含结转和结余）均为2,349.20万元。与2024年度决算相比，收支各增加2,349.20万元，增长100.00%，主要原因是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我单位为新成立单位，无2024年度决算数据。</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本单位2025年度本年收入合计2,349.20万元，其中：财政拨款收入2,349.20万元，占100.0%</w:t>
      </w:r>
      <w:bookmarkStart w:id="0" w:name="_GoBack"/>
      <w:bookmarkEnd w:id="0"/>
      <w:r>
        <w:rPr>
          <w:rFonts w:ascii="Times New Roman" w:eastAsia="仿宋_GB2312"/>
          <w:b w:val="0"/>
          <w:sz w:val="32"/>
          <w:szCs w:val="32"/>
        </w:rPr>
        <w:t>；上级补助收入0.00万元，占0.0%；事业收入0.00万元，占0.0%；经营收入0.00万元，占0.0%；附属单位上缴收入0.00万元，占0.0%；其他收入0.00万元，占0.0%。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本单位2025年度本年支出合计2,349.20万元，其中：基本支出289.80万元，占12.3%；项目支出2,059.40万元，占87.7%；经营支出0.00万元，占0.0%；上缴上级支出0.00万元，占0.0%；对附属单位补助支出0.00万元，占0.0%。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本单位2025年度财政拨款收、支总计（含结转和结余）均为2,349.20万元。与2024年度相比，财政拨款收支各增加2,349.20万元，增长100.00%，主要原因是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我单位为新成立单位，无2024年度决算数据。</w:t>
      </w:r>
    </w:p>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ascii="Times New Roman" w:eastAsia="仿宋_GB2312"/>
          <w:b w:val="0"/>
          <w:sz w:val="32"/>
          <w:szCs w:val="32"/>
        </w:rPr>
        <w:t>本单位2025年度财政拨款本年收入2,349.20万元,比上年增加2,349.20万元，增长100.00%，主要原因是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本年支出2,349.20万元，比上年增加2,349.20万元，增长100.00%，主要原因是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我单位为新成立单位，无2024年度决算数据。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一般公共预算财政拨款本年收入2,349.20万元,比上年增加2,349.20万元，增长100.00%，主要原因是；本年支出2,349.20万元，比上年增加2,349.20万元，增长100.00%，主要原因是</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；本年支出0.00万元，比上年增加0.00万元，增长0.00%，</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；本年支出0.00万元，比上年增加0.00万元，增长0.00%，</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本单位2025年度财政拨款本年收入2,349.20万元，完成年初预算的86.7%，比年初预算减少360.93万元，决算数小于预算数</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城区道路连接线维护费项目支出减少，相应调减预算</w:t>
      </w:r>
      <w:r>
        <w:rPr>
          <w:rFonts w:ascii="Times New Roman" w:eastAsia="仿宋_GB2312"/>
          <w:b w:val="0"/>
          <w:sz w:val="32"/>
          <w:szCs w:val="32"/>
        </w:rPr>
        <w:t>；本年支出2,349.20万元，完成年初预算的86.7%，比年初预算减少360.93万元，决算数小于预算数主要原因是</w:t>
      </w:r>
      <w:r>
        <w:rPr>
          <w:rFonts w:hint="eastAsia" w:ascii="Times New Roman" w:eastAsia="仿宋_GB2312"/>
          <w:b w:val="0"/>
          <w:sz w:val="32"/>
          <w:szCs w:val="32"/>
          <w:lang w:val="en-US" w:eastAsia="zh-CN"/>
        </w:rPr>
        <w:t>项目评审未完成，结转到第二年部分资金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一般公共预算财政拨款本年收入完成年初预算的86.7%，比年初预算减少360.93万元，主要原因是</w:t>
      </w:r>
      <w:r>
        <w:rPr>
          <w:rFonts w:hint="eastAsia" w:ascii="Times New Roman" w:eastAsia="仿宋_GB2312"/>
          <w:b w:val="0"/>
          <w:sz w:val="32"/>
          <w:szCs w:val="32"/>
          <w:lang w:val="en-US" w:eastAsia="zh-CN"/>
        </w:rPr>
        <w:t>城区道路连接线维护费项目支出减少，相应调减预算</w:t>
      </w:r>
      <w:r>
        <w:rPr>
          <w:rFonts w:ascii="Times New Roman" w:eastAsia="仿宋_GB2312"/>
          <w:b w:val="0"/>
          <w:sz w:val="32"/>
          <w:szCs w:val="32"/>
        </w:rPr>
        <w:t>；支出完成年初预算的86.7%，比年初预算减少360.93万元，主要原因是</w:t>
      </w:r>
      <w:r>
        <w:rPr>
          <w:rFonts w:hint="eastAsia" w:ascii="Times New Roman" w:eastAsia="仿宋_GB2312"/>
          <w:b w:val="0"/>
          <w:sz w:val="32"/>
          <w:szCs w:val="32"/>
          <w:lang w:val="en-US" w:eastAsia="zh-CN"/>
        </w:rPr>
        <w:t>项目评审未完成，结转到第二年部分资金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w:t>
      </w:r>
      <w:r>
        <w:rPr>
          <w:rFonts w:hint="eastAsia" w:ascii="Times New Roman" w:eastAsia="仿宋_GB2312"/>
          <w:b w:val="0"/>
          <w:sz w:val="32"/>
          <w:szCs w:val="32"/>
          <w:lang w:val="en-US" w:eastAsia="zh-CN"/>
        </w:rPr>
        <w:t>与预算持平</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与预算持平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w:t>
      </w:r>
      <w:r>
        <w:rPr>
          <w:rFonts w:hint="eastAsia" w:ascii="Times New Roman" w:eastAsia="仿宋_GB2312"/>
          <w:b w:val="0"/>
          <w:sz w:val="32"/>
          <w:szCs w:val="32"/>
          <w:lang w:val="en-US" w:eastAsia="zh-CN"/>
        </w:rPr>
        <w:t>与预算持平</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与预算持平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2025年度财政拨款支出2,349.20万元，主要用于以下方面：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（类）支出22.18万元，占0.9%，主要用于</w:t>
      </w:r>
      <w:r>
        <w:rPr>
          <w:rFonts w:hint="eastAsia" w:ascii="Times New Roman" w:eastAsia="仿宋_GB2312"/>
          <w:b w:val="0"/>
          <w:sz w:val="32"/>
          <w:szCs w:val="32"/>
        </w:rPr>
        <w:t>在职人员养老保险、失业保险、工伤保险</w:t>
      </w:r>
      <w:r>
        <w:rPr>
          <w:rFonts w:ascii="Times New Roman" w:eastAsia="仿宋_GB2312"/>
          <w:b w:val="0"/>
          <w:sz w:val="32"/>
          <w:szCs w:val="32"/>
        </w:rPr>
        <w:t>等支出；卫生健康（类）支出13.92万元，占0.6%，主要用于</w:t>
      </w:r>
      <w:r>
        <w:rPr>
          <w:rFonts w:hint="eastAsia" w:ascii="Times New Roman" w:eastAsia="仿宋_GB2312"/>
          <w:b w:val="0"/>
          <w:sz w:val="32"/>
          <w:szCs w:val="32"/>
        </w:rPr>
        <w:t>在职人员医疗保险</w:t>
      </w:r>
      <w:r>
        <w:rPr>
          <w:rFonts w:ascii="Times New Roman" w:eastAsia="仿宋_GB2312"/>
          <w:b w:val="0"/>
          <w:sz w:val="32"/>
          <w:szCs w:val="32"/>
        </w:rPr>
        <w:t>等支出；节能环保（类）支出0.00万元，占0.0%；城乡社区（类）支出0.00万元，占0.0%；农林水（类）支出0.00万元，占0.0%；交通运输（类）支出2,292.70万元，占97.6%，主要用于</w:t>
      </w:r>
      <w:r>
        <w:rPr>
          <w:rFonts w:hint="eastAsia" w:ascii="Times New Roman" w:eastAsia="仿宋_GB2312"/>
          <w:b w:val="0"/>
          <w:sz w:val="32"/>
          <w:szCs w:val="32"/>
          <w:lang w:val="en-US" w:eastAsia="zh-CN"/>
        </w:rPr>
        <w:t>交通领域专项项目</w:t>
      </w:r>
      <w:r>
        <w:rPr>
          <w:rFonts w:ascii="Times New Roman" w:eastAsia="仿宋_GB2312"/>
          <w:b w:val="0"/>
          <w:sz w:val="32"/>
          <w:szCs w:val="32"/>
        </w:rPr>
        <w:t>等支出；资源勘探信息等（类）支出0.00万元，占0.0%；商业服务业等（类）支出0.00万元，占0.0%</w:t>
      </w:r>
      <w:r>
        <w:rPr>
          <w:rFonts w:hint="eastAsia" w:ascii="Times New Roman" w:eastAsia="仿宋_GB2312"/>
          <w:b w:val="0"/>
          <w:sz w:val="32"/>
          <w:szCs w:val="32"/>
          <w:lang w:eastAsia="zh-CN"/>
        </w:rPr>
        <w:t>；</w:t>
      </w:r>
      <w:r>
        <w:rPr>
          <w:rFonts w:ascii="Times New Roman" w:eastAsia="仿宋_GB2312"/>
          <w:b w:val="0"/>
          <w:sz w:val="32"/>
          <w:szCs w:val="32"/>
        </w:rPr>
        <w:t>金融（类）支出0.00万元，占0.0%；援助其他地区（类）支出0.00万元，占0.0%；自然资源海洋气象等（类）支出0.00万元，占0.0%；住房保障（类）支出20.39万元，占0.9%，主要用于</w:t>
      </w:r>
      <w:r>
        <w:rPr>
          <w:rFonts w:hint="eastAsia" w:ascii="Times New Roman" w:eastAsia="仿宋_GB2312"/>
          <w:b w:val="0"/>
          <w:sz w:val="32"/>
          <w:szCs w:val="32"/>
        </w:rPr>
        <w:t>在职人员住房公积金</w:t>
      </w:r>
      <w:r>
        <w:rPr>
          <w:rFonts w:ascii="Times New Roman" w:eastAsia="仿宋_GB2312"/>
          <w:b w:val="0"/>
          <w:sz w:val="32"/>
          <w:szCs w:val="32"/>
        </w:rPr>
        <w:t>等支出；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default"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本单位无</w:t>
      </w:r>
      <w:r>
        <w:rPr>
          <w:rFonts w:ascii="Times New Roman" w:eastAsia="仿宋_GB2312" w:cs="宋体"/>
          <w:b w:val="0"/>
          <w:sz w:val="32"/>
          <w:szCs w:val="32"/>
        </w:rPr>
        <w:t>政府性基金预算财政拨款</w:t>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本单位无国有资本经营预算财政拨款支出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2025年度财政拨款基本支出289.80万元，其中：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人员经费278.32万元，主要包括基本工资、津贴补贴、绩效工资、机关事业部门基本养老保险缴费、职工基本医疗保险缴费、住房公积金、其他社会保障缴费、其他工资福利支出。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公用经费11.48万元，主要包括办公费、</w:t>
      </w:r>
      <w:r>
        <w:rPr>
          <w:rFonts w:hint="eastAsia" w:ascii="Times New Roman" w:eastAsia="仿宋_GB2312"/>
          <w:b w:val="0"/>
          <w:sz w:val="32"/>
          <w:szCs w:val="32"/>
          <w:lang w:val="en-US" w:eastAsia="zh-CN"/>
        </w:rPr>
        <w:t>印刷费、</w:t>
      </w:r>
      <w:r>
        <w:rPr>
          <w:rFonts w:ascii="Times New Roman" w:eastAsia="仿宋_GB2312"/>
          <w:b w:val="0"/>
          <w:sz w:val="32"/>
          <w:szCs w:val="32"/>
        </w:rPr>
        <w:t>水费、电费、差旅费、工会经费、福利费、公务用车运行维护费</w:t>
      </w:r>
      <w:r>
        <w:rPr>
          <w:rFonts w:hint="eastAsia" w:ascii="Times New Roman" w:eastAsia="仿宋_GB2312"/>
          <w:b w:val="0"/>
          <w:sz w:val="32"/>
          <w:szCs w:val="32"/>
          <w:lang w:eastAsia="zh-CN"/>
        </w:rPr>
        <w:t>、</w:t>
      </w:r>
      <w:r>
        <w:rPr>
          <w:rFonts w:ascii="Times New Roman" w:eastAsia="仿宋_GB2312"/>
          <w:b w:val="0"/>
          <w:sz w:val="32"/>
          <w:szCs w:val="32"/>
        </w:rPr>
        <w:t>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本单位2025年度“三公”经费财政拨款支出预算为0.51万元，支出决算为0.51万元，完成预算的100.0%，较预算增加0.00万元，增长0.0%</w:t>
      </w:r>
      <w:r>
        <w:rPr>
          <w:rFonts w:hint="eastAsia" w:ascii="Times New Roman" w:eastAsia="仿宋_GB2312"/>
          <w:b w:val="0"/>
          <w:sz w:val="32"/>
          <w:szCs w:val="32"/>
          <w:lang w:eastAsia="zh-CN"/>
        </w:rPr>
        <w:t>，</w:t>
      </w:r>
      <w:r>
        <w:rPr>
          <w:rFonts w:hint="eastAsia" w:ascii="Times New Roman" w:eastAsia="仿宋_GB2312" w:cs="宋体"/>
          <w:b w:val="0"/>
          <w:sz w:val="32"/>
          <w:szCs w:val="32"/>
        </w:rPr>
        <w:t>较预算持平</w:t>
      </w:r>
      <w:r>
        <w:rPr>
          <w:rFonts w:hint="eastAsia" w:ascii="Times New Roman" w:eastAsia="仿宋_GB2312" w:cs="宋体"/>
          <w:b w:val="0"/>
          <w:sz w:val="32"/>
          <w:szCs w:val="32"/>
          <w:lang w:eastAsia="zh-CN"/>
        </w:rPr>
        <w:t>；</w:t>
      </w:r>
      <w:r>
        <w:rPr>
          <w:rFonts w:ascii="Times New Roman" w:eastAsia="仿宋_GB2312"/>
          <w:b w:val="0"/>
          <w:sz w:val="32"/>
          <w:szCs w:val="32"/>
        </w:rPr>
        <w:t>较2024年度决算增加0.51万元，增长100.00%，主要原因是</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w:t>
      </w:r>
      <w:r>
        <w:rPr>
          <w:rFonts w:hint="eastAsia" w:ascii="Times New Roman" w:eastAsia="仿宋_GB2312" w:cs="宋体"/>
          <w:b w:val="0"/>
          <w:sz w:val="32"/>
          <w:szCs w:val="32"/>
        </w:rPr>
        <w:t>较预算持平</w:t>
      </w:r>
      <w:r>
        <w:rPr>
          <w:rFonts w:ascii="Times New Roman" w:eastAsia="仿宋_GB2312"/>
          <w:b w:val="0"/>
          <w:sz w:val="32"/>
          <w:szCs w:val="32"/>
        </w:rPr>
        <w:t>；较上年增加0.00万元，增长0.00%,</w:t>
      </w:r>
      <w:r>
        <w:rPr>
          <w:rFonts w:hint="eastAsia" w:ascii="Times New Roman" w:eastAsia="仿宋_GB2312"/>
          <w:b w:val="0"/>
          <w:sz w:val="32"/>
          <w:szCs w:val="32"/>
          <w:lang w:val="en-US" w:eastAsia="zh-CN"/>
        </w:rPr>
        <w:t>较上年持平</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本单位2025年度公务用车购置及运行维护费预算为0.51万元，支出决算0.51万元，完成预算的100.0%,较预算增加0.00万元，增长0.0%,</w:t>
      </w:r>
      <w:r>
        <w:rPr>
          <w:rFonts w:hint="eastAsia" w:ascii="Times New Roman" w:eastAsia="仿宋_GB2312" w:cs="宋体"/>
          <w:b w:val="0"/>
          <w:sz w:val="32"/>
          <w:szCs w:val="32"/>
        </w:rPr>
        <w:t>较预算持平</w:t>
      </w:r>
      <w:r>
        <w:rPr>
          <w:rFonts w:hint="eastAsia" w:ascii="Times New Roman" w:eastAsia="仿宋_GB2312" w:cs="宋体"/>
          <w:b w:val="0"/>
          <w:sz w:val="32"/>
          <w:szCs w:val="32"/>
          <w:lang w:eastAsia="zh-CN"/>
        </w:rPr>
        <w:t>；</w:t>
      </w:r>
      <w:r>
        <w:rPr>
          <w:rFonts w:ascii="Times New Roman" w:eastAsia="仿宋_GB2312"/>
          <w:b w:val="0"/>
          <w:sz w:val="32"/>
          <w:szCs w:val="32"/>
        </w:rPr>
        <w:t>较上年增加0.51万元，增长100.00%,主要原因是</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w:t>
      </w:r>
      <w:r>
        <w:rPr>
          <w:rFonts w:hint="eastAsia" w:ascii="Times New Roman" w:eastAsia="仿宋_GB2312"/>
          <w:b w:val="0"/>
          <w:sz w:val="32"/>
          <w:szCs w:val="32"/>
          <w:lang w:val="en-US" w:eastAsia="zh-CN"/>
        </w:rPr>
        <w:t>较预算持平</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公务用车运行维护费支出0.51万元：</w:t>
      </w:r>
      <w:r>
        <w:rPr>
          <w:rFonts w:ascii="Times New Roman" w:eastAsia="仿宋_GB2312"/>
          <w:b w:val="0"/>
          <w:sz w:val="32"/>
          <w:szCs w:val="32"/>
        </w:rPr>
        <w:t>本单位2025年度单位公务用车保有量2辆，发生运行维护费支出0.51万元。公车运行维护费支出较预算增加0.00万元，增长0.0%,</w:t>
      </w:r>
      <w:r>
        <w:rPr>
          <w:rFonts w:hint="eastAsia" w:ascii="Times New Roman" w:eastAsia="仿宋_GB2312"/>
          <w:b w:val="0"/>
          <w:sz w:val="32"/>
          <w:szCs w:val="32"/>
          <w:lang w:val="en-US" w:eastAsia="zh-CN"/>
        </w:rPr>
        <w:t>较预算持平</w:t>
      </w:r>
      <w:r>
        <w:rPr>
          <w:rFonts w:ascii="Times New Roman" w:eastAsia="仿宋_GB2312"/>
          <w:b w:val="0"/>
          <w:sz w:val="32"/>
          <w:szCs w:val="32"/>
        </w:rPr>
        <w:t>；较上年增加0.51万元，增长100.00%，主要原因是</w:t>
      </w:r>
      <w:r>
        <w:rPr>
          <w:rFonts w:hint="eastAsia" w:ascii="Times New Roman" w:eastAsia="仿宋_GB2312"/>
          <w:b w:val="0"/>
          <w:sz w:val="32"/>
          <w:szCs w:val="32"/>
          <w:lang w:val="en-US" w:eastAsia="zh-CN"/>
        </w:rPr>
        <w:t>我单位为新成立单位，无2024年度决算数据</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hint="eastAsia" w:ascii="Times New Roman" w:eastAsia="仿宋_GB2312" w:cs="宋体"/>
          <w:b w:val="0"/>
          <w:sz w:val="32"/>
          <w:szCs w:val="32"/>
        </w:rPr>
      </w:pPr>
      <w:r>
        <w:rPr>
          <w:rFonts w:ascii="Times New Roman" w:eastAsia="楷体_GB2312"/>
          <w:b/>
          <w:sz w:val="32"/>
          <w:szCs w:val="32"/>
        </w:rPr>
        <w:t>3.公务接待费支出情况。</w:t>
      </w:r>
      <w:r>
        <w:rPr>
          <w:rFonts w:hint="eastAsia" w:ascii="Times New Roman" w:eastAsia="仿宋_GB2312" w:cs="宋体"/>
          <w:b w:val="0"/>
          <w:sz w:val="32"/>
          <w:szCs w:val="32"/>
        </w:rPr>
        <w:t>本单位2025年度公务接待费支出预算为0万元，支出决算0万元，完成预算的0%。公务接待费支出较预算增加0万元，增长0%</w:t>
      </w:r>
      <w:r>
        <w:rPr>
          <w:rFonts w:hint="eastAsia" w:ascii="Times New Roman" w:eastAsia="仿宋_GB2312" w:cs="宋体"/>
          <w:b w:val="0"/>
          <w:sz w:val="32"/>
          <w:szCs w:val="32"/>
          <w:lang w:eastAsia="zh-CN"/>
        </w:rPr>
        <w:t>，</w:t>
      </w:r>
      <w:r>
        <w:rPr>
          <w:rFonts w:hint="eastAsia" w:ascii="Times New Roman" w:eastAsia="仿宋_GB2312" w:cs="宋体"/>
          <w:b w:val="0"/>
          <w:sz w:val="32"/>
          <w:szCs w:val="32"/>
        </w:rPr>
        <w:t>较预算持平；较上年度增加0万元，增长0%</w:t>
      </w:r>
      <w:r>
        <w:rPr>
          <w:rFonts w:hint="eastAsia" w:ascii="Times New Roman" w:eastAsia="仿宋_GB2312" w:cs="宋体"/>
          <w:b w:val="0"/>
          <w:sz w:val="32"/>
          <w:szCs w:val="32"/>
          <w:lang w:eastAsia="zh-CN"/>
        </w:rPr>
        <w:t>，</w:t>
      </w:r>
      <w:r>
        <w:rPr>
          <w:rFonts w:hint="eastAsia" w:ascii="Times New Roman" w:eastAsia="仿宋_GB2312" w:cs="宋体"/>
          <w:b w:val="0"/>
          <w:sz w:val="32"/>
          <w:szCs w:val="32"/>
        </w:rPr>
        <w:t>较上年度持平。本年度共发生公务接待0批次、0人次。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w:t>
      </w:r>
      <w:r>
        <w:rPr>
          <w:rFonts w:hint="eastAsia" w:ascii="Times New Roman" w:eastAsia="仿宋_GB2312"/>
          <w:b w:val="0"/>
          <w:sz w:val="32"/>
          <w:szCs w:val="32"/>
        </w:rPr>
        <w:t>较上年度持平。</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146.27万元，从采购类型来看，政府采购货物支出41.46万元、政府采购工程支出0.00万元、政府采购服务支出104.81万元。授予中小企业合同金额146.27万元，占政府采购支出总额的100.0%，其中授予小微企业合同金额146.27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截至2025年12月31日，本单位共有车辆2辆，比上年增加2辆，主要是</w:t>
      </w:r>
      <w:r>
        <w:rPr>
          <w:rFonts w:hint="eastAsia" w:ascii="Times New Roman" w:eastAsia="仿宋_GB2312"/>
          <w:b w:val="0"/>
          <w:sz w:val="32"/>
          <w:szCs w:val="32"/>
          <w:lang w:val="en-US" w:eastAsia="zh-CN"/>
        </w:rPr>
        <w:t>我单位为新成立单位，因工作需要调拨两辆公车</w:t>
      </w:r>
      <w:r>
        <w:rPr>
          <w:rFonts w:ascii="Times New Roman" w:eastAsia="仿宋_GB2312"/>
          <w:b w:val="0"/>
          <w:sz w:val="32"/>
          <w:szCs w:val="32"/>
        </w:rPr>
        <w:t>。其中，副部（省）级及以上领导用车0辆，主要负责人用车0辆，机要通信用车2辆，应急保障用车0辆，执法执勤用车0辆，特种专业技术用车0辆，离退休干部用车0辆，其他用车0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2059.4</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2059.4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w:t>
      </w:r>
    </w:p>
    <w:p>
      <w:pPr>
        <w:widowControl/>
        <w:spacing w:before="0" w:beforeLines="0" w:beforeAutospacing="0" w:after="0" w:afterLines="0" w:afterAutospacing="0" w:line="360" w:lineRule="auto"/>
        <w:ind w:firstLine="640" w:firstLineChars="200"/>
        <w:jc w:val="left"/>
        <w:rPr>
          <w:rFonts w:hint="default"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本单位无部门重点评价项目。</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本单位组织自评的</w:t>
      </w:r>
      <w:r>
        <w:rPr>
          <w:rFonts w:hint="eastAsia" w:ascii="Times New Roman" w:eastAsia="仿宋_GB2312" w:cs="宋体"/>
          <w:b w:val="0"/>
          <w:sz w:val="32"/>
          <w:szCs w:val="32"/>
          <w:lang w:val="en-US" w:eastAsia="zh-CN"/>
        </w:rPr>
        <w:t>3</w:t>
      </w:r>
      <w:r>
        <w:rPr>
          <w:rFonts w:hint="eastAsia" w:ascii="Times New Roman" w:eastAsia="仿宋_GB2312" w:cs="宋体"/>
          <w:b w:val="0"/>
          <w:sz w:val="32"/>
          <w:szCs w:val="32"/>
        </w:rPr>
        <w:t>个市本级预算项目中，自评得分100 分的</w:t>
      </w:r>
      <w:r>
        <w:rPr>
          <w:rFonts w:hint="eastAsia" w:ascii="Times New Roman" w:eastAsia="仿宋_GB2312" w:cs="宋体"/>
          <w:b w:val="0"/>
          <w:sz w:val="32"/>
          <w:szCs w:val="32"/>
          <w:lang w:val="en-US" w:eastAsia="zh-CN"/>
        </w:rPr>
        <w:t>2</w:t>
      </w:r>
      <w:r>
        <w:rPr>
          <w:rFonts w:hint="eastAsia" w:ascii="Times New Roman" w:eastAsia="仿宋_GB2312" w:cs="宋体"/>
          <w:b w:val="0"/>
          <w:sz w:val="32"/>
          <w:szCs w:val="32"/>
        </w:rPr>
        <w:t>个，90分以上的</w:t>
      </w:r>
      <w:r>
        <w:rPr>
          <w:rFonts w:hint="eastAsia" w:ascii="Times New Roman" w:eastAsia="仿宋_GB2312" w:cs="宋体"/>
          <w:b w:val="0"/>
          <w:sz w:val="32"/>
          <w:szCs w:val="32"/>
          <w:lang w:val="en-US" w:eastAsia="zh-CN"/>
        </w:rPr>
        <w:t>1</w:t>
      </w:r>
      <w:r>
        <w:rPr>
          <w:rFonts w:hint="eastAsia" w:ascii="Times New Roman" w:eastAsia="仿宋_GB2312" w:cs="宋体"/>
          <w:b w:val="0"/>
          <w:sz w:val="32"/>
          <w:szCs w:val="32"/>
        </w:rPr>
        <w:t>个</w:t>
      </w:r>
      <w:r>
        <w:rPr>
          <w:rFonts w:hint="eastAsia" w:ascii="Times New Roman" w:eastAsia="仿宋_GB2312" w:cs="宋体"/>
          <w:b w:val="0"/>
          <w:sz w:val="32"/>
          <w:szCs w:val="32"/>
          <w:lang w:eastAsia="zh-CN"/>
        </w:rPr>
        <w:t>，</w:t>
      </w:r>
      <w:r>
        <w:rPr>
          <w:rFonts w:hint="eastAsia" w:ascii="Times New Roman" w:eastAsia="仿宋_GB2312" w:cs="宋体"/>
          <w:b w:val="0"/>
          <w:sz w:val="32"/>
          <w:szCs w:val="32"/>
        </w:rPr>
        <w:t>平均得分</w:t>
      </w:r>
      <w:r>
        <w:rPr>
          <w:rFonts w:hint="eastAsia" w:ascii="Times New Roman" w:eastAsia="仿宋_GB2312" w:cs="宋体"/>
          <w:b w:val="0"/>
          <w:sz w:val="32"/>
          <w:szCs w:val="32"/>
          <w:lang w:val="en-US" w:eastAsia="zh-CN"/>
        </w:rPr>
        <w:t>99.23</w:t>
      </w:r>
      <w:r>
        <w:rPr>
          <w:rFonts w:hint="eastAsia" w:ascii="Times New Roman" w:eastAsia="仿宋_GB2312" w:cs="宋体"/>
          <w:b w:val="0"/>
          <w:sz w:val="32"/>
          <w:szCs w:val="32"/>
        </w:rPr>
        <w:t>分。本单位在今年决算公开中反映党组织活动经费等</w:t>
      </w:r>
      <w:r>
        <w:rPr>
          <w:rFonts w:hint="eastAsia" w:ascii="Times New Roman" w:eastAsia="仿宋_GB2312" w:cs="宋体"/>
          <w:b w:val="0"/>
          <w:sz w:val="32"/>
          <w:szCs w:val="32"/>
          <w:lang w:val="en-US" w:eastAsia="zh-CN"/>
        </w:rPr>
        <w:t>3</w:t>
      </w:r>
      <w:r>
        <w:rPr>
          <w:rFonts w:hint="eastAsia" w:ascii="Times New Roman" w:eastAsia="仿宋_GB2312" w:cs="宋体"/>
          <w:b w:val="0"/>
          <w:sz w:val="32"/>
          <w:szCs w:val="32"/>
        </w:rPr>
        <w:t xml:space="preserve">个项目绩效自评结果。 </w:t>
      </w:r>
    </w:p>
    <w:p>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党组织活动经费项目绩效自评情况：根据年初设定的绩效目标，党组织活动经费项目绩效自评得分为100分（绩效自评表附后）。全年预算数为</w:t>
      </w:r>
      <w:r>
        <w:rPr>
          <w:rFonts w:hint="eastAsia" w:ascii="Times New Roman" w:eastAsia="仿宋_GB2312" w:cs="宋体"/>
          <w:b w:val="0"/>
          <w:sz w:val="32"/>
          <w:szCs w:val="32"/>
          <w:lang w:val="en-US" w:eastAsia="zh-CN"/>
        </w:rPr>
        <w:t>0.23</w:t>
      </w:r>
      <w:r>
        <w:rPr>
          <w:rFonts w:hint="eastAsia" w:ascii="Times New Roman" w:eastAsia="仿宋_GB2312" w:cs="宋体"/>
          <w:b w:val="0"/>
          <w:sz w:val="32"/>
          <w:szCs w:val="32"/>
        </w:rPr>
        <w:t>万元，执行数为</w:t>
      </w:r>
      <w:r>
        <w:rPr>
          <w:rFonts w:hint="eastAsia" w:ascii="Times New Roman" w:eastAsia="仿宋_GB2312" w:cs="宋体"/>
          <w:b w:val="0"/>
          <w:sz w:val="32"/>
          <w:szCs w:val="32"/>
          <w:lang w:val="en-US" w:eastAsia="zh-CN"/>
        </w:rPr>
        <w:t>0.23</w:t>
      </w:r>
      <w:r>
        <w:rPr>
          <w:rFonts w:hint="eastAsia" w:ascii="Times New Roman" w:eastAsia="仿宋_GB2312" w:cs="宋体"/>
          <w:b w:val="0"/>
          <w:sz w:val="32"/>
          <w:szCs w:val="32"/>
        </w:rPr>
        <w:t>万元，完成预算的</w:t>
      </w:r>
      <w:r>
        <w:rPr>
          <w:rFonts w:hint="eastAsia" w:ascii="Times New Roman" w:eastAsia="仿宋_GB2312" w:cs="宋体"/>
          <w:b w:val="0"/>
          <w:sz w:val="32"/>
          <w:szCs w:val="32"/>
          <w:lang w:val="en-US" w:eastAsia="zh-CN"/>
        </w:rPr>
        <w:t>100</w:t>
      </w:r>
      <w:r>
        <w:rPr>
          <w:rFonts w:hint="eastAsia" w:ascii="Times New Roman" w:eastAsia="仿宋_GB2312" w:cs="宋体"/>
          <w:b w:val="0"/>
          <w:sz w:val="32"/>
          <w:szCs w:val="32"/>
        </w:rPr>
        <w:t>%。通过项目实施，完成了年初设定的各项绩效目标，广大党员受到了教育，提高了党员政治素质。同时组织了</w:t>
      </w:r>
      <w:r>
        <w:rPr>
          <w:rFonts w:hint="eastAsia" w:ascii="Times New Roman" w:eastAsia="仿宋_GB2312" w:cs="宋体"/>
          <w:b w:val="0"/>
          <w:sz w:val="32"/>
          <w:szCs w:val="32"/>
          <w:lang w:val="en-US" w:eastAsia="zh-CN"/>
        </w:rPr>
        <w:t>党员读书会</w:t>
      </w:r>
      <w:r>
        <w:rPr>
          <w:rFonts w:hint="eastAsia" w:ascii="Times New Roman" w:eastAsia="仿宋_GB2312" w:cs="宋体"/>
          <w:b w:val="0"/>
          <w:sz w:val="32"/>
          <w:szCs w:val="32"/>
        </w:rPr>
        <w:t xml:space="preserve">活动，提高了党组织战斗堡垒凝聚力。未发现问题。 </w:t>
      </w:r>
    </w:p>
    <w:p>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lang w:val="en-US" w:eastAsia="zh-CN"/>
        </w:rPr>
        <w:t>开办费项目绩效自评情况：根据年初设定的绩效目标，开办费项目绩效自评得分为100分（绩效自评表附后）。全年预算数为74.94万元，执行数为74.94万元，完成预算的100%。通过各办公家具的购买及办公场所的维修，完成了年初设定的各项绩效目标，保证了单位正常运行。未发现问题。</w:t>
      </w:r>
    </w:p>
    <w:p>
      <w:pPr>
        <w:numPr>
          <w:ilvl w:val="0"/>
          <w:numId w:val="2"/>
        </w:numPr>
        <w:adjustRightInd w:val="0"/>
        <w:snapToGrid w:val="0"/>
        <w:spacing w:line="560" w:lineRule="exact"/>
        <w:ind w:left="0" w:leftChars="0" w:firstLine="640" w:firstLineChars="200"/>
        <w:rPr>
          <w:rFonts w:hint="default"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城区道路连接线2025年度养护费项目自评情况：根据年初设定的绩效目标，城区道路连接线2025年度养护费项目绩效自评得分为97.7分（绩效自评表附后）。全年预算数为2574.63万元，执行数为1984.23万元，完成预算的77.07</w:t>
      </w:r>
      <w:r>
        <w:rPr>
          <w:rFonts w:hint="default" w:ascii="Times New Roman" w:eastAsia="仿宋_GB2312" w:cs="宋体"/>
          <w:b w:val="0"/>
          <w:sz w:val="32"/>
          <w:szCs w:val="32"/>
          <w:lang w:val="en-US" w:eastAsia="zh-CN"/>
        </w:rPr>
        <w:t>%</w:t>
      </w:r>
      <w:r>
        <w:rPr>
          <w:rFonts w:hint="eastAsia" w:ascii="Times New Roman" w:eastAsia="仿宋_GB2312" w:cs="宋体"/>
          <w:b w:val="0"/>
          <w:sz w:val="32"/>
          <w:szCs w:val="32"/>
          <w:lang w:val="en-US" w:eastAsia="zh-CN"/>
        </w:rPr>
        <w:t>。通过项目实施，完成了年初设定的各项绩效目标，我中心完成南绕城高速连接线、西柏坡高速连接线、张石高速连接线、平赞连接线、青银连接线等9条道路的日常养护工作，养护里程共44.9057公里。保障了道路的正常通行，提供了良好的道路交通环境。群众出行方便，受益人员满意度达到90%以上。未发现问题。</w:t>
      </w: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pPr>
        <w:widowControl/>
        <w:numPr>
          <w:ilvl w:val="0"/>
          <w:numId w:val="3"/>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rPr>
        <w:t>党组织活动经费</w:t>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eastAsia="zh-CN"/>
        </w:rPr>
        <w:drawing>
          <wp:inline distT="0" distB="0" distL="114300" distR="114300">
            <wp:extent cx="5470525" cy="6878320"/>
            <wp:effectExtent l="0" t="0" r="0" b="0"/>
            <wp:docPr id="6" name="图片 6" descr="连接线-附件2：部门预算项目绩效自评表(1)(3)_党组织活动经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连接线-附件2：部门预算项目绩效自评表(1)(3)_党组织活动经费"/>
                    <pic:cNvPicPr>
                      <a:picLocks noChangeAspect="1"/>
                    </pic:cNvPicPr>
                  </pic:nvPicPr>
                  <pic:blipFill>
                    <a:blip r:embed="rId19"/>
                    <a:srcRect l="174" t="2730"/>
                    <a:stretch>
                      <a:fillRect/>
                    </a:stretch>
                  </pic:blipFill>
                  <pic:spPr>
                    <a:xfrm>
                      <a:off x="0" y="0"/>
                      <a:ext cx="5470525" cy="6878320"/>
                    </a:xfrm>
                    <a:prstGeom prst="rect">
                      <a:avLst/>
                    </a:prstGeom>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eastAsia="zh-CN"/>
        </w:rPr>
      </w:pPr>
    </w:p>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开办费</w:t>
      </w:r>
    </w:p>
    <w:p>
      <w:pPr>
        <w:widowControl/>
        <w:numPr>
          <w:ilvl w:val="0"/>
          <w:numId w:val="0"/>
        </w:numPr>
        <w:spacing w:before="0" w:beforeLines="0" w:beforeAutospacing="0" w:after="0" w:afterLines="0" w:afterAutospacing="0" w:line="360" w:lineRule="auto"/>
        <w:ind w:leftChars="200"/>
        <w:jc w:val="left"/>
        <w:rPr>
          <w:rFonts w:hint="default" w:ascii="Times New Roman" w:eastAsia="仿宋_GB2312" w:cs="宋体"/>
          <w:b w:val="0"/>
          <w:sz w:val="32"/>
          <w:szCs w:val="32"/>
          <w:lang w:val="en-US" w:eastAsia="zh-CN"/>
        </w:rPr>
      </w:pPr>
      <w:r>
        <w:rPr>
          <w:rFonts w:hint="default" w:ascii="Times New Roman" w:eastAsia="仿宋_GB2312" w:cs="宋体"/>
          <w:b w:val="0"/>
          <w:sz w:val="32"/>
          <w:szCs w:val="32"/>
          <w:lang w:val="en-US" w:eastAsia="zh-CN"/>
        </w:rPr>
        <w:drawing>
          <wp:inline distT="0" distB="0" distL="114300" distR="114300">
            <wp:extent cx="5760720" cy="7497445"/>
            <wp:effectExtent l="0" t="0" r="0" b="0"/>
            <wp:docPr id="8" name="图片 8" descr="连接线-附件2：部门预算项目绩效自评表(1)(3)_开办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连接线-附件2：部门预算项目绩效自评表(1)(3)_开办费"/>
                    <pic:cNvPicPr>
                      <a:picLocks noChangeAspect="1"/>
                    </pic:cNvPicPr>
                  </pic:nvPicPr>
                  <pic:blipFill>
                    <a:blip r:embed="rId20"/>
                    <a:srcRect l="-166" t="2534"/>
                    <a:stretch>
                      <a:fillRect/>
                    </a:stretch>
                  </pic:blipFill>
                  <pic:spPr>
                    <a:xfrm>
                      <a:off x="0" y="0"/>
                      <a:ext cx="5760720" cy="7497445"/>
                    </a:xfrm>
                    <a:prstGeom prst="rect">
                      <a:avLst/>
                    </a:prstGeom>
                  </pic:spPr>
                </pic:pic>
              </a:graphicData>
            </a:graphic>
          </wp:inline>
        </w:drawing>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numPr>
          <w:ilvl w:val="0"/>
          <w:numId w:val="3"/>
        </w:numPr>
        <w:spacing w:before="0" w:beforeLines="0" w:beforeAutospacing="0" w:after="0" w:afterLines="0" w:afterAutospacing="0" w:line="360" w:lineRule="auto"/>
        <w:ind w:left="0" w:leftChars="0"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城区道路连接线2025年度养护费</w:t>
      </w:r>
    </w:p>
    <w:p>
      <w:pPr>
        <w:widowControl/>
        <w:numPr>
          <w:ilvl w:val="0"/>
          <w:numId w:val="0"/>
        </w:numPr>
        <w:spacing w:before="0" w:beforeLines="0" w:beforeAutospacing="0" w:after="0" w:afterLines="0" w:afterAutospacing="0" w:line="360" w:lineRule="auto"/>
        <w:ind w:leftChars="200"/>
        <w:jc w:val="left"/>
        <w:rPr>
          <w:rFonts w:hint="default" w:ascii="Times New Roman" w:eastAsia="仿宋_GB2312" w:cs="宋体"/>
          <w:b w:val="0"/>
          <w:sz w:val="32"/>
          <w:szCs w:val="32"/>
          <w:lang w:val="en-US" w:eastAsia="zh-CN"/>
        </w:rPr>
      </w:pPr>
      <w:r>
        <w:rPr>
          <w:rFonts w:hint="default" w:ascii="Times New Roman" w:eastAsia="仿宋_GB2312" w:cs="宋体"/>
          <w:b w:val="0"/>
          <w:sz w:val="32"/>
          <w:szCs w:val="32"/>
          <w:lang w:val="en-US" w:eastAsia="zh-CN"/>
        </w:rPr>
        <w:drawing>
          <wp:inline distT="0" distB="0" distL="114300" distR="114300">
            <wp:extent cx="5767070" cy="7219950"/>
            <wp:effectExtent l="0" t="0" r="5080" b="0"/>
            <wp:docPr id="10" name="图片 10" descr="连接线-附件2：重点项目绩效自评表(11)_She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连接线-附件2：重点项目绩效自评表(11)_Sheet1"/>
                    <pic:cNvPicPr>
                      <a:picLocks noChangeAspect="1"/>
                    </pic:cNvPicPr>
                  </pic:nvPicPr>
                  <pic:blipFill>
                    <a:blip r:embed="rId21"/>
                    <a:srcRect l="-165" t="2637"/>
                    <a:stretch>
                      <a:fillRect/>
                    </a:stretch>
                  </pic:blipFill>
                  <pic:spPr>
                    <a:xfrm>
                      <a:off x="0" y="0"/>
                      <a:ext cx="5767070" cy="7219950"/>
                    </a:xfrm>
                    <a:prstGeom prst="rect">
                      <a:avLst/>
                    </a:prstGeom>
                  </pic:spPr>
                </pic:pic>
              </a:graphicData>
            </a:graphic>
          </wp:inline>
        </w:drawing>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方正楷体_GB2312" w:hAnsi="方正楷体_GB2312" w:eastAsia="方正楷体_GB2312" w:cs="方正楷体_GB2312"/>
          <w:b/>
          <w:sz w:val="32"/>
          <w:szCs w:val="32"/>
        </w:rPr>
        <w:t>（三）</w:t>
      </w:r>
      <w:r>
        <w:rPr>
          <w:rFonts w:hint="eastAsia" w:ascii="方正楷体_GB2312" w:hAnsi="方正楷体_GB2312" w:eastAsia="方正楷体_GB2312" w:cs="方正楷体_GB2312"/>
          <w:b/>
          <w:sz w:val="32"/>
          <w:szCs w:val="32"/>
          <w:lang w:val="en-US" w:eastAsia="zh-CN"/>
        </w:rPr>
        <w:t>部门</w:t>
      </w:r>
      <w:r>
        <w:rPr>
          <w:rFonts w:hint="eastAsia" w:ascii="方正楷体_GB2312" w:hAnsi="方正楷体_GB2312" w:eastAsia="方正楷体_GB2312" w:cs="方正楷体_GB2312"/>
          <w:b/>
          <w:sz w:val="32"/>
          <w:szCs w:val="32"/>
        </w:rPr>
        <w:t>评价项目绩效评价结果</w:t>
      </w:r>
    </w:p>
    <w:p>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方正仿宋_GB2312" w:hAnsi="方正仿宋_GB2312" w:eastAsia="方正仿宋_GB2312" w:cs="方正仿宋_GB2312"/>
          <w:b w:val="0"/>
          <w:bCs/>
          <w:sz w:val="32"/>
          <w:szCs w:val="32"/>
          <w:lang w:val="en-US" w:eastAsia="zh-CN"/>
        </w:rPr>
        <w:t>本单位无部门重点评价项目</w:t>
      </w:r>
      <w:r>
        <w:rPr>
          <w:rFonts w:hint="eastAsia" w:ascii="方正仿宋_GB2312" w:hAnsi="方正仿宋_GB2312" w:eastAsia="方正仿宋_GB2312" w:cs="方正仿宋_GB2312"/>
          <w:b/>
          <w:sz w:val="32"/>
          <w:szCs w:val="32"/>
          <w:lang w:val="en-US" w:eastAsia="zh-CN"/>
        </w:rPr>
        <w:t>。</w:t>
      </w:r>
    </w:p>
    <w:p>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3"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4D5894B-548D-40E3-A970-3E504CF64073}"/>
  </w:font>
  <w:font w:name="黑体">
    <w:panose1 w:val="02010609060101010101"/>
    <w:charset w:val="86"/>
    <w:family w:val="auto"/>
    <w:pitch w:val="default"/>
    <w:sig w:usb0="800002BF" w:usb1="38CF7CFA" w:usb2="00000016" w:usb3="00000000" w:csb0="00040001" w:csb1="00000000"/>
    <w:embedRegular r:id="rId2" w:fontKey="{30A19BEC-10DB-4F10-AE5F-927BD4DDD65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F4AB296-132A-417F-84A6-81AE22CA86E6}"/>
  </w:font>
  <w:font w:name="仿宋">
    <w:panose1 w:val="02010609060101010101"/>
    <w:charset w:val="86"/>
    <w:family w:val="modern"/>
    <w:pitch w:val="default"/>
    <w:sig w:usb0="800002BF" w:usb1="38CF7CFA" w:usb2="00000016" w:usb3="00000000" w:csb0="00040001" w:csb1="00000000"/>
    <w:embedRegular r:id="rId4" w:fontKey="{A1CAA78E-BCD7-4EE8-8099-29786E8F5318}"/>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0EAB937C-525B-4F98-BA0A-E983A937F317}"/>
  </w:font>
  <w:font w:name="方正书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embedRegular r:id="rId6" w:fontKey="{A7742DF5-093E-498C-BAD2-3766DF767B19}"/>
  </w:font>
  <w:font w:name="微软雅黑">
    <w:panose1 w:val="020B0503020204020204"/>
    <w:charset w:val="86"/>
    <w:family w:val="auto"/>
    <w:pitch w:val="default"/>
    <w:sig w:usb0="80000287" w:usb1="280F3C52" w:usb2="00000016" w:usb3="00000000" w:csb0="0004001F" w:csb1="00000000"/>
    <w:embedRegular r:id="rId7" w:fontKey="{1DC75C60-00D9-4212-959C-4A85EB361067}"/>
  </w:font>
  <w:font w:name="方正小标宋_GBK">
    <w:panose1 w:val="02000000000000000000"/>
    <w:charset w:val="86"/>
    <w:family w:val="script"/>
    <w:pitch w:val="default"/>
    <w:sig w:usb0="A00002BF" w:usb1="38CF7CFA" w:usb2="00082016" w:usb3="00000000" w:csb0="00040001" w:csb1="00000000"/>
    <w:embedRegular r:id="rId8" w:fontKey="{599DF551-CD57-4361-9762-EE201EF772E2}"/>
  </w:font>
  <w:font w:name="仿宋_GB2312">
    <w:panose1 w:val="02010609030101010101"/>
    <w:charset w:val="86"/>
    <w:family w:val="auto"/>
    <w:pitch w:val="default"/>
    <w:sig w:usb0="00000001" w:usb1="080E0000" w:usb2="00000000" w:usb3="00000000" w:csb0="00040000" w:csb1="00000000"/>
    <w:embedRegular r:id="rId9" w:fontKey="{CEF147B4-2163-441D-A044-BD79C3F22E19}"/>
  </w:font>
  <w:font w:name="ArialUnicodeMS">
    <w:altName w:val="Malgun Gothic"/>
    <w:panose1 w:val="00000000000000000000"/>
    <w:charset w:val="81"/>
    <w:family w:val="auto"/>
    <w:pitch w:val="default"/>
    <w:sig w:usb0="00000000" w:usb1="00000000" w:usb2="00000010" w:usb3="00000000" w:csb0="00080001" w:csb1="00000000"/>
    <w:embedRegular r:id="rId10" w:fontKey="{A54EC3E2-0B61-483F-9986-0E10CF29839A}"/>
  </w:font>
  <w:font w:name="方正楷体_GB2312">
    <w:panose1 w:val="02000000000000000000"/>
    <w:charset w:val="86"/>
    <w:family w:val="auto"/>
    <w:pitch w:val="default"/>
    <w:sig w:usb0="A00002BF" w:usb1="184F6CFA" w:usb2="00000012" w:usb3="00000000" w:csb0="00040001" w:csb1="00000000"/>
    <w:embedRegular r:id="rId11" w:fontKey="{49D856B6-0CA9-4013-B5A1-E22F5F879F7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591F0B"/>
    <w:multiLevelType w:val="singleLevel"/>
    <w:tmpl w:val="AB591F0B"/>
    <w:lvl w:ilvl="0" w:tentative="0">
      <w:start w:val="1"/>
      <w:numFmt w:val="decimal"/>
      <w:suff w:val="space"/>
      <w:lvlText w:val="%1."/>
      <w:lvlJc w:val="left"/>
    </w:lvl>
  </w:abstractNum>
  <w:abstractNum w:abstractNumId="1">
    <w:nsid w:val="459E68C3"/>
    <w:multiLevelType w:val="singleLevel"/>
    <w:tmpl w:val="459E68C3"/>
    <w:lvl w:ilvl="0" w:tentative="0">
      <w:start w:val="1"/>
      <w:numFmt w:val="decimal"/>
      <w:lvlText w:val="%1."/>
      <w:lvlJc w:val="left"/>
      <w:pPr>
        <w:tabs>
          <w:tab w:val="left" w:pos="312"/>
        </w:tabs>
      </w:pPr>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E13B71"/>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5A00A7"/>
    <w:rsid w:val="0F7470AF"/>
    <w:rsid w:val="0F8751F8"/>
    <w:rsid w:val="0F891DB8"/>
    <w:rsid w:val="0F8D3287"/>
    <w:rsid w:val="0FAA3B86"/>
    <w:rsid w:val="10191346"/>
    <w:rsid w:val="102A01A6"/>
    <w:rsid w:val="105A290D"/>
    <w:rsid w:val="10754A6C"/>
    <w:rsid w:val="108B537D"/>
    <w:rsid w:val="10B11DB1"/>
    <w:rsid w:val="10CD30DE"/>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862025"/>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6C3C40"/>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92F90"/>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A26105"/>
    <w:rsid w:val="35BC359E"/>
    <w:rsid w:val="35DA3A24"/>
    <w:rsid w:val="35DD4D47"/>
    <w:rsid w:val="360134DF"/>
    <w:rsid w:val="360B1E2F"/>
    <w:rsid w:val="360D500F"/>
    <w:rsid w:val="36330424"/>
    <w:rsid w:val="36FE3ABA"/>
    <w:rsid w:val="37072BDE"/>
    <w:rsid w:val="37455334"/>
    <w:rsid w:val="37527C32"/>
    <w:rsid w:val="37731921"/>
    <w:rsid w:val="379B66D8"/>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603B6"/>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95B1B"/>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1074FD"/>
    <w:rsid w:val="4D2C4D26"/>
    <w:rsid w:val="4D335E0E"/>
    <w:rsid w:val="4D4759EB"/>
    <w:rsid w:val="4D4B1038"/>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0E02D9"/>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16710"/>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3E737B"/>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034D15"/>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5D277C"/>
    <w:rsid w:val="7C656A39"/>
    <w:rsid w:val="7CAE7D7C"/>
    <w:rsid w:val="7CB93996"/>
    <w:rsid w:val="7CBE0F99"/>
    <w:rsid w:val="7D4E45F1"/>
    <w:rsid w:val="7DFB6D82"/>
    <w:rsid w:val="7E1D71D1"/>
    <w:rsid w:val="7E246254"/>
    <w:rsid w:val="7E553215"/>
    <w:rsid w:val="7E6D090F"/>
    <w:rsid w:val="7E7E2263"/>
    <w:rsid w:val="7ECC66B2"/>
    <w:rsid w:val="7F2914C3"/>
    <w:rsid w:val="7F48457F"/>
    <w:rsid w:val="7F5F2ED6"/>
    <w:rsid w:val="7FA837EF"/>
    <w:rsid w:val="7FC36955"/>
    <w:rsid w:val="7FE903A0"/>
    <w:rsid w:val="7FEC7BA9"/>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101"/>
    <w:basedOn w:val="13"/>
    <w:qFormat/>
    <w:uiPriority w:val="0"/>
    <w:rPr>
      <w:rFonts w:ascii="方正书宋_GBK" w:hAnsi="方正书宋_GBK" w:eastAsia="方正书宋_GBK" w:cs="方正书宋_GBK"/>
      <w:color w:val="000000"/>
      <w:sz w:val="20"/>
      <w:szCs w:val="20"/>
      <w:u w:val="none"/>
    </w:rPr>
  </w:style>
  <w:style w:type="character" w:customStyle="1" w:styleId="28">
    <w:name w:val="font111"/>
    <w:basedOn w:val="13"/>
    <w:qFormat/>
    <w:uiPriority w:val="0"/>
    <w:rPr>
      <w:rFonts w:hint="default" w:ascii="Calibri" w:hAnsi="Calibri" w:cs="Calibri"/>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2349.2</c:v>
                </c:pt>
                <c:pt idx="1">
                  <c:v>0</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23491967.68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2898001.18</c:v>
                </c:pt>
                <c:pt idx="1">
                  <c:v>20593966.5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0</c:v>
                </c:pt>
                <c:pt idx="1">
                  <c:v>0</c:v>
                </c:pt>
                <c:pt idx="2">
                  <c:v>0</c:v>
                </c:pt>
                <c:pt idx="3">
                  <c:v>0</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2349.2</c:v>
                </c:pt>
                <c:pt idx="1">
                  <c:v>2349.2</c:v>
                </c:pt>
                <c:pt idx="2">
                  <c:v>2349.2</c:v>
                </c:pt>
                <c:pt idx="3">
                  <c:v>2349.2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2710.13</c:v>
                </c:pt>
                <c:pt idx="1">
                  <c:v>2710.13</c:v>
                </c:pt>
                <c:pt idx="2">
                  <c:v>2710.13</c:v>
                </c:pt>
                <c:pt idx="3">
                  <c:v>2710.13</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2349.2</c:v>
                </c:pt>
                <c:pt idx="1">
                  <c:v>2349.2</c:v>
                </c:pt>
                <c:pt idx="2">
                  <c:v>2349.2</c:v>
                </c:pt>
                <c:pt idx="3">
                  <c:v>2349.2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43</Pages>
  <Words>603</Words>
  <Characters>623</Characters>
  <Lines>86</Lines>
  <Paragraphs>24</Paragraphs>
  <TotalTime>3</TotalTime>
  <ScaleCrop>false</ScaleCrop>
  <LinksUpToDate>false</LinksUpToDate>
  <CharactersWithSpaces>628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2026-08-28T07:01:00Z</cp:lastPrinted>
  <dcterms:modified xsi:type="dcterms:W3CDTF">2026-09-10T02:32:50Z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eyJoZGlkIjoiNzVhOWMxMzljMmFlYjc5MmVlMzEwMzc4NTlhYzljZjUiLCJ1c2VySWQiOiIxNjg1MjgxMTUxIn0=</vt:lpwstr>
  </property>
</Properties>
</file>