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0BCA9E1">
      <w:pPr>
        <w:keepNext w:val="0"/>
        <w:keepLines w:val="0"/>
        <w:pageBreakBefore w:val="0"/>
        <w:widowControl w:val="0"/>
        <w:kinsoku/>
        <w:wordWrap/>
        <w:overflowPunct/>
        <w:topLinePunct w:val="0"/>
        <w:autoSpaceDE/>
        <w:autoSpaceDN/>
        <w:bidi w:val="0"/>
        <w:spacing w:line="540" w:lineRule="exact"/>
        <w:jc w:val="center"/>
        <w:textAlignment w:val="auto"/>
        <w:rPr>
          <w:rFonts w:ascii="方正小标宋简体" w:eastAsia="方正小标宋简体"/>
          <w:sz w:val="44"/>
          <w:szCs w:val="44"/>
        </w:rPr>
      </w:pPr>
    </w:p>
    <w:p w14:paraId="34885F04">
      <w:pPr>
        <w:keepNext w:val="0"/>
        <w:keepLines w:val="0"/>
        <w:pageBreakBefore w:val="0"/>
        <w:widowControl w:val="0"/>
        <w:kinsoku/>
        <w:wordWrap/>
        <w:overflowPunct/>
        <w:topLinePunct w:val="0"/>
        <w:autoSpaceDE/>
        <w:autoSpaceDN/>
        <w:bidi w:val="0"/>
        <w:spacing w:line="540" w:lineRule="exact"/>
        <w:jc w:val="center"/>
        <w:textAlignment w:val="auto"/>
        <w:rPr>
          <w:rFonts w:ascii="方正小标宋简体" w:eastAsia="方正小标宋简体"/>
          <w:sz w:val="44"/>
          <w:szCs w:val="44"/>
        </w:rPr>
      </w:pPr>
    </w:p>
    <w:p w14:paraId="2A124522">
      <w:pPr>
        <w:keepNext w:val="0"/>
        <w:keepLines w:val="0"/>
        <w:pageBreakBefore w:val="0"/>
        <w:widowControl w:val="0"/>
        <w:kinsoku/>
        <w:wordWrap/>
        <w:overflowPunct/>
        <w:topLinePunct w:val="0"/>
        <w:autoSpaceDE/>
        <w:autoSpaceDN/>
        <w:bidi w:val="0"/>
        <w:spacing w:line="540" w:lineRule="exact"/>
        <w:jc w:val="center"/>
        <w:textAlignment w:val="auto"/>
        <w:rPr>
          <w:rFonts w:ascii="方正小标宋简体" w:hAnsi="宋体" w:eastAsia="方正小标宋简体" w:cs="宋体"/>
          <w:bCs/>
          <w:sz w:val="44"/>
          <w:szCs w:val="44"/>
        </w:rPr>
      </w:pPr>
      <w:bookmarkStart w:id="0" w:name="OLE_LINK2"/>
      <w:r>
        <w:rPr>
          <w:rFonts w:hint="eastAsia" w:ascii="方正小标宋简体" w:hAnsi="宋体" w:eastAsia="方正小标宋简体" w:cs="宋体"/>
          <w:bCs/>
          <w:sz w:val="44"/>
          <w:szCs w:val="44"/>
        </w:rPr>
        <w:t>石家庄市审计局</w:t>
      </w:r>
      <w:r>
        <w:rPr>
          <w:rFonts w:hint="eastAsia" w:ascii="方正小标宋简体" w:hAnsi="宋体" w:eastAsia="方正小标宋简体" w:cs="宋体"/>
          <w:bCs/>
          <w:sz w:val="44"/>
          <w:szCs w:val="44"/>
          <w:lang w:eastAsia="zh-CN"/>
        </w:rPr>
        <w:t>部门</w:t>
      </w:r>
    </w:p>
    <w:p w14:paraId="0AEA913A">
      <w:pPr>
        <w:keepNext w:val="0"/>
        <w:keepLines w:val="0"/>
        <w:pageBreakBefore w:val="0"/>
        <w:widowControl w:val="0"/>
        <w:kinsoku/>
        <w:wordWrap/>
        <w:overflowPunct/>
        <w:topLinePunct w:val="0"/>
        <w:autoSpaceDE/>
        <w:autoSpaceDN/>
        <w:bidi w:val="0"/>
        <w:spacing w:line="540" w:lineRule="exact"/>
        <w:jc w:val="center"/>
        <w:textAlignment w:val="auto"/>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202</w:t>
      </w:r>
      <w:r>
        <w:rPr>
          <w:rFonts w:hint="eastAsia" w:ascii="方正小标宋简体" w:hAnsi="宋体" w:eastAsia="方正小标宋简体" w:cs="宋体"/>
          <w:bCs/>
          <w:sz w:val="44"/>
          <w:szCs w:val="44"/>
          <w:lang w:val="en-US" w:eastAsia="zh-CN"/>
        </w:rPr>
        <w:t>4</w:t>
      </w:r>
      <w:r>
        <w:rPr>
          <w:rFonts w:hint="eastAsia" w:ascii="方正小标宋简体" w:hAnsi="宋体" w:eastAsia="方正小标宋简体" w:cs="宋体"/>
          <w:bCs/>
          <w:sz w:val="44"/>
          <w:szCs w:val="44"/>
        </w:rPr>
        <w:t>年度整体支出绩效自评报告</w:t>
      </w:r>
      <w:bookmarkEnd w:id="0"/>
    </w:p>
    <w:p w14:paraId="10B32FB0">
      <w:pPr>
        <w:keepNext w:val="0"/>
        <w:keepLines w:val="0"/>
        <w:pageBreakBefore w:val="0"/>
        <w:widowControl w:val="0"/>
        <w:kinsoku/>
        <w:wordWrap/>
        <w:overflowPunct/>
        <w:topLinePunct w:val="0"/>
        <w:autoSpaceDE/>
        <w:autoSpaceDN/>
        <w:bidi w:val="0"/>
        <w:spacing w:line="540" w:lineRule="exact"/>
        <w:jc w:val="center"/>
        <w:textAlignment w:val="auto"/>
        <w:rPr>
          <w:rFonts w:ascii="方正小标宋简体" w:hAnsi="宋体" w:eastAsia="方正小标宋简体" w:cs="宋体"/>
          <w:bCs/>
          <w:sz w:val="44"/>
          <w:szCs w:val="44"/>
        </w:rPr>
      </w:pPr>
    </w:p>
    <w:p w14:paraId="1C6E2A9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 w:hAnsi="仿宋" w:eastAsia="仿宋"/>
          <w:sz w:val="32"/>
          <w:szCs w:val="32"/>
        </w:rPr>
      </w:pPr>
      <w:r>
        <w:rPr>
          <w:rFonts w:hint="eastAsia" w:ascii="仿宋" w:hAnsi="仿宋" w:eastAsia="仿宋"/>
          <w:sz w:val="32"/>
          <w:szCs w:val="32"/>
        </w:rPr>
        <w:t>贯彻落实市委市政府《关于全面落实预算绩效管理的实施意见》（石发﹝2019﹞8号）文件精神，遵循“科学性、规范性、客观性和公正性”的原则，对</w:t>
      </w:r>
      <w:r>
        <w:rPr>
          <w:rFonts w:hint="eastAsia" w:ascii="仿宋" w:hAnsi="仿宋" w:eastAsia="仿宋"/>
          <w:sz w:val="32"/>
          <w:szCs w:val="32"/>
          <w:lang w:eastAsia="zh-CN"/>
        </w:rPr>
        <w:t>石家庄市审计局</w:t>
      </w:r>
      <w:r>
        <w:rPr>
          <w:rFonts w:hint="eastAsia" w:ascii="仿宋" w:hAnsi="仿宋" w:eastAsia="仿宋"/>
          <w:sz w:val="32"/>
          <w:szCs w:val="32"/>
        </w:rPr>
        <w:t>部门202</w:t>
      </w:r>
      <w:r>
        <w:rPr>
          <w:rFonts w:hint="eastAsia" w:ascii="仿宋" w:hAnsi="仿宋" w:eastAsia="仿宋"/>
          <w:sz w:val="32"/>
          <w:szCs w:val="32"/>
          <w:lang w:val="en-US" w:eastAsia="zh-CN"/>
        </w:rPr>
        <w:t>4</w:t>
      </w:r>
      <w:r>
        <w:rPr>
          <w:rFonts w:hint="eastAsia" w:ascii="仿宋" w:hAnsi="仿宋" w:eastAsia="仿宋"/>
          <w:sz w:val="32"/>
          <w:szCs w:val="32"/>
        </w:rPr>
        <w:t>年整体支出情况实施了财政支出绩效自评价，形成本评价报告。</w:t>
      </w:r>
    </w:p>
    <w:p w14:paraId="06B902C6">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7C931C5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（一）部门概况</w:t>
      </w:r>
    </w:p>
    <w:p w14:paraId="7285E04D">
      <w:pPr>
        <w:keepNext w:val="0"/>
        <w:keepLines w:val="0"/>
        <w:pageBreakBefore w:val="0"/>
        <w:widowControl w:val="0"/>
        <w:kinsoku/>
        <w:wordWrap/>
        <w:overflowPunct/>
        <w:topLinePunct w:val="0"/>
        <w:autoSpaceDE/>
        <w:autoSpaceDN/>
        <w:bidi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1、主要职能：</w:t>
      </w:r>
    </w:p>
    <w:p w14:paraId="4802E00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1）主管全市审计工作。负责对全市财政收支和依法属于审计监督范围的财务收支的真实、合法和效益进行审计监督，对公共资金、国有资产、国有资源和领导干部履行经济责任情况实行审计全覆盖，对领导干部实行自然资源资产离任审计，对省、市党委、政府有关重大政策措施贯彻落实情况进行跟踪审计。对审计、专项审计调查和核查社会审计机构相关审计报告的结果承担责任，并负有督促被审计单位整改的责任。</w:t>
      </w:r>
    </w:p>
    <w:p w14:paraId="081041E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sectPr>
          <w:headerReference r:id="rId3" w:type="default"/>
          <w:footerReference r:id="rId4" w:type="default"/>
          <w:pgSz w:w="11906" w:h="16838"/>
          <w:pgMar w:top="2098" w:right="1474" w:bottom="1985" w:left="1588" w:header="851" w:footer="992" w:gutter="0"/>
          <w:pgNumType w:fmt="numberInDash"/>
          <w:cols w:space="0" w:num="1"/>
          <w:docGrid w:type="lines" w:linePitch="312" w:charSpace="0"/>
        </w:sectPr>
      </w:pPr>
      <w:r>
        <w:rPr>
          <w:rFonts w:hint="eastAsia" w:ascii="仿宋_GB2312" w:hAnsi="仿宋" w:eastAsia="仿宋_GB2312"/>
          <w:sz w:val="32"/>
          <w:szCs w:val="32"/>
        </w:rPr>
        <w:t>（2）贯彻执行审计法律、法规和方针、政策。组织起草审计地方性法规、政府规章草案；拟订审计工作发展规划、专业领域审计工作规划，以及年度审计计划并组织实施，对直接审计、</w:t>
      </w:r>
    </w:p>
    <w:p w14:paraId="1EEF940F">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ascii="仿宋_GB2312" w:hAnsi="仿宋" w:eastAsia="仿宋_GB2312"/>
          <w:sz w:val="32"/>
          <w:szCs w:val="32"/>
        </w:rPr>
      </w:pPr>
      <w:r>
        <w:rPr>
          <w:rFonts w:hint="eastAsia" w:ascii="仿宋_GB2312" w:hAnsi="仿宋" w:eastAsia="仿宋_GB2312"/>
          <w:sz w:val="32"/>
          <w:szCs w:val="32"/>
        </w:rPr>
        <w:t>调查和核查的事项依法进行审计评价，作出审计决定或提出审计建议。</w:t>
      </w:r>
    </w:p>
    <w:p w14:paraId="744939C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3）向中共石家庄市委审计委员会提出年度市本级预算执行和其他财政收支情况审计报告。向市长提出年度市本级预算执行和其他财政收支情况的审计结果报告。组织起草市政府向市人大常委会提出市本级预算执行和其他财政收支情况的审计工作报告、审计查出问题整改情况报告。向市委、市政府报告对其他事项的审计和专项审计调查情况及结果。依法向社会公布审计结果。向被审计单位通报审计情况和审计结果。</w:t>
      </w:r>
    </w:p>
    <w:p w14:paraId="52ADF78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4）直接审计下列事项，出具审计报告，在法定职权范围内作出审计决定，包括国家和省、市有关重大政策措施贯彻落实情况；市本级预算执行情况和其他财政收支，市直各部门（含所属单位）预算执行情况、决算草案和其他财政收支；县（市、区）政府预算执行情况、决算草案和其他财政收支；中央、省和市财政转移支付资金；使用市本级财政资金的事业单位和社会团体的财务收支；市投资和以市投资为主的建设项目的预算执行情况和决算，市重大公共工程项目的资金管理使用和建设运营情况；自然资源管理、污染防治和生态保护与修复情况；市属国有企业、市属国有资本占控股或主导地位的企业，上级授权审计的金融机构的境内外资产、负债和损益，市驻外非经营性机构的财务收支；有关社会保障基金、社会捐赠资金和其他基金、资金的财务收支；上级授权审计的国际组织和外国政府援助、贷款项目的财务收支；法律法规规定的其他事项。</w:t>
      </w:r>
    </w:p>
    <w:p w14:paraId="73BB835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（5）按规定对市管党政主要领导干部及其他单位主要负责人实施经济责任审计和自然资源资产离任审计。</w:t>
      </w:r>
    </w:p>
    <w:p w14:paraId="02DCE7BF">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（6）组织实施对财经法律法规、规章、政策和宏观调控措施执行情况、财政预算管理及国有资产管理使用等与财政收支有关的特定事项进行专项审计调查。</w:t>
      </w:r>
    </w:p>
    <w:p w14:paraId="588C840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（7）依法检查审计决定执行情况，督促整改审计查出的问题，依法办理被审计单位对审计决定提请行政复议、行政诉讼或市政府裁决中的有关事项；协助配合有关部门查处相关重大案件。</w:t>
      </w:r>
    </w:p>
    <w:p w14:paraId="74CE031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（8）指导和监督内部审计工作，核查社会审计机构对依法属于审计监督对象的单位出具的相关审计报告。</w:t>
      </w:r>
    </w:p>
    <w:p w14:paraId="5D6CD92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9）与县（市、区）党委、政府共同领导县（市、区）审计机关。依法领导和监督县（市、区）审计机关的业务，组织县（市、区）审计机关实施特定项目的专项审计或审计调查，纠正或责成纠正县（市、区）审计机关违反国家规定作出的审计决定。按照干部管理权限协助管理县（市、区）审计机关负责人。</w:t>
      </w:r>
    </w:p>
    <w:p w14:paraId="47ABE3B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（10）会同市委机构编制委员会办公室，对党政机关及直属事业单位的机构设置、编制使用，以及有关机构编制规定的执行情况进行审计调查。</w:t>
      </w:r>
    </w:p>
    <w:p w14:paraId="0140CDEC">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（11）组织开展审计领域的交流与合作，负责审计信息系统建设，指导和推广信息技术在审计领域的应用。</w:t>
      </w:r>
    </w:p>
    <w:p w14:paraId="217BD48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（12）完成市委、市政府和上级审计机关交办的其他任务。</w:t>
      </w:r>
    </w:p>
    <w:p w14:paraId="38B0DD75">
      <w:pPr>
        <w:keepNext w:val="0"/>
        <w:keepLines w:val="0"/>
        <w:pageBreakBefore w:val="0"/>
        <w:widowControl w:val="0"/>
        <w:kinsoku/>
        <w:wordWrap/>
        <w:overflowPunct/>
        <w:topLinePunct w:val="0"/>
        <w:autoSpaceDE/>
        <w:autoSpaceDN/>
        <w:bidi w:val="0"/>
        <w:snapToGrid w:val="0"/>
        <w:spacing w:before="156" w:beforeLines="50"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2．机构设置情况</w:t>
      </w:r>
    </w:p>
    <w:p w14:paraId="5F99FCAD">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部门机构设置情况</w:t>
      </w:r>
    </w:p>
    <w:tbl>
      <w:tblPr>
        <w:tblStyle w:val="4"/>
        <w:tblW w:w="8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8"/>
        <w:gridCol w:w="1567"/>
        <w:gridCol w:w="1733"/>
        <w:gridCol w:w="2552"/>
      </w:tblGrid>
      <w:tr w14:paraId="623A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2508" w:type="dxa"/>
            <w:vAlign w:val="center"/>
          </w:tcPr>
          <w:p w14:paraId="75303DAE">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单位名称</w:t>
            </w:r>
          </w:p>
        </w:tc>
        <w:tc>
          <w:tcPr>
            <w:tcW w:w="1567" w:type="dxa"/>
            <w:vAlign w:val="center"/>
          </w:tcPr>
          <w:p w14:paraId="0129B83C">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单位性质</w:t>
            </w:r>
          </w:p>
        </w:tc>
        <w:tc>
          <w:tcPr>
            <w:tcW w:w="1733" w:type="dxa"/>
            <w:vAlign w:val="center"/>
          </w:tcPr>
          <w:p w14:paraId="29A6C57B">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单位规格</w:t>
            </w:r>
          </w:p>
        </w:tc>
        <w:tc>
          <w:tcPr>
            <w:tcW w:w="2552" w:type="dxa"/>
            <w:vAlign w:val="center"/>
          </w:tcPr>
          <w:p w14:paraId="696A9810">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经费保障形式</w:t>
            </w:r>
          </w:p>
        </w:tc>
      </w:tr>
      <w:tr w14:paraId="2E8A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2508" w:type="dxa"/>
            <w:vAlign w:val="center"/>
          </w:tcPr>
          <w:p w14:paraId="61787CFD">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石家庄市审计局</w:t>
            </w:r>
          </w:p>
        </w:tc>
        <w:tc>
          <w:tcPr>
            <w:tcW w:w="1567" w:type="dxa"/>
            <w:vAlign w:val="center"/>
          </w:tcPr>
          <w:p w14:paraId="7D53B3FE">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行政</w:t>
            </w:r>
          </w:p>
        </w:tc>
        <w:tc>
          <w:tcPr>
            <w:tcW w:w="1733" w:type="dxa"/>
            <w:vAlign w:val="center"/>
          </w:tcPr>
          <w:p w14:paraId="56B3D6F4">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正处级</w:t>
            </w:r>
          </w:p>
        </w:tc>
        <w:tc>
          <w:tcPr>
            <w:tcW w:w="2552" w:type="dxa"/>
            <w:vAlign w:val="center"/>
          </w:tcPr>
          <w:p w14:paraId="719EC9AD">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财政拨款</w:t>
            </w:r>
          </w:p>
        </w:tc>
      </w:tr>
    </w:tbl>
    <w:p w14:paraId="7126193F">
      <w:pPr>
        <w:keepNext w:val="0"/>
        <w:keepLines w:val="0"/>
        <w:pageBreakBefore w:val="0"/>
        <w:widowControl w:val="0"/>
        <w:numPr>
          <w:ilvl w:val="0"/>
          <w:numId w:val="1"/>
        </w:numPr>
        <w:kinsoku/>
        <w:wordWrap/>
        <w:overflowPunct/>
        <w:topLinePunct w:val="0"/>
        <w:autoSpaceDE/>
        <w:autoSpaceDN/>
        <w:bidi w:val="0"/>
        <w:snapToGrid w:val="0"/>
        <w:spacing w:before="156" w:beforeLines="50"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人员情况</w:t>
      </w:r>
    </w:p>
    <w:p w14:paraId="4A3E1987">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部门人员情况</w:t>
      </w:r>
    </w:p>
    <w:tbl>
      <w:tblPr>
        <w:tblStyle w:val="4"/>
        <w:tblW w:w="8079"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4"/>
        <w:gridCol w:w="1263"/>
      </w:tblGrid>
      <w:tr w14:paraId="6875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vAlign w:val="center"/>
          </w:tcPr>
          <w:p w14:paraId="1AD998F0">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单位名称</w:t>
            </w:r>
          </w:p>
        </w:tc>
        <w:tc>
          <w:tcPr>
            <w:tcW w:w="1704" w:type="dxa"/>
            <w:vMerge w:val="restart"/>
            <w:vAlign w:val="center"/>
          </w:tcPr>
          <w:p w14:paraId="5F40C62A">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年末实有人数</w:t>
            </w:r>
          </w:p>
        </w:tc>
        <w:tc>
          <w:tcPr>
            <w:tcW w:w="3408" w:type="dxa"/>
            <w:gridSpan w:val="2"/>
            <w:vAlign w:val="center"/>
          </w:tcPr>
          <w:p w14:paraId="0E0AB183">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在职</w:t>
            </w:r>
          </w:p>
        </w:tc>
        <w:tc>
          <w:tcPr>
            <w:tcW w:w="1263" w:type="dxa"/>
            <w:vMerge w:val="restart"/>
            <w:vAlign w:val="center"/>
          </w:tcPr>
          <w:p w14:paraId="3856CAF0">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退休</w:t>
            </w:r>
          </w:p>
        </w:tc>
      </w:tr>
      <w:tr w14:paraId="5A14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704" w:type="dxa"/>
            <w:vMerge w:val="continue"/>
            <w:vAlign w:val="center"/>
          </w:tcPr>
          <w:p w14:paraId="4C9FF3C8">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p>
        </w:tc>
        <w:tc>
          <w:tcPr>
            <w:tcW w:w="1704" w:type="dxa"/>
            <w:vMerge w:val="continue"/>
            <w:vAlign w:val="center"/>
          </w:tcPr>
          <w:p w14:paraId="573D6CB1">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p>
        </w:tc>
        <w:tc>
          <w:tcPr>
            <w:tcW w:w="1704" w:type="dxa"/>
            <w:vAlign w:val="center"/>
          </w:tcPr>
          <w:p w14:paraId="503F1301">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行政人员</w:t>
            </w:r>
          </w:p>
        </w:tc>
        <w:tc>
          <w:tcPr>
            <w:tcW w:w="1704" w:type="dxa"/>
            <w:vAlign w:val="center"/>
          </w:tcPr>
          <w:p w14:paraId="7134F3B0">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非参公事业人员</w:t>
            </w:r>
          </w:p>
        </w:tc>
        <w:tc>
          <w:tcPr>
            <w:tcW w:w="1263" w:type="dxa"/>
            <w:vMerge w:val="continue"/>
            <w:vAlign w:val="center"/>
          </w:tcPr>
          <w:p w14:paraId="587697AC">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p>
        </w:tc>
      </w:tr>
      <w:tr w14:paraId="228D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1704" w:type="dxa"/>
            <w:vAlign w:val="center"/>
          </w:tcPr>
          <w:p w14:paraId="529BC728">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石家庄市审计局</w:t>
            </w:r>
          </w:p>
        </w:tc>
        <w:tc>
          <w:tcPr>
            <w:tcW w:w="1704" w:type="dxa"/>
            <w:vAlign w:val="center"/>
          </w:tcPr>
          <w:p w14:paraId="154C4A78">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15</w:t>
            </w:r>
            <w:r>
              <w:rPr>
                <w:rFonts w:hint="eastAsia" w:ascii="仿宋_GB2312" w:hAnsi="仿宋" w:eastAsia="仿宋_GB2312"/>
                <w:sz w:val="32"/>
                <w:szCs w:val="32"/>
                <w:lang w:val="en-US" w:eastAsia="zh-CN"/>
              </w:rPr>
              <w:t>4</w:t>
            </w:r>
          </w:p>
        </w:tc>
        <w:tc>
          <w:tcPr>
            <w:tcW w:w="1704" w:type="dxa"/>
            <w:vAlign w:val="center"/>
          </w:tcPr>
          <w:p w14:paraId="00C87271">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z w:val="32"/>
                <w:szCs w:val="32"/>
                <w:lang w:val="en-US" w:eastAsia="zh-CN"/>
              </w:rPr>
              <w:t>18</w:t>
            </w:r>
          </w:p>
        </w:tc>
        <w:tc>
          <w:tcPr>
            <w:tcW w:w="1704" w:type="dxa"/>
            <w:vAlign w:val="center"/>
          </w:tcPr>
          <w:p w14:paraId="6F438973">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3</w:t>
            </w:r>
            <w:r>
              <w:rPr>
                <w:rFonts w:hint="eastAsia" w:ascii="仿宋_GB2312" w:hAnsi="仿宋" w:eastAsia="仿宋_GB2312"/>
                <w:sz w:val="32"/>
                <w:szCs w:val="32"/>
                <w:lang w:val="en-US" w:eastAsia="zh-CN"/>
              </w:rPr>
              <w:t>6</w:t>
            </w:r>
          </w:p>
        </w:tc>
        <w:tc>
          <w:tcPr>
            <w:tcW w:w="1263" w:type="dxa"/>
            <w:vAlign w:val="center"/>
          </w:tcPr>
          <w:p w14:paraId="2D695095">
            <w:pPr>
              <w:keepNext w:val="0"/>
              <w:keepLines w:val="0"/>
              <w:pageBreakBefore w:val="0"/>
              <w:widowControl w:val="0"/>
              <w:kinsoku/>
              <w:wordWrap/>
              <w:overflowPunct/>
              <w:topLinePunct w:val="0"/>
              <w:autoSpaceDE/>
              <w:autoSpaceDN/>
              <w:bidi w:val="0"/>
              <w:snapToGrid w:val="0"/>
              <w:spacing w:line="540" w:lineRule="exact"/>
              <w:jc w:val="center"/>
              <w:textAlignment w:val="auto"/>
              <w:rPr>
                <w:rFonts w:ascii="仿宋_GB2312" w:hAnsi="仿宋" w:eastAsia="仿宋_GB2312"/>
                <w:sz w:val="32"/>
                <w:szCs w:val="32"/>
              </w:rPr>
            </w:pPr>
            <w:r>
              <w:rPr>
                <w:rFonts w:hint="eastAsia" w:ascii="仿宋_GB2312" w:hAnsi="仿宋" w:eastAsia="仿宋_GB2312"/>
                <w:sz w:val="32"/>
                <w:szCs w:val="32"/>
              </w:rPr>
              <w:t>12</w:t>
            </w:r>
            <w:r>
              <w:rPr>
                <w:rFonts w:hint="eastAsia" w:ascii="仿宋_GB2312" w:hAnsi="仿宋" w:eastAsia="仿宋_GB2312"/>
                <w:sz w:val="32"/>
                <w:szCs w:val="32"/>
                <w:lang w:val="en-US" w:eastAsia="zh-CN"/>
              </w:rPr>
              <w:t>8</w:t>
            </w:r>
          </w:p>
        </w:tc>
      </w:tr>
    </w:tbl>
    <w:p w14:paraId="591AB387">
      <w:pPr>
        <w:keepNext w:val="0"/>
        <w:keepLines w:val="0"/>
        <w:pageBreakBefore w:val="0"/>
        <w:widowControl w:val="0"/>
        <w:numPr>
          <w:ilvl w:val="0"/>
          <w:numId w:val="2"/>
        </w:numPr>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034BC1E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部门202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年初预算</w:t>
      </w:r>
      <w:r>
        <w:rPr>
          <w:rFonts w:hint="eastAsia" w:ascii="仿宋_GB2312" w:hAnsi="仿宋" w:eastAsia="仿宋_GB2312"/>
          <w:sz w:val="32"/>
          <w:szCs w:val="32"/>
          <w:lang w:val="en-US" w:eastAsia="zh-CN"/>
        </w:rPr>
        <w:t>5539.67</w:t>
      </w:r>
      <w:r>
        <w:rPr>
          <w:rFonts w:hint="eastAsia" w:ascii="仿宋_GB2312" w:hAnsi="仿宋" w:eastAsia="仿宋_GB2312"/>
          <w:sz w:val="32"/>
          <w:szCs w:val="32"/>
        </w:rPr>
        <w:t>万元，决算收入</w:t>
      </w:r>
      <w:r>
        <w:rPr>
          <w:rFonts w:hint="eastAsia" w:ascii="仿宋_GB2312" w:hAnsi="仿宋_GB2312" w:eastAsia="仿宋_GB2312" w:cs="仿宋_GB2312"/>
          <w:sz w:val="32"/>
          <w:szCs w:val="32"/>
        </w:rPr>
        <w:t>4881.33</w:t>
      </w:r>
      <w:r>
        <w:rPr>
          <w:rFonts w:hint="eastAsia" w:ascii="仿宋_GB2312" w:hAnsi="仿宋" w:eastAsia="仿宋_GB2312"/>
          <w:sz w:val="32"/>
          <w:szCs w:val="32"/>
        </w:rPr>
        <w:t>万元,支出</w:t>
      </w:r>
      <w:r>
        <w:rPr>
          <w:rFonts w:hint="eastAsia" w:ascii="仿宋_GB2312" w:hAnsi="仿宋_GB2312" w:eastAsia="仿宋_GB2312" w:cs="仿宋_GB2312"/>
          <w:kern w:val="0"/>
          <w:sz w:val="32"/>
          <w:szCs w:val="32"/>
          <w:lang w:val="en-US" w:eastAsia="zh-CN"/>
        </w:rPr>
        <w:t>4933.32</w:t>
      </w:r>
      <w:r>
        <w:rPr>
          <w:rFonts w:hint="eastAsia" w:ascii="仿宋_GB2312" w:hAnsi="仿宋" w:eastAsia="仿宋_GB2312"/>
          <w:sz w:val="32"/>
          <w:szCs w:val="32"/>
        </w:rPr>
        <w:t>万元。</w:t>
      </w:r>
    </w:p>
    <w:p w14:paraId="74B1823D">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部门202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年度财政拨款收入</w:t>
      </w:r>
      <w:r>
        <w:rPr>
          <w:rFonts w:hint="eastAsia" w:ascii="仿宋_GB2312" w:hAnsi="仿宋" w:eastAsia="仿宋_GB2312"/>
          <w:sz w:val="32"/>
          <w:szCs w:val="32"/>
          <w:lang w:val="en-US" w:eastAsia="zh-CN"/>
        </w:rPr>
        <w:t>4842.33</w:t>
      </w:r>
      <w:r>
        <w:rPr>
          <w:rFonts w:hint="eastAsia" w:ascii="仿宋_GB2312" w:hAnsi="仿宋" w:eastAsia="仿宋_GB2312"/>
          <w:sz w:val="32"/>
          <w:szCs w:val="32"/>
        </w:rPr>
        <w:t>万元，其中基本支出拨款3921.01万元，项目支出拨款</w:t>
      </w:r>
      <w:r>
        <w:rPr>
          <w:rFonts w:hint="eastAsia" w:ascii="仿宋_GB2312" w:eastAsia="仿宋_GB2312"/>
          <w:sz w:val="32"/>
          <w:szCs w:val="32"/>
          <w:lang w:val="en-US" w:eastAsia="zh-CN"/>
        </w:rPr>
        <w:t>921.32</w:t>
      </w:r>
      <w:r>
        <w:rPr>
          <w:rFonts w:hint="eastAsia" w:ascii="仿宋_GB2312" w:hAnsi="仿宋" w:eastAsia="仿宋_GB2312"/>
          <w:sz w:val="32"/>
          <w:szCs w:val="32"/>
        </w:rPr>
        <w:t>万元；财政拨款支出</w:t>
      </w:r>
      <w:r>
        <w:rPr>
          <w:rFonts w:hint="eastAsia" w:ascii="仿宋_GB2312" w:hAnsi="仿宋_GB2312" w:eastAsia="仿宋_GB2312" w:cs="仿宋_GB2312"/>
          <w:kern w:val="0"/>
          <w:sz w:val="32"/>
          <w:szCs w:val="32"/>
          <w:lang w:val="en-US" w:eastAsia="zh-CN"/>
        </w:rPr>
        <w:t>4817.94</w:t>
      </w:r>
      <w:r>
        <w:rPr>
          <w:rFonts w:hint="eastAsia" w:ascii="仿宋_GB2312" w:hAnsi="仿宋" w:eastAsia="仿宋_GB2312"/>
          <w:sz w:val="32"/>
          <w:szCs w:val="32"/>
        </w:rPr>
        <w:t>万元，其中</w:t>
      </w:r>
      <w:r>
        <w:rPr>
          <w:rFonts w:hint="eastAsia" w:ascii="仿宋_GB2312" w:hAnsi="宋体" w:eastAsia="仿宋_GB2312" w:cs="Arial"/>
          <w:kern w:val="0"/>
          <w:sz w:val="32"/>
          <w:szCs w:val="32"/>
        </w:rPr>
        <w:t>人员经费支出</w:t>
      </w:r>
      <w:r>
        <w:rPr>
          <w:rFonts w:hint="eastAsia" w:ascii="仿宋_GB2312" w:eastAsia="仿宋_GB2312" w:cs="仿宋_GB2312"/>
          <w:kern w:val="0"/>
          <w:sz w:val="32"/>
          <w:szCs w:val="32"/>
          <w:lang w:val="en-US" w:eastAsia="zh-CN"/>
        </w:rPr>
        <w:t>3578.97</w:t>
      </w:r>
      <w:r>
        <w:rPr>
          <w:rFonts w:hint="eastAsia" w:ascii="仿宋_GB2312" w:hAnsi="宋体" w:eastAsia="仿宋_GB2312" w:cs="Arial"/>
          <w:kern w:val="0"/>
          <w:sz w:val="32"/>
          <w:szCs w:val="32"/>
        </w:rPr>
        <w:t>万元，</w:t>
      </w:r>
      <w:r>
        <w:rPr>
          <w:rFonts w:hint="eastAsia" w:ascii="仿宋_GB2312" w:eastAsia="仿宋_GB2312"/>
          <w:sz w:val="32"/>
          <w:szCs w:val="32"/>
        </w:rPr>
        <w:t>公用经费</w:t>
      </w:r>
      <w:r>
        <w:rPr>
          <w:rFonts w:hint="eastAsia" w:ascii="仿宋_GB2312" w:hAnsi="宋体" w:eastAsia="仿宋_GB2312" w:cs="Arial"/>
          <w:kern w:val="0"/>
          <w:sz w:val="32"/>
          <w:szCs w:val="32"/>
        </w:rPr>
        <w:t>支出</w:t>
      </w:r>
      <w:r>
        <w:rPr>
          <w:rFonts w:hint="eastAsia" w:ascii="仿宋_GB2312" w:eastAsia="仿宋_GB2312" w:cs="仿宋_GB2312"/>
          <w:kern w:val="0"/>
          <w:sz w:val="32"/>
          <w:szCs w:val="32"/>
          <w:lang w:val="en-US" w:eastAsia="zh-CN"/>
        </w:rPr>
        <w:t>317.65</w:t>
      </w:r>
      <w:r>
        <w:rPr>
          <w:rFonts w:hint="eastAsia" w:ascii="仿宋_GB2312" w:hAnsi="宋体" w:eastAsia="仿宋_GB2312" w:cs="Arial"/>
          <w:kern w:val="0"/>
          <w:sz w:val="32"/>
          <w:szCs w:val="32"/>
        </w:rPr>
        <w:t>万元，项目支出</w:t>
      </w:r>
      <w:r>
        <w:rPr>
          <w:rFonts w:hint="eastAsia" w:ascii="仿宋_GB2312" w:eastAsia="仿宋_GB2312"/>
          <w:sz w:val="32"/>
          <w:szCs w:val="32"/>
          <w:lang w:val="en-US" w:eastAsia="zh-CN"/>
        </w:rPr>
        <w:t>921.32</w:t>
      </w:r>
      <w:r>
        <w:rPr>
          <w:rFonts w:hint="eastAsia" w:ascii="仿宋_GB2312" w:eastAsia="仿宋_GB2312"/>
          <w:sz w:val="32"/>
          <w:szCs w:val="32"/>
        </w:rPr>
        <w:t>万</w:t>
      </w:r>
      <w:r>
        <w:rPr>
          <w:rFonts w:hint="eastAsia" w:ascii="仿宋_GB2312" w:hAnsi="宋体" w:eastAsia="仿宋_GB2312" w:cs="Arial"/>
          <w:bCs/>
          <w:kern w:val="0"/>
          <w:sz w:val="32"/>
          <w:szCs w:val="32"/>
        </w:rPr>
        <w:t>元</w:t>
      </w:r>
      <w:r>
        <w:rPr>
          <w:rFonts w:hint="eastAsia" w:ascii="仿宋_GB2312" w:hAnsi="仿宋" w:eastAsia="仿宋_GB2312"/>
          <w:sz w:val="32"/>
          <w:szCs w:val="32"/>
        </w:rPr>
        <w:t>。</w:t>
      </w:r>
    </w:p>
    <w:p w14:paraId="5B0F31D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eastAsia="仿宋_GB2312" w:cs="仿宋_GB2312"/>
          <w:kern w:val="0"/>
          <w:sz w:val="32"/>
          <w:szCs w:val="32"/>
        </w:rPr>
        <w:t>202</w:t>
      </w:r>
      <w:r>
        <w:rPr>
          <w:rFonts w:hint="eastAsia" w:ascii="仿宋_GB2312" w:eastAsia="仿宋_GB2312" w:cs="仿宋_GB2312"/>
          <w:kern w:val="0"/>
          <w:sz w:val="32"/>
          <w:szCs w:val="32"/>
          <w:lang w:val="en-US" w:eastAsia="zh-CN"/>
        </w:rPr>
        <w:t>4</w:t>
      </w:r>
      <w:r>
        <w:rPr>
          <w:rFonts w:hint="eastAsia" w:ascii="仿宋_GB2312" w:eastAsia="仿宋_GB2312" w:cs="仿宋_GB2312"/>
          <w:kern w:val="0"/>
          <w:sz w:val="32"/>
          <w:szCs w:val="32"/>
        </w:rPr>
        <w:t>年末部门资产总计</w:t>
      </w:r>
      <w:r>
        <w:rPr>
          <w:rFonts w:hint="eastAsia" w:ascii="仿宋_GB2312" w:eastAsia="仿宋_GB2312" w:cs="仿宋_GB2312"/>
          <w:kern w:val="0"/>
          <w:sz w:val="32"/>
          <w:szCs w:val="32"/>
          <w:lang w:val="en-US" w:eastAsia="zh-CN"/>
        </w:rPr>
        <w:t>1086.36</w:t>
      </w:r>
      <w:r>
        <w:rPr>
          <w:rFonts w:hint="eastAsia" w:ascii="仿宋_GB2312" w:eastAsia="仿宋_GB2312" w:cs="仿宋_GB2312"/>
          <w:kern w:val="0"/>
          <w:sz w:val="32"/>
          <w:szCs w:val="32"/>
        </w:rPr>
        <w:t>万元，较上年度减少</w:t>
      </w:r>
      <w:r>
        <w:rPr>
          <w:rFonts w:hint="eastAsia" w:ascii="仿宋_GB2312" w:eastAsia="仿宋_GB2312" w:cs="仿宋_GB2312"/>
          <w:kern w:val="0"/>
          <w:sz w:val="32"/>
          <w:szCs w:val="32"/>
          <w:lang w:val="en-US" w:eastAsia="zh-CN"/>
        </w:rPr>
        <w:t>255.00</w:t>
      </w:r>
      <w:r>
        <w:rPr>
          <w:rFonts w:hint="eastAsia" w:ascii="仿宋_GB2312" w:eastAsia="仿宋_GB2312" w:cs="仿宋_GB2312"/>
          <w:kern w:val="0"/>
          <w:sz w:val="32"/>
          <w:szCs w:val="32"/>
        </w:rPr>
        <w:t>万元，降幅</w:t>
      </w:r>
      <w:r>
        <w:rPr>
          <w:rFonts w:hint="eastAsia" w:ascii="仿宋_GB2312" w:eastAsia="仿宋_GB2312" w:cs="仿宋_GB2312"/>
          <w:kern w:val="0"/>
          <w:sz w:val="32"/>
          <w:szCs w:val="32"/>
          <w:lang w:val="en-US" w:eastAsia="zh-CN"/>
        </w:rPr>
        <w:t>19.01</w:t>
      </w:r>
      <w:r>
        <w:rPr>
          <w:rFonts w:hint="eastAsia" w:ascii="仿宋_GB2312" w:eastAsia="仿宋_GB2312" w:cs="仿宋_GB2312"/>
          <w:kern w:val="0"/>
          <w:sz w:val="32"/>
          <w:szCs w:val="32"/>
        </w:rPr>
        <w:t>%。具体为：流动资产</w:t>
      </w:r>
      <w:r>
        <w:rPr>
          <w:rFonts w:hint="eastAsia" w:ascii="仿宋_GB2312" w:eastAsia="仿宋_GB2312" w:cs="仿宋_GB2312"/>
          <w:kern w:val="0"/>
          <w:sz w:val="32"/>
          <w:szCs w:val="32"/>
          <w:lang w:val="en-US" w:eastAsia="zh-CN"/>
        </w:rPr>
        <w:t>110.43</w:t>
      </w:r>
      <w:r>
        <w:rPr>
          <w:rFonts w:hint="eastAsia" w:ascii="仿宋_GB2312" w:eastAsia="仿宋_GB2312" w:cs="仿宋_GB2312"/>
          <w:kern w:val="0"/>
          <w:sz w:val="32"/>
          <w:szCs w:val="32"/>
        </w:rPr>
        <w:t>万元，其中货币资金</w:t>
      </w:r>
      <w:r>
        <w:rPr>
          <w:rFonts w:hint="eastAsia" w:ascii="仿宋_GB2312" w:eastAsia="仿宋_GB2312" w:cs="仿宋_GB2312"/>
          <w:kern w:val="0"/>
          <w:sz w:val="32"/>
          <w:szCs w:val="32"/>
          <w:lang w:val="en-US" w:eastAsia="zh-CN"/>
        </w:rPr>
        <w:t>108.97</w:t>
      </w:r>
      <w:r>
        <w:rPr>
          <w:rFonts w:hint="eastAsia" w:ascii="仿宋_GB2312" w:eastAsia="仿宋_GB2312" w:cs="仿宋_GB2312"/>
          <w:kern w:val="0"/>
          <w:sz w:val="32"/>
          <w:szCs w:val="32"/>
        </w:rPr>
        <w:t>万元，较上年度减少</w:t>
      </w:r>
      <w:r>
        <w:rPr>
          <w:rFonts w:hint="eastAsia" w:ascii="仿宋_GB2312" w:eastAsia="仿宋_GB2312" w:cs="仿宋_GB2312"/>
          <w:kern w:val="0"/>
          <w:sz w:val="32"/>
          <w:szCs w:val="32"/>
          <w:lang w:val="en-US" w:eastAsia="zh-CN"/>
        </w:rPr>
        <w:t>76.07</w:t>
      </w:r>
      <w:r>
        <w:rPr>
          <w:rFonts w:hint="eastAsia" w:ascii="仿宋_GB2312" w:eastAsia="仿宋_GB2312" w:cs="仿宋_GB2312"/>
          <w:kern w:val="0"/>
          <w:sz w:val="32"/>
          <w:szCs w:val="32"/>
        </w:rPr>
        <w:t>万元，降幅</w:t>
      </w:r>
      <w:r>
        <w:rPr>
          <w:rFonts w:hint="eastAsia" w:ascii="仿宋_GB2312" w:eastAsia="仿宋_GB2312" w:cs="仿宋_GB2312"/>
          <w:kern w:val="0"/>
          <w:sz w:val="32"/>
          <w:szCs w:val="32"/>
          <w:lang w:val="en-US" w:eastAsia="zh-CN"/>
        </w:rPr>
        <w:t>41.11</w:t>
      </w:r>
      <w:r>
        <w:rPr>
          <w:rFonts w:hint="eastAsia" w:ascii="仿宋_GB2312" w:eastAsia="仿宋_GB2312" w:cs="仿宋_GB2312"/>
          <w:kern w:val="0"/>
          <w:sz w:val="32"/>
          <w:szCs w:val="32"/>
        </w:rPr>
        <w:t>%；财政应返还额度0万元，较上年度持平；非流动性资产</w:t>
      </w:r>
      <w:r>
        <w:rPr>
          <w:rFonts w:hint="eastAsia" w:ascii="仿宋_GB2312" w:eastAsia="仿宋_GB2312" w:cs="仿宋_GB2312"/>
          <w:kern w:val="0"/>
          <w:sz w:val="32"/>
          <w:szCs w:val="32"/>
          <w:lang w:val="en-US" w:eastAsia="zh-CN"/>
        </w:rPr>
        <w:t>975.92</w:t>
      </w:r>
      <w:r>
        <w:rPr>
          <w:rFonts w:hint="eastAsia" w:ascii="仿宋_GB2312" w:eastAsia="仿宋_GB2312" w:cs="仿宋_GB2312"/>
          <w:kern w:val="0"/>
          <w:sz w:val="32"/>
          <w:szCs w:val="32"/>
        </w:rPr>
        <w:t>万元，较上年减少</w:t>
      </w:r>
      <w:r>
        <w:rPr>
          <w:rFonts w:hint="eastAsia" w:ascii="仿宋_GB2312" w:eastAsia="仿宋_GB2312" w:cs="仿宋_GB2312"/>
          <w:kern w:val="0"/>
          <w:sz w:val="32"/>
          <w:szCs w:val="32"/>
          <w:lang w:val="en-US" w:eastAsia="zh-CN"/>
        </w:rPr>
        <w:t>179.93</w:t>
      </w:r>
      <w:r>
        <w:rPr>
          <w:rFonts w:hint="eastAsia" w:ascii="仿宋_GB2312" w:eastAsia="仿宋_GB2312" w:cs="仿宋_GB2312"/>
          <w:kern w:val="0"/>
          <w:sz w:val="32"/>
          <w:szCs w:val="32"/>
        </w:rPr>
        <w:t>万元，降幅为</w:t>
      </w:r>
      <w:r>
        <w:rPr>
          <w:rFonts w:hint="eastAsia" w:ascii="仿宋_GB2312" w:eastAsia="仿宋_GB2312" w:cs="仿宋_GB2312"/>
          <w:kern w:val="0"/>
          <w:sz w:val="32"/>
          <w:szCs w:val="32"/>
          <w:lang w:val="en-US" w:eastAsia="zh-CN"/>
        </w:rPr>
        <w:t>15.57</w:t>
      </w:r>
      <w:r>
        <w:rPr>
          <w:rFonts w:hint="eastAsia" w:ascii="仿宋_GB2312" w:eastAsia="仿宋_GB2312" w:cs="仿宋_GB2312"/>
          <w:kern w:val="0"/>
          <w:sz w:val="32"/>
          <w:szCs w:val="32"/>
        </w:rPr>
        <w:t>%。</w:t>
      </w:r>
    </w:p>
    <w:p w14:paraId="2769EC0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1E2CCA4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真学习贯彻二十届中央审计委员会第一次会议精神，紧紧围绕服务市委、市政府中心工作，围绕服务县域经济发展，依法履行监督职责，提升审计质量和效率，充分发挥“经济体检”作用，为我市经济总量过万亿、实现弯道超车“冲刺之年、决胜之年”提供审计支撑，为开创加快建设现代化、国际化美丽省会城市新局面贡献审计力量。</w:t>
      </w:r>
    </w:p>
    <w:p w14:paraId="1F1C7A5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黑体" w:hAnsi="黑体" w:eastAsia="黑体"/>
          <w:sz w:val="32"/>
          <w:szCs w:val="32"/>
        </w:rPr>
      </w:pPr>
      <w:r>
        <w:rPr>
          <w:rFonts w:hint="eastAsia" w:ascii="黑体" w:hAnsi="黑体" w:eastAsia="黑体"/>
          <w:sz w:val="32"/>
          <w:szCs w:val="32"/>
        </w:rPr>
        <w:t>二、自评工作开展情况</w:t>
      </w:r>
    </w:p>
    <w:p w14:paraId="79E10613">
      <w:pPr>
        <w:keepNext w:val="0"/>
        <w:keepLines w:val="0"/>
        <w:pageBreakBefore w:val="0"/>
        <w:widowControl w:val="0"/>
        <w:kinsoku/>
        <w:wordWrap/>
        <w:overflowPunct/>
        <w:topLinePunct w:val="0"/>
        <w:autoSpaceDE/>
        <w:autoSpaceDN/>
        <w:bidi w:val="0"/>
        <w:spacing w:line="540" w:lineRule="exact"/>
        <w:textAlignment w:val="auto"/>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7012134E">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按照市财政局《关于开展202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年绩效自评工作的通知》（石财</w:t>
      </w:r>
      <w:r>
        <w:rPr>
          <w:rFonts w:hint="eastAsia" w:ascii="仿宋_GB2312" w:hAnsi="仿宋" w:eastAsia="仿宋_GB2312"/>
          <w:sz w:val="32"/>
          <w:szCs w:val="32"/>
          <w:lang w:eastAsia="zh-CN"/>
        </w:rPr>
        <w:t>绩</w:t>
      </w:r>
      <w:r>
        <w:rPr>
          <w:rFonts w:hint="eastAsia" w:ascii="仿宋_GB2312" w:hAnsi="仿宋" w:eastAsia="仿宋_GB2312" w:cs="仿宋"/>
          <w:sz w:val="32"/>
          <w:szCs w:val="32"/>
        </w:rPr>
        <w:t>〔</w:t>
      </w:r>
      <w:r>
        <w:rPr>
          <w:rFonts w:hint="eastAsia" w:ascii="仿宋_GB2312" w:hAnsi="Times New Roman" w:eastAsia="仿宋_GB2312" w:cs="Times New Roman"/>
          <w:sz w:val="32"/>
          <w:szCs w:val="32"/>
        </w:rPr>
        <w:t>202</w:t>
      </w:r>
      <w:r>
        <w:rPr>
          <w:rFonts w:hint="eastAsia" w:ascii="仿宋_GB2312" w:eastAsia="仿宋_GB2312" w:cs="Times New Roman"/>
          <w:sz w:val="32"/>
          <w:szCs w:val="32"/>
          <w:lang w:val="en-US" w:eastAsia="zh-CN"/>
        </w:rPr>
        <w:t>5</w:t>
      </w:r>
      <w:r>
        <w:rPr>
          <w:rFonts w:hint="eastAsia" w:ascii="仿宋_GB2312" w:hAnsi="仿宋" w:eastAsia="仿宋_GB2312" w:cs="仿宋"/>
          <w:sz w:val="32"/>
          <w:szCs w:val="32"/>
        </w:rPr>
        <w:t>〕</w:t>
      </w:r>
      <w:r>
        <w:rPr>
          <w:rFonts w:hint="eastAsia" w:ascii="仿宋_GB2312" w:hAnsi="仿宋" w:eastAsia="仿宋_GB2312"/>
          <w:sz w:val="32"/>
          <w:szCs w:val="32"/>
          <w:lang w:val="en-US" w:eastAsia="zh-CN"/>
        </w:rPr>
        <w:t>2</w:t>
      </w:r>
      <w:r>
        <w:rPr>
          <w:rFonts w:hint="eastAsia" w:ascii="仿宋_GB2312" w:hAnsi="仿宋" w:eastAsia="仿宋_GB2312"/>
          <w:sz w:val="32"/>
          <w:szCs w:val="32"/>
        </w:rPr>
        <w:t>号）要求，石家庄市审计局党组高度重视，组织专人成立绩效评价工作组，开展部门202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年整体支出绩效自评工作。</w:t>
      </w:r>
    </w:p>
    <w:p w14:paraId="310578D0">
      <w:pPr>
        <w:keepNext w:val="0"/>
        <w:keepLines w:val="0"/>
        <w:pageBreakBefore w:val="0"/>
        <w:widowControl w:val="0"/>
        <w:kinsoku/>
        <w:wordWrap/>
        <w:overflowPunct/>
        <w:topLinePunct w:val="0"/>
        <w:autoSpaceDE/>
        <w:autoSpaceDN/>
        <w:bidi w:val="0"/>
        <w:adjustRightInd w:val="0"/>
        <w:snapToGrid w:val="0"/>
        <w:spacing w:line="540" w:lineRule="exact"/>
        <w:ind w:left="642"/>
        <w:textAlignment w:val="auto"/>
        <w:rPr>
          <w:rFonts w:ascii="仿宋_GB2312" w:hAnsi="仿宋" w:eastAsia="仿宋_GB2312"/>
          <w:sz w:val="32"/>
          <w:szCs w:val="32"/>
        </w:rPr>
      </w:pPr>
      <w:r>
        <w:rPr>
          <w:rFonts w:hint="eastAsia" w:ascii="仿宋_GB2312" w:hAnsi="仿宋" w:eastAsia="仿宋_GB2312"/>
          <w:sz w:val="32"/>
          <w:szCs w:val="32"/>
        </w:rPr>
        <w:t>组长：局党组成员、副局长  梁春景</w:t>
      </w:r>
    </w:p>
    <w:p w14:paraId="11F64C35">
      <w:pPr>
        <w:keepNext w:val="0"/>
        <w:keepLines w:val="0"/>
        <w:pageBreakBefore w:val="0"/>
        <w:widowControl w:val="0"/>
        <w:kinsoku/>
        <w:wordWrap/>
        <w:overflowPunct/>
        <w:topLinePunct w:val="0"/>
        <w:autoSpaceDE/>
        <w:autoSpaceDN/>
        <w:bidi w:val="0"/>
        <w:adjustRightInd w:val="0"/>
        <w:snapToGrid w:val="0"/>
        <w:spacing w:line="540" w:lineRule="exact"/>
        <w:ind w:left="642"/>
        <w:textAlignment w:val="auto"/>
        <w:rPr>
          <w:rFonts w:ascii="仿宋_GB2312" w:hAnsi="仿宋" w:eastAsia="仿宋_GB2312"/>
          <w:sz w:val="32"/>
          <w:szCs w:val="32"/>
        </w:rPr>
      </w:pPr>
      <w:r>
        <w:rPr>
          <w:rFonts w:hint="eastAsia" w:ascii="仿宋_GB2312" w:hAnsi="仿宋" w:eastAsia="仿宋_GB2312"/>
          <w:sz w:val="32"/>
          <w:szCs w:val="32"/>
        </w:rPr>
        <w:t>组员：办公室主任          王  涛</w:t>
      </w:r>
    </w:p>
    <w:p w14:paraId="122B674F">
      <w:pPr>
        <w:keepNext w:val="0"/>
        <w:keepLines w:val="0"/>
        <w:pageBreakBefore w:val="0"/>
        <w:widowControl w:val="0"/>
        <w:kinsoku/>
        <w:wordWrap/>
        <w:overflowPunct/>
        <w:topLinePunct w:val="0"/>
        <w:autoSpaceDE/>
        <w:autoSpaceDN/>
        <w:bidi w:val="0"/>
        <w:adjustRightInd w:val="0"/>
        <w:snapToGrid w:val="0"/>
        <w:spacing w:line="540" w:lineRule="exact"/>
        <w:ind w:left="642"/>
        <w:textAlignment w:val="auto"/>
        <w:rPr>
          <w:rFonts w:ascii="仿宋_GB2312" w:hAnsi="仿宋" w:eastAsia="仿宋_GB2312"/>
          <w:sz w:val="32"/>
          <w:szCs w:val="32"/>
        </w:rPr>
      </w:pPr>
      <w:r>
        <w:rPr>
          <w:rFonts w:hint="eastAsia" w:ascii="仿宋_GB2312" w:hAnsi="仿宋" w:eastAsia="仿宋_GB2312"/>
          <w:sz w:val="32"/>
          <w:szCs w:val="32"/>
        </w:rPr>
        <w:t xml:space="preserve">      政策法规科科长      李轶儒</w:t>
      </w:r>
    </w:p>
    <w:p w14:paraId="6EE54087">
      <w:pPr>
        <w:keepNext w:val="0"/>
        <w:keepLines w:val="0"/>
        <w:pageBreakBefore w:val="0"/>
        <w:widowControl w:val="0"/>
        <w:kinsoku/>
        <w:wordWrap/>
        <w:overflowPunct/>
        <w:topLinePunct w:val="0"/>
        <w:autoSpaceDE/>
        <w:autoSpaceDN/>
        <w:bidi w:val="0"/>
        <w:adjustRightInd w:val="0"/>
        <w:snapToGrid w:val="0"/>
        <w:spacing w:line="540" w:lineRule="exact"/>
        <w:ind w:left="642"/>
        <w:textAlignment w:val="auto"/>
        <w:rPr>
          <w:rFonts w:ascii="仿宋_GB2312" w:hAnsi="仿宋" w:eastAsia="仿宋_GB2312"/>
          <w:sz w:val="32"/>
          <w:szCs w:val="32"/>
        </w:rPr>
      </w:pPr>
      <w:r>
        <w:rPr>
          <w:rFonts w:hint="eastAsia" w:ascii="仿宋_GB2312" w:hAnsi="仿宋" w:eastAsia="仿宋_GB2312"/>
          <w:sz w:val="32"/>
          <w:szCs w:val="32"/>
        </w:rPr>
        <w:t xml:space="preserve">      内部审计指导科科长  </w:t>
      </w:r>
      <w:r>
        <w:rPr>
          <w:rFonts w:hint="eastAsia" w:ascii="仿宋_GB2312" w:hAnsi="仿宋" w:eastAsia="仿宋_GB2312"/>
          <w:sz w:val="32"/>
          <w:szCs w:val="32"/>
          <w:lang w:eastAsia="zh-CN"/>
        </w:rPr>
        <w:t>韩</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lang w:eastAsia="zh-CN"/>
        </w:rPr>
        <w:t>霞</w:t>
      </w:r>
    </w:p>
    <w:p w14:paraId="43961B82">
      <w:pPr>
        <w:keepNext w:val="0"/>
        <w:keepLines w:val="0"/>
        <w:pageBreakBefore w:val="0"/>
        <w:widowControl w:val="0"/>
        <w:kinsoku/>
        <w:wordWrap/>
        <w:overflowPunct/>
        <w:topLinePunct w:val="0"/>
        <w:autoSpaceDE/>
        <w:autoSpaceDN/>
        <w:bidi w:val="0"/>
        <w:adjustRightInd w:val="0"/>
        <w:snapToGrid w:val="0"/>
        <w:spacing w:line="540" w:lineRule="exact"/>
        <w:ind w:left="642"/>
        <w:textAlignment w:val="auto"/>
        <w:rPr>
          <w:rFonts w:ascii="仿宋_GB2312" w:hAnsi="仿宋" w:eastAsia="仿宋_GB2312"/>
          <w:sz w:val="32"/>
          <w:szCs w:val="32"/>
        </w:rPr>
      </w:pPr>
      <w:r>
        <w:rPr>
          <w:rFonts w:hint="eastAsia" w:ascii="仿宋_GB2312" w:hAnsi="仿宋" w:eastAsia="仿宋_GB2312"/>
          <w:sz w:val="32"/>
          <w:szCs w:val="32"/>
        </w:rPr>
        <w:t xml:space="preserve">      机关纪委专职副书记  史军刚</w:t>
      </w:r>
    </w:p>
    <w:p w14:paraId="6451D74C">
      <w:pPr>
        <w:keepNext w:val="0"/>
        <w:keepLines w:val="0"/>
        <w:pageBreakBefore w:val="0"/>
        <w:widowControl w:val="0"/>
        <w:kinsoku/>
        <w:wordWrap/>
        <w:overflowPunct/>
        <w:topLinePunct w:val="0"/>
        <w:autoSpaceDE/>
        <w:autoSpaceDN/>
        <w:bidi w:val="0"/>
        <w:adjustRightInd w:val="0"/>
        <w:snapToGrid w:val="0"/>
        <w:spacing w:line="540" w:lineRule="exact"/>
        <w:ind w:left="642"/>
        <w:textAlignment w:val="auto"/>
        <w:rPr>
          <w:rFonts w:ascii="仿宋" w:hAnsi="仿宋" w:eastAsia="仿宋"/>
          <w:sz w:val="32"/>
          <w:szCs w:val="32"/>
        </w:rPr>
      </w:pPr>
      <w:r>
        <w:rPr>
          <w:rFonts w:hint="eastAsia" w:ascii="仿宋_GB2312" w:hAnsi="仿宋" w:eastAsia="仿宋_GB2312"/>
          <w:sz w:val="32"/>
          <w:szCs w:val="32"/>
        </w:rPr>
        <w:t xml:space="preserve">      财务人员            杨  扬</w:t>
      </w:r>
    </w:p>
    <w:p w14:paraId="3C59C777">
      <w:pPr>
        <w:keepNext w:val="0"/>
        <w:keepLines w:val="0"/>
        <w:pageBreakBefore w:val="0"/>
        <w:widowControl w:val="0"/>
        <w:numPr>
          <w:ilvl w:val="0"/>
          <w:numId w:val="3"/>
        </w:numPr>
        <w:kinsoku/>
        <w:wordWrap/>
        <w:overflowPunct/>
        <w:topLinePunct w:val="0"/>
        <w:autoSpaceDE/>
        <w:autoSpaceDN/>
        <w:bidi w:val="0"/>
        <w:spacing w:line="540" w:lineRule="exact"/>
        <w:textAlignment w:val="auto"/>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1081ED2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楷体" w:hAnsi="楷体" w:eastAsia="楷体" w:cs="楷体_GB2312"/>
          <w:bCs/>
          <w:sz w:val="32"/>
          <w:szCs w:val="32"/>
        </w:rPr>
      </w:pPr>
      <w:r>
        <w:rPr>
          <w:rFonts w:hint="eastAsia" w:ascii="仿宋_GB2312" w:hAnsi="仿宋" w:eastAsia="仿宋_GB2312"/>
          <w:sz w:val="32"/>
          <w:szCs w:val="32"/>
        </w:rPr>
        <w:t>绩效评价工作组根据《石家庄市市级部门预算项目绩效自评管理办法》（石财绩〔</w:t>
      </w:r>
      <w:r>
        <w:rPr>
          <w:rFonts w:ascii="仿宋_GB2312" w:hAnsi="仿宋" w:eastAsia="仿宋_GB2312"/>
          <w:sz w:val="32"/>
          <w:szCs w:val="32"/>
        </w:rPr>
        <w:t>2020</w:t>
      </w:r>
      <w:r>
        <w:rPr>
          <w:rFonts w:hint="eastAsia" w:ascii="仿宋_GB2312" w:hAnsi="仿宋" w:eastAsia="仿宋_GB2312"/>
          <w:sz w:val="32"/>
          <w:szCs w:val="32"/>
        </w:rPr>
        <w:t>〕5号），制定了绩效评价工作实施方案，明确绩效评价范围、任务分工、评价程序及时间安排。通过全面梳理专项业务项目资金管理使用情况，对202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年初预算设定的部门总体绩效目标完成情况和分项绩效目标指标完成情况进行了核实分析，分项目填写《部门预算项目绩效自评表》，撰写部门整体支出绩效自评工作报告</w:t>
      </w:r>
      <w:r>
        <w:rPr>
          <w:rFonts w:hint="eastAsia" w:ascii="仿宋_GB2312" w:hAnsi="仿宋" w:eastAsia="仿宋_GB2312"/>
          <w:sz w:val="32"/>
          <w:szCs w:val="32"/>
          <w:lang w:eastAsia="zh-CN"/>
        </w:rPr>
        <w:t>和部门绩效自评报告</w:t>
      </w:r>
      <w:r>
        <w:rPr>
          <w:rFonts w:hint="eastAsia" w:ascii="仿宋_GB2312" w:hAnsi="仿宋" w:eastAsia="仿宋_GB2312"/>
          <w:sz w:val="32"/>
          <w:szCs w:val="32"/>
        </w:rPr>
        <w:t>。</w:t>
      </w:r>
    </w:p>
    <w:p w14:paraId="54D1E9F4">
      <w:pPr>
        <w:keepNext w:val="0"/>
        <w:keepLines w:val="0"/>
        <w:pageBreakBefore w:val="0"/>
        <w:widowControl w:val="0"/>
        <w:kinsoku/>
        <w:wordWrap/>
        <w:overflowPunct/>
        <w:topLinePunct w:val="0"/>
        <w:autoSpaceDE/>
        <w:autoSpaceDN/>
        <w:bidi w:val="0"/>
        <w:spacing w:line="540" w:lineRule="exact"/>
        <w:textAlignment w:val="auto"/>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63F4B081">
      <w:pPr>
        <w:keepNext w:val="0"/>
        <w:keepLines w:val="0"/>
        <w:pageBreakBefore w:val="0"/>
        <w:widowControl w:val="0"/>
        <w:numPr>
          <w:ilvl w:val="0"/>
          <w:numId w:val="4"/>
        </w:numPr>
        <w:kinsoku/>
        <w:wordWrap/>
        <w:overflowPunct/>
        <w:topLinePunct w:val="0"/>
        <w:autoSpaceDE/>
        <w:autoSpaceDN/>
        <w:bidi w:val="0"/>
        <w:spacing w:line="54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1F27A484">
      <w:pPr>
        <w:keepNext w:val="0"/>
        <w:keepLines w:val="0"/>
        <w:pageBreakBefore w:val="0"/>
        <w:widowControl w:val="0"/>
        <w:kinsoku/>
        <w:wordWrap/>
        <w:overflowPunct/>
        <w:topLinePunct w:val="0"/>
        <w:autoSpaceDE/>
        <w:autoSpaceDN/>
        <w:bidi w:val="0"/>
        <w:spacing w:line="540" w:lineRule="exact"/>
        <w:ind w:firstLine="800" w:firstLineChars="250"/>
        <w:textAlignment w:val="auto"/>
        <w:rPr>
          <w:rFonts w:ascii="仿宋" w:hAnsi="仿宋" w:eastAsia="仿宋"/>
          <w:sz w:val="32"/>
          <w:szCs w:val="32"/>
        </w:rPr>
      </w:pPr>
      <w:r>
        <w:rPr>
          <w:rFonts w:hint="eastAsia" w:ascii="仿宋_GB2312" w:hAnsi="仿宋_GB2312" w:eastAsia="仿宋_GB2312" w:cs="仿宋_GB2312"/>
          <w:sz w:val="32"/>
          <w:szCs w:val="32"/>
        </w:rPr>
        <w:t>2024年，局领导班子紧紧围绕中心、服务大局，依法履行审计监督职</w:t>
      </w:r>
      <w:r>
        <w:rPr>
          <w:rFonts w:hint="eastAsia" w:ascii="仿宋_GB2312" w:hAnsi="仿宋_GB2312" w:eastAsia="仿宋_GB2312" w:cs="仿宋_GB2312"/>
          <w:b w:val="0"/>
          <w:bCs w:val="0"/>
          <w:sz w:val="32"/>
          <w:szCs w:val="32"/>
          <w:u w:val="none"/>
        </w:rPr>
        <w:t>能</w:t>
      </w:r>
      <w:r>
        <w:rPr>
          <w:rFonts w:hint="eastAsia" w:ascii="仿宋_GB2312" w:hAnsi="仿宋_GB2312" w:eastAsia="仿宋_GB2312" w:cs="仿宋_GB2312"/>
          <w:b w:val="0"/>
          <w:bCs w:val="0"/>
          <w:sz w:val="32"/>
          <w:szCs w:val="32"/>
          <w:u w:val="none"/>
          <w:lang w:eastAsia="zh-CN"/>
        </w:rPr>
        <w:t>。全年</w:t>
      </w:r>
      <w:r>
        <w:rPr>
          <w:rFonts w:hint="eastAsia" w:ascii="仿宋_GB2312" w:hAnsi="仿宋_GB2312" w:eastAsia="仿宋_GB2312" w:cs="仿宋_GB2312"/>
          <w:b w:val="0"/>
          <w:bCs w:val="0"/>
          <w:sz w:val="32"/>
          <w:szCs w:val="32"/>
          <w:u w:val="none"/>
        </w:rPr>
        <w:t>市</w:t>
      </w:r>
      <w:r>
        <w:rPr>
          <w:rFonts w:hint="eastAsia" w:ascii="仿宋_GB2312" w:hAnsi="仿宋_GB2312" w:eastAsia="仿宋_GB2312" w:cs="仿宋_GB2312"/>
          <w:sz w:val="32"/>
          <w:szCs w:val="32"/>
        </w:rPr>
        <w:t>本级共完成审计项目67个，查出问题金额185.07亿元，其中违规金额0.13亿元，管理不规范金额184.94亿元；审计促进增收节支4.12亿元，促进资金拨付到位1.78亿元；移送事项19件，其中移送纪检监察机关2件，移送其他部门17件。</w:t>
      </w:r>
    </w:p>
    <w:p w14:paraId="74F3D853">
      <w:pPr>
        <w:keepNext w:val="0"/>
        <w:keepLines w:val="0"/>
        <w:pageBreakBefore w:val="0"/>
        <w:widowControl w:val="0"/>
        <w:kinsoku/>
        <w:wordWrap/>
        <w:overflowPunct/>
        <w:topLinePunct w:val="0"/>
        <w:autoSpaceDE/>
        <w:autoSpaceDN/>
        <w:bidi w:val="0"/>
        <w:spacing w:line="540" w:lineRule="exact"/>
        <w:textAlignment w:val="auto"/>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299F8340">
      <w:pPr>
        <w:keepNext w:val="0"/>
        <w:keepLines w:val="0"/>
        <w:pageBreakBefore w:val="0"/>
        <w:widowControl w:val="0"/>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认真履行审计监督职责，助推全市经济社会高质量发展</w:t>
      </w:r>
    </w:p>
    <w:p w14:paraId="1D2D1E61">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 w:eastAsia="仿宋_GB2312"/>
          <w:b/>
          <w:sz w:val="32"/>
          <w:szCs w:val="32"/>
        </w:rPr>
        <w:t>绩效目标：</w:t>
      </w:r>
      <w:r>
        <w:rPr>
          <w:rFonts w:hint="eastAsia" w:ascii="仿宋_GB2312" w:hAnsi="仿宋" w:eastAsia="仿宋_GB2312"/>
          <w:sz w:val="32"/>
          <w:szCs w:val="32"/>
        </w:rPr>
        <w:t>对市政府部门财政收支和法律法规规定属于审计监督范围的财务收支的真实、合法和效益进行审计监督，维护财政经济秩序，提高财政资金使用效益，促进廉政建设，保障全市经济和社会健康发展。进一步加大国家重大政策措施落实情况、财政、经责、扶贫、民生、企业、自然资源资产、政府投资建设项目及内部审计等工作力度,探索运用“两统筹”,规避审计风险,提升审计价值。进一步加强审计质量建设，确保审计人员严格按法定程序、在法定职责权限范围内开展审计工作。继续强化审计整改督促监督，发挥审计专业优势，切实做到审计分析有深度、审计建议有高度、审计整改有力度。</w:t>
      </w:r>
    </w:p>
    <w:p w14:paraId="0B821902">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 w:eastAsia="仿宋_GB2312"/>
          <w:b/>
          <w:sz w:val="32"/>
          <w:szCs w:val="32"/>
        </w:rPr>
        <w:t>绩效指标：</w:t>
      </w:r>
      <w:r>
        <w:rPr>
          <w:rFonts w:hint="eastAsia" w:ascii="仿宋_GB2312" w:hAnsi="仿宋_GB2312" w:eastAsia="仿宋_GB2312" w:cs="仿宋_GB2312"/>
          <w:b w:val="0"/>
          <w:bCs w:val="0"/>
          <w:sz w:val="32"/>
          <w:szCs w:val="32"/>
          <w:u w:val="none"/>
          <w:lang w:eastAsia="zh-CN"/>
        </w:rPr>
        <w:t>全年</w:t>
      </w:r>
      <w:r>
        <w:rPr>
          <w:rFonts w:hint="eastAsia" w:ascii="仿宋_GB2312" w:hAnsi="仿宋_GB2312" w:eastAsia="仿宋_GB2312" w:cs="仿宋_GB2312"/>
          <w:b w:val="0"/>
          <w:bCs w:val="0"/>
          <w:sz w:val="32"/>
          <w:szCs w:val="32"/>
          <w:u w:val="none"/>
        </w:rPr>
        <w:t>市</w:t>
      </w:r>
      <w:r>
        <w:rPr>
          <w:rFonts w:hint="eastAsia" w:ascii="仿宋_GB2312" w:hAnsi="仿宋_GB2312" w:eastAsia="仿宋_GB2312" w:cs="仿宋_GB2312"/>
          <w:sz w:val="32"/>
          <w:szCs w:val="32"/>
        </w:rPr>
        <w:t>本级共完成审计项目67个</w:t>
      </w:r>
      <w:r>
        <w:rPr>
          <w:rFonts w:hint="eastAsia" w:ascii="仿宋_GB2312" w:hAnsi="仿宋" w:eastAsia="仿宋_GB2312"/>
          <w:sz w:val="32"/>
          <w:szCs w:val="32"/>
          <w:lang w:eastAsia="zh-CN"/>
        </w:rPr>
        <w:t>；提出审计建议市</w:t>
      </w:r>
      <w:r>
        <w:rPr>
          <w:rFonts w:hint="eastAsia" w:ascii="仿宋_GB2312" w:hAnsi="仿宋" w:eastAsia="仿宋_GB2312"/>
          <w:sz w:val="32"/>
          <w:szCs w:val="32"/>
        </w:rPr>
        <w:t>本级236条，全市753条</w:t>
      </w:r>
      <w:r>
        <w:rPr>
          <w:rFonts w:hint="eastAsia" w:ascii="仿宋_GB2312" w:hAnsi="仿宋" w:eastAsia="仿宋_GB2312"/>
          <w:sz w:val="32"/>
          <w:szCs w:val="32"/>
          <w:lang w:eastAsia="zh-CN"/>
        </w:rPr>
        <w:t>；</w:t>
      </w:r>
      <w:bookmarkStart w:id="1" w:name="OLE_LINK1"/>
      <w:r>
        <w:rPr>
          <w:rFonts w:hint="eastAsia" w:ascii="仿宋_GB2312" w:hAnsi="仿宋" w:eastAsia="仿宋_GB2312"/>
          <w:sz w:val="32"/>
          <w:szCs w:val="32"/>
          <w:lang w:eastAsia="zh-CN"/>
        </w:rPr>
        <w:t>审计建议采纳率达到</w:t>
      </w:r>
      <w:r>
        <w:rPr>
          <w:rFonts w:hint="eastAsia" w:ascii="仿宋_GB2312" w:hAnsi="仿宋" w:eastAsia="仿宋_GB2312"/>
          <w:sz w:val="32"/>
          <w:szCs w:val="32"/>
          <w:lang w:val="en-US" w:eastAsia="zh-CN"/>
        </w:rPr>
        <w:t>96%；</w:t>
      </w:r>
      <w:r>
        <w:rPr>
          <w:rFonts w:hint="eastAsia" w:ascii="仿宋_GB2312" w:hAnsi="仿宋" w:eastAsia="仿宋_GB2312"/>
          <w:sz w:val="32"/>
          <w:szCs w:val="32"/>
        </w:rPr>
        <w:t>全年审计工作计划完成率</w:t>
      </w:r>
      <w:bookmarkEnd w:id="1"/>
      <w:r>
        <w:rPr>
          <w:rFonts w:hint="eastAsia" w:ascii="仿宋_GB2312" w:hAnsi="仿宋" w:eastAsia="仿宋_GB2312"/>
          <w:sz w:val="32"/>
          <w:szCs w:val="32"/>
        </w:rPr>
        <w:t>达到</w:t>
      </w:r>
      <w:r>
        <w:rPr>
          <w:rFonts w:hint="eastAsia" w:ascii="仿宋_GB2312" w:hAnsi="仿宋" w:eastAsia="仿宋_GB2312"/>
          <w:sz w:val="32"/>
          <w:szCs w:val="32"/>
          <w:lang w:val="en-US" w:eastAsia="zh-CN"/>
        </w:rPr>
        <w:t>97</w:t>
      </w:r>
      <w:r>
        <w:rPr>
          <w:rFonts w:hint="eastAsia" w:ascii="仿宋_GB2312" w:hAnsi="仿宋" w:eastAsia="仿宋_GB2312"/>
          <w:sz w:val="32"/>
          <w:szCs w:val="32"/>
        </w:rPr>
        <w:t>%</w:t>
      </w:r>
      <w:r>
        <w:rPr>
          <w:rFonts w:hint="eastAsia" w:ascii="仿宋_GB2312" w:hAnsi="仿宋" w:eastAsia="仿宋_GB2312"/>
          <w:sz w:val="32"/>
          <w:szCs w:val="32"/>
          <w:lang w:eastAsia="zh-CN"/>
        </w:rPr>
        <w:t>；石家庄市审计</w:t>
      </w:r>
      <w:bookmarkStart w:id="2" w:name="_GoBack"/>
      <w:bookmarkEnd w:id="2"/>
      <w:r>
        <w:rPr>
          <w:rFonts w:hint="eastAsia" w:ascii="仿宋_GB2312" w:hAnsi="仿宋" w:eastAsia="仿宋_GB2312"/>
          <w:sz w:val="32"/>
          <w:szCs w:val="32"/>
          <w:lang w:eastAsia="zh-CN"/>
        </w:rPr>
        <w:t>局、灵寿县审计局2个项目获评省厅项目成果评估A类。</w:t>
      </w:r>
    </w:p>
    <w:p w14:paraId="2715689F">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2、注重加强自身建设，不断夯实审计事业发展根基</w:t>
      </w:r>
    </w:p>
    <w:p w14:paraId="7E557125">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bCs/>
          <w:sz w:val="32"/>
          <w:szCs w:val="32"/>
        </w:rPr>
        <w:t>绩效目标：</w:t>
      </w:r>
      <w:r>
        <w:rPr>
          <w:rFonts w:hint="eastAsia" w:ascii="仿宋_GB2312" w:hAnsi="仿宋" w:eastAsia="仿宋_GB2312"/>
          <w:sz w:val="32"/>
          <w:szCs w:val="32"/>
        </w:rPr>
        <w:t>进一步加强审计质量控制管理，严格落实行政执法“三项制度”，修订完善行政执法责任制，进一步严格执行审计程序，规范审计执法行为，防范和化解审计风险，提高审计质量。加强审理环节管理，创新项目审理方法，采取跟踪审理和现场审理等多种方式，及时对审计程序、审计文书、问题定性、引用法律法规条文等提出合理意见，提升审理效果。</w:t>
      </w:r>
    </w:p>
    <w:p w14:paraId="7E296118">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bCs/>
          <w:sz w:val="32"/>
          <w:szCs w:val="32"/>
        </w:rPr>
        <w:t>绩效指标：</w:t>
      </w:r>
      <w:r>
        <w:rPr>
          <w:rFonts w:hint="eastAsia" w:ascii="仿宋_GB2312" w:hAnsi="仿宋_GB2312" w:eastAsia="仿宋_GB2312" w:cs="仿宋_GB2312"/>
          <w:b w:val="0"/>
          <w:bCs w:val="0"/>
          <w:color w:val="000000"/>
          <w:sz w:val="32"/>
          <w:szCs w:val="32"/>
          <w:shd w:val="clear" w:color="auto" w:fill="FFFFFF"/>
        </w:rPr>
        <w:t>坚决贯彻落实习近平总书记关于加强审计机关自身建设的重要指示精神，坚持人才强审，按照“以审计精神立身、以</w:t>
      </w:r>
      <w:r>
        <w:rPr>
          <w:rFonts w:hint="eastAsia" w:hAnsi="仿宋_GB2312" w:eastAsia="仿宋_GB2312" w:cs="仿宋_GB2312" w:asciiTheme="majorAscii"/>
          <w:b w:val="0"/>
          <w:bCs w:val="0"/>
          <w:color w:val="000000"/>
          <w:sz w:val="32"/>
          <w:szCs w:val="32"/>
          <w:shd w:val="clear" w:color="auto" w:fill="FFFFFF"/>
        </w:rPr>
        <w:t>创新规范立业、以自身建设立信”重要要求，锻造忠诚干净担</w:t>
      </w:r>
      <w:r>
        <w:rPr>
          <w:rFonts w:hint="eastAsia" w:ascii="仿宋_GB2312" w:hAnsi="仿宋" w:eastAsia="仿宋_GB2312"/>
          <w:sz w:val="32"/>
          <w:szCs w:val="32"/>
        </w:rPr>
        <w:t>当的高素质专业化审计干部队伍。</w:t>
      </w:r>
    </w:p>
    <w:p w14:paraId="39A719D2">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eastAsia="zh-CN"/>
        </w:rPr>
        <w:t>强化</w:t>
      </w:r>
      <w:r>
        <w:rPr>
          <w:rFonts w:hint="eastAsia" w:ascii="仿宋_GB2312" w:hAnsi="仿宋" w:eastAsia="仿宋_GB2312"/>
          <w:sz w:val="32"/>
          <w:szCs w:val="32"/>
        </w:rPr>
        <w:t>“质量立审”。</w:t>
      </w:r>
      <w:r>
        <w:rPr>
          <w:rFonts w:hint="eastAsia" w:ascii="仿宋_GB2312" w:hAnsi="仿宋" w:eastAsia="仿宋_GB2312"/>
          <w:sz w:val="32"/>
          <w:szCs w:val="32"/>
          <w:lang w:val="en-US" w:eastAsia="zh-CN"/>
        </w:rPr>
        <w:t>牢固树立审计项目规范化、精品化观念，修订完善了《审计项目全流程审计质量控制办法》等10项业务制度，运用审计现场管理平台，对审计现场进行管控，开展跟踪审理，提升审理质量和效率。开展县级审计机关审计业务质量检查，抽取80余份档案，查看200余份结论性文书。</w:t>
      </w:r>
    </w:p>
    <w:p w14:paraId="1CF118F8">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 w:eastAsia="仿宋_GB2312"/>
          <w:sz w:val="32"/>
          <w:szCs w:val="32"/>
          <w:lang w:val="en-US" w:eastAsia="zh-CN"/>
        </w:rPr>
        <w:t>强化“人才兴审”。</w:t>
      </w:r>
      <w:r>
        <w:rPr>
          <w:rFonts w:hint="eastAsia" w:ascii="仿宋_GB2312" w:hAnsi="仿宋" w:eastAsia="仿宋_GB2312"/>
          <w:sz w:val="32"/>
          <w:szCs w:val="32"/>
          <w:lang w:eastAsia="zh-CN"/>
        </w:rPr>
        <w:t>坚</w:t>
      </w:r>
      <w:r>
        <w:rPr>
          <w:rFonts w:hint="eastAsia" w:ascii="仿宋_GB2312" w:hAnsi="宋体" w:eastAsia="仿宋_GB2312" w:cs="仿宋_GB2312"/>
          <w:color w:val="000000"/>
          <w:sz w:val="32"/>
          <w:szCs w:val="32"/>
          <w:shd w:val="clear" w:color="auto" w:fill="FFFFFF"/>
          <w:lang w:eastAsia="zh-CN"/>
        </w:rPr>
        <w:t>持“</w:t>
      </w:r>
      <w:r>
        <w:rPr>
          <w:rFonts w:hint="eastAsia" w:ascii="仿宋_GB2312" w:hAnsi="宋体" w:eastAsia="仿宋_GB2312" w:cs="仿宋_GB2312"/>
          <w:color w:val="000000"/>
          <w:sz w:val="32"/>
          <w:szCs w:val="32"/>
          <w:shd w:val="clear" w:color="auto" w:fill="FFFFFF"/>
        </w:rPr>
        <w:t>请进来、走出去、互相学</w:t>
      </w:r>
      <w:r>
        <w:rPr>
          <w:rFonts w:hint="eastAsia" w:ascii="仿宋_GB2312" w:hAnsi="宋体" w:eastAsia="仿宋_GB2312" w:cs="仿宋_GB2312"/>
          <w:color w:val="000000"/>
          <w:sz w:val="32"/>
          <w:szCs w:val="32"/>
          <w:shd w:val="clear" w:color="auto" w:fill="FFFFFF"/>
          <w:lang w:eastAsia="zh-CN"/>
        </w:rPr>
        <w:t>”</w:t>
      </w:r>
      <w:r>
        <w:rPr>
          <w:rFonts w:hint="eastAsia" w:ascii="仿宋_GB2312" w:hAnsi="宋体" w:eastAsia="仿宋_GB2312" w:cs="仿宋_GB2312"/>
          <w:color w:val="000000"/>
          <w:sz w:val="32"/>
          <w:szCs w:val="32"/>
          <w:shd w:val="clear" w:color="auto" w:fill="FFFFFF"/>
        </w:rPr>
        <w:t>，</w:t>
      </w:r>
      <w:r>
        <w:rPr>
          <w:rFonts w:hint="eastAsia" w:ascii="仿宋_GB2312" w:hAnsi="仿宋_GB2312" w:eastAsia="仿宋_GB2312" w:cs="仿宋_GB2312"/>
          <w:kern w:val="2"/>
          <w:sz w:val="32"/>
          <w:szCs w:val="32"/>
          <w:lang w:val="en-US" w:eastAsia="zh-CN" w:bidi="ar-SA"/>
        </w:rPr>
        <w:t>举办全市审计系统“审计业务能力提升专题培训班”，</w:t>
      </w:r>
      <w:r>
        <w:rPr>
          <w:rFonts w:hint="eastAsia" w:ascii="仿宋_GB2312" w:hAnsi="仿宋_GB2312" w:eastAsia="仿宋_GB2312" w:cs="仿宋_GB2312"/>
          <w:sz w:val="32"/>
          <w:szCs w:val="32"/>
        </w:rPr>
        <w:t>开展“审计大讲堂”9期</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kern w:val="2"/>
          <w:sz w:val="32"/>
          <w:szCs w:val="32"/>
          <w:lang w:val="en-US" w:eastAsia="zh-CN" w:bidi="ar-SA"/>
        </w:rPr>
        <w:t>邀请审计领域专家进行业务培训，</w:t>
      </w:r>
      <w:r>
        <w:rPr>
          <w:rFonts w:hint="eastAsia" w:ascii="仿宋_GB2312" w:hAnsi="仿宋_GB2312" w:eastAsia="仿宋_GB2312" w:cs="仿宋_GB2312"/>
          <w:color w:val="auto"/>
          <w:sz w:val="32"/>
          <w:szCs w:val="32"/>
        </w:rPr>
        <w:t>培训3000余人次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开展大数据审计培训班，提升审计业务人员综合素质，开展一级预算单位全覆盖审计，</w:t>
      </w:r>
      <w:r>
        <w:rPr>
          <w:rFonts w:hint="eastAsia" w:ascii="仿宋_GB2312" w:hAnsi="仿宋" w:eastAsia="仿宋_GB2312" w:cs="黑体"/>
          <w:sz w:val="32"/>
          <w:szCs w:val="32"/>
        </w:rPr>
        <w:t>提取数据单位数量1</w:t>
      </w:r>
      <w:r>
        <w:rPr>
          <w:rFonts w:hint="eastAsia" w:ascii="仿宋_GB2312" w:hAnsi="仿宋" w:eastAsia="仿宋_GB2312" w:cs="黑体"/>
          <w:sz w:val="32"/>
          <w:szCs w:val="32"/>
          <w:lang w:val="en-US" w:eastAsia="zh-CN"/>
        </w:rPr>
        <w:t>413</w:t>
      </w:r>
      <w:r>
        <w:rPr>
          <w:rFonts w:hint="eastAsia" w:ascii="仿宋_GB2312" w:hAnsi="仿宋" w:eastAsia="仿宋_GB2312" w:cs="黑体"/>
          <w:sz w:val="32"/>
          <w:szCs w:val="32"/>
        </w:rPr>
        <w:t>个，采集转换标准数据315G，生</w:t>
      </w:r>
      <w:r>
        <w:rPr>
          <w:rFonts w:hint="eastAsia" w:ascii="仿宋_GB2312" w:hAnsi="仿宋" w:eastAsia="仿宋_GB2312" w:cs="黑体"/>
          <w:sz w:val="32"/>
          <w:szCs w:val="32"/>
          <w:lang w:eastAsia="zh-CN"/>
        </w:rPr>
        <w:t>成</w:t>
      </w:r>
      <w:r>
        <w:rPr>
          <w:rFonts w:hint="eastAsia" w:ascii="仿宋_GB2312" w:hAnsi="仿宋" w:eastAsia="仿宋_GB2312" w:cs="黑体"/>
          <w:sz w:val="32"/>
          <w:szCs w:val="32"/>
        </w:rPr>
        <w:t>财务标准数据库1</w:t>
      </w:r>
      <w:r>
        <w:rPr>
          <w:rFonts w:hint="eastAsia" w:ascii="仿宋_GB2312" w:hAnsi="仿宋" w:eastAsia="仿宋_GB2312" w:cs="黑体"/>
          <w:sz w:val="32"/>
          <w:szCs w:val="32"/>
          <w:lang w:val="en-US" w:eastAsia="zh-CN"/>
        </w:rPr>
        <w:t>3.9</w:t>
      </w:r>
      <w:r>
        <w:rPr>
          <w:rFonts w:hint="eastAsia" w:ascii="仿宋_GB2312" w:hAnsi="仿宋" w:eastAsia="仿宋_GB2312" w:cs="黑体"/>
          <w:sz w:val="32"/>
          <w:szCs w:val="32"/>
        </w:rPr>
        <w:t>GB</w:t>
      </w:r>
      <w:r>
        <w:rPr>
          <w:rFonts w:hint="eastAsia" w:ascii="仿宋_GB2312" w:hAnsi="仿宋" w:eastAsia="仿宋_GB2312" w:cs="黑体"/>
          <w:sz w:val="32"/>
          <w:szCs w:val="32"/>
          <w:lang w:eastAsia="zh-CN"/>
        </w:rPr>
        <w:t>，</w:t>
      </w:r>
      <w:r>
        <w:rPr>
          <w:rFonts w:hint="eastAsia" w:ascii="仿宋_GB2312" w:hAnsi="仿宋_GB2312" w:eastAsia="仿宋_GB2312" w:cs="仿宋_GB2312"/>
          <w:sz w:val="32"/>
          <w:szCs w:val="32"/>
          <w:lang w:val="zh-CN"/>
        </w:rPr>
        <w:t>处理、分析</w:t>
      </w:r>
      <w:r>
        <w:rPr>
          <w:rFonts w:hint="eastAsia" w:ascii="仿宋_GB2312" w:hAnsi="仿宋_GB2312" w:eastAsia="仿宋_GB2312" w:cs="仿宋_GB2312"/>
          <w:sz w:val="32"/>
          <w:szCs w:val="32"/>
        </w:rPr>
        <w:t>500余万条</w:t>
      </w:r>
      <w:r>
        <w:rPr>
          <w:rFonts w:hint="eastAsia" w:ascii="仿宋_GB2312" w:hAnsi="仿宋_GB2312" w:eastAsia="仿宋_GB2312" w:cs="仿宋_GB2312"/>
          <w:sz w:val="32"/>
          <w:szCs w:val="32"/>
          <w:lang w:val="zh-CN"/>
        </w:rPr>
        <w:t>数据，</w:t>
      </w:r>
      <w:r>
        <w:rPr>
          <w:rFonts w:hint="eastAsia" w:ascii="仿宋_GB2312" w:hAnsi="仿宋_GB2312" w:eastAsia="仿宋_GB2312" w:cs="仿宋_GB2312"/>
          <w:kern w:val="0"/>
          <w:sz w:val="32"/>
          <w:szCs w:val="32"/>
          <w:lang w:val="zh-CN"/>
        </w:rPr>
        <w:t>重点核查</w:t>
      </w:r>
      <w:r>
        <w:rPr>
          <w:rFonts w:hint="eastAsia" w:ascii="仿宋_GB2312" w:hAnsi="仿宋_GB2312" w:eastAsia="仿宋_GB2312" w:cs="仿宋_GB2312"/>
          <w:kern w:val="0"/>
          <w:sz w:val="32"/>
          <w:szCs w:val="32"/>
        </w:rPr>
        <w:t>24个单位</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rPr>
        <w:t>提出审计建议6条。撰写2篇审计专报</w:t>
      </w:r>
      <w:r>
        <w:rPr>
          <w:rFonts w:hint="eastAsia" w:ascii="仿宋_GB2312" w:hAnsi="仿宋_GB2312" w:eastAsia="仿宋_GB2312" w:cs="仿宋_GB2312"/>
          <w:sz w:val="32"/>
          <w:szCs w:val="32"/>
          <w:lang w:eastAsia="zh-CN"/>
        </w:rPr>
        <w:t>。</w:t>
      </w:r>
    </w:p>
    <w:p w14:paraId="536DB20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3、大力推进审计信息化建设</w:t>
      </w:r>
    </w:p>
    <w:p w14:paraId="266079C1">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绩效目标：</w:t>
      </w:r>
      <w:r>
        <w:rPr>
          <w:rFonts w:hint="eastAsia" w:ascii="仿宋_GB2312" w:hAnsi="仿宋_GB2312" w:eastAsia="仿宋_GB2312" w:cs="仿宋_GB2312"/>
          <w:sz w:val="32"/>
          <w:szCs w:val="32"/>
          <w:lang w:eastAsia="zh-CN"/>
        </w:rPr>
        <w:t>作为全省金审工程三期试点单位，坚持“统一规划、两级部署、以用为本”指导思想，积极推动金审工程三期应用，一体推进全市电子数据标准化，采取“现场指导培训、逐县逐人解决”的方式，实现全市电子数据标准化。持续推进审计管理系统和审计专网网站国产化改造积极建设网上联动（财政）审计系统，利用政务内网与市财政局网络对接互联，实现审计与财政信息网络互联互通。</w:t>
      </w:r>
    </w:p>
    <w:p w14:paraId="69A67D5E">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绩效指标：</w:t>
      </w:r>
      <w:r>
        <w:rPr>
          <w:rFonts w:hint="eastAsia" w:ascii="仿宋_GB2312" w:hAnsi="仿宋_GB2312" w:eastAsia="仿宋_GB2312" w:cs="仿宋_GB2312"/>
          <w:sz w:val="32"/>
          <w:szCs w:val="32"/>
          <w:lang w:eastAsia="zh-CN"/>
        </w:rPr>
        <w:t>同步开展财政联网审计工作，实现网络通联率达</w:t>
      </w:r>
      <w:r>
        <w:rPr>
          <w:rFonts w:hint="eastAsia" w:ascii="仿宋_GB2312" w:hAnsi="仿宋" w:eastAsia="仿宋_GB2312"/>
          <w:sz w:val="32"/>
          <w:szCs w:val="32"/>
          <w:lang w:eastAsia="zh-CN"/>
        </w:rPr>
        <w:t>到</w:t>
      </w:r>
      <w:r>
        <w:rPr>
          <w:rFonts w:hint="eastAsia" w:ascii="仿宋_GB2312" w:hAnsi="仿宋" w:eastAsia="仿宋_GB2312"/>
          <w:sz w:val="32"/>
          <w:szCs w:val="32"/>
          <w:lang w:val="en-US" w:eastAsia="zh-CN"/>
        </w:rPr>
        <w:t>100%</w:t>
      </w:r>
      <w:r>
        <w:rPr>
          <w:rFonts w:hint="eastAsia" w:ascii="仿宋_GB2312" w:hAnsi="仿宋" w:eastAsia="仿宋_GB2312"/>
          <w:sz w:val="32"/>
          <w:szCs w:val="32"/>
          <w:lang w:eastAsia="zh-CN"/>
        </w:rPr>
        <w:t>，计算机技术应用覆盖率</w:t>
      </w:r>
      <w:r>
        <w:rPr>
          <w:rFonts w:hint="eastAsia" w:ascii="仿宋_GB2312" w:hAnsi="仿宋" w:eastAsia="仿宋_GB2312"/>
          <w:sz w:val="32"/>
          <w:szCs w:val="32"/>
          <w:lang w:val="en-US" w:eastAsia="zh-CN"/>
        </w:rPr>
        <w:t>100%</w:t>
      </w:r>
      <w:r>
        <w:rPr>
          <w:rFonts w:hint="eastAsia" w:ascii="仿宋_GB2312" w:hAnsi="仿宋" w:eastAsia="仿宋_GB2312"/>
          <w:sz w:val="32"/>
          <w:szCs w:val="32"/>
          <w:lang w:eastAsia="zh-CN"/>
        </w:rPr>
        <w:t>，一级预算单位财务数据分析完成率</w:t>
      </w:r>
      <w:r>
        <w:rPr>
          <w:rFonts w:hint="eastAsia" w:ascii="仿宋_GB2312" w:hAnsi="仿宋" w:eastAsia="仿宋_GB2312"/>
          <w:sz w:val="32"/>
          <w:szCs w:val="32"/>
          <w:lang w:val="en-US" w:eastAsia="zh-CN"/>
        </w:rPr>
        <w:t>100%</w:t>
      </w:r>
      <w:r>
        <w:rPr>
          <w:rFonts w:hint="eastAsia" w:ascii="仿宋_GB2312" w:hAnsi="仿宋" w:eastAsia="仿宋_GB2312"/>
          <w:sz w:val="32"/>
          <w:szCs w:val="32"/>
          <w:lang w:eastAsia="zh-CN"/>
        </w:rPr>
        <w:t>。</w:t>
      </w:r>
    </w:p>
    <w:p w14:paraId="7EB86F33">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四、评价结论和评价等级</w:t>
      </w:r>
    </w:p>
    <w:p w14:paraId="44C95C5A">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ascii="仿宋" w:hAnsi="仿宋" w:eastAsia="仿宋"/>
          <w:sz w:val="32"/>
          <w:szCs w:val="32"/>
        </w:rPr>
      </w:pPr>
      <w:r>
        <w:rPr>
          <w:rFonts w:hint="eastAsia" w:ascii="仿宋_GB2312" w:hAnsi="仿宋" w:eastAsia="仿宋_GB2312"/>
          <w:sz w:val="32"/>
          <w:szCs w:val="32"/>
        </w:rPr>
        <w:t>根据部门职责定位和各项工作履职情况，通过综合分析评价，绩效评价工作组对部门</w:t>
      </w:r>
      <w:r>
        <w:rPr>
          <w:rFonts w:hint="eastAsia" w:ascii="仿宋_GB2312" w:hAnsi="仿宋" w:eastAsia="仿宋_GB2312"/>
          <w:sz w:val="32"/>
          <w:szCs w:val="32"/>
          <w:lang w:val="en-US" w:eastAsia="zh-CN"/>
        </w:rPr>
        <w:t>9个项目</w:t>
      </w:r>
      <w:r>
        <w:rPr>
          <w:rFonts w:hint="eastAsia" w:ascii="仿宋_GB2312" w:hAnsi="仿宋" w:eastAsia="仿宋_GB2312"/>
          <w:sz w:val="32"/>
          <w:szCs w:val="32"/>
        </w:rPr>
        <w:t>整体支出绩效目标实现情况进行打分，总分100分，得分</w:t>
      </w:r>
      <w:r>
        <w:rPr>
          <w:rFonts w:hint="eastAsia" w:ascii="仿宋_GB2312" w:hAnsi="仿宋" w:eastAsia="仿宋_GB2312"/>
          <w:sz w:val="32"/>
          <w:szCs w:val="32"/>
          <w:lang w:val="en-US" w:eastAsia="zh-CN"/>
        </w:rPr>
        <w:t>99.44</w:t>
      </w:r>
      <w:r>
        <w:rPr>
          <w:rFonts w:hint="eastAsia" w:ascii="仿宋_GB2312" w:hAnsi="仿宋" w:eastAsia="仿宋_GB2312"/>
          <w:sz w:val="32"/>
          <w:szCs w:val="32"/>
        </w:rPr>
        <w:t>分，综合绩效评价等级为</w:t>
      </w:r>
      <w:r>
        <w:rPr>
          <w:rFonts w:hint="eastAsia" w:ascii="仿宋_GB2312" w:hAnsi="仿宋" w:eastAsia="仿宋_GB2312"/>
          <w:sz w:val="32"/>
          <w:szCs w:val="32"/>
          <w:lang w:eastAsia="zh-CN"/>
        </w:rPr>
        <w:t>优秀</w:t>
      </w:r>
      <w:r>
        <w:rPr>
          <w:rFonts w:hint="eastAsia" w:ascii="仿宋_GB2312" w:hAnsi="仿宋" w:eastAsia="仿宋_GB2312"/>
          <w:sz w:val="32"/>
          <w:szCs w:val="32"/>
        </w:rPr>
        <w:t>。在今后的工作中，我们将继续重视绩效评价工作，通过绩效评价应用实践，优化对比分析，总结实践中的经验和教训，进一步推进预算绩效管理工作，提高财政资金使用效益，在更高层次上实现财政资源配置的公平性和合理性</w:t>
      </w:r>
      <w:r>
        <w:rPr>
          <w:rFonts w:hint="eastAsia" w:ascii="仿宋" w:hAnsi="仿宋" w:eastAsia="仿宋"/>
          <w:sz w:val="32"/>
          <w:szCs w:val="32"/>
        </w:rPr>
        <w:t>。</w:t>
      </w:r>
    </w:p>
    <w:p w14:paraId="700F1D95">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黑体" w:hAnsi="黑体" w:eastAsia="黑体"/>
          <w:sz w:val="32"/>
          <w:szCs w:val="32"/>
        </w:rPr>
      </w:pPr>
      <w:r>
        <w:rPr>
          <w:rFonts w:hint="eastAsia" w:ascii="黑体" w:hAnsi="黑体" w:eastAsia="黑体"/>
          <w:sz w:val="32"/>
          <w:szCs w:val="32"/>
        </w:rPr>
        <w:t>五、存在的问题及改进措施</w:t>
      </w:r>
    </w:p>
    <w:p w14:paraId="2CCF26D1">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楷体" w:hAnsi="楷体" w:eastAsia="楷体"/>
          <w:bCs/>
          <w:sz w:val="32"/>
          <w:szCs w:val="32"/>
        </w:rPr>
      </w:pPr>
      <w:r>
        <w:rPr>
          <w:rFonts w:hint="eastAsia" w:ascii="楷体" w:hAnsi="楷体" w:eastAsia="楷体"/>
          <w:bCs/>
          <w:sz w:val="32"/>
          <w:szCs w:val="32"/>
        </w:rPr>
        <w:t>（一）存在的主要问题</w:t>
      </w:r>
    </w:p>
    <w:p w14:paraId="6BF293D0">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绩效工作管理有待加强。绩效工作管理还存在一定的薄弱</w:t>
      </w:r>
    </w:p>
    <w:p w14:paraId="3642BD5E">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 w:eastAsia="仿宋_GB2312"/>
          <w:sz w:val="32"/>
          <w:szCs w:val="32"/>
        </w:rPr>
      </w:pPr>
      <w:r>
        <w:rPr>
          <w:rFonts w:hint="eastAsia" w:ascii="仿宋_GB2312" w:hAnsi="仿宋" w:eastAsia="仿宋_GB2312"/>
          <w:sz w:val="32"/>
          <w:szCs w:val="32"/>
        </w:rPr>
        <w:t>环节，个别科室绩效理念尚未全面树立、绩效指标激励约束作用不强，绩效工作管理的广度和深度不足。</w:t>
      </w:r>
    </w:p>
    <w:p w14:paraId="477B633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楷体" w:hAnsi="楷体" w:eastAsia="楷体"/>
          <w:bCs/>
          <w:sz w:val="32"/>
          <w:szCs w:val="32"/>
        </w:rPr>
      </w:pPr>
      <w:r>
        <w:rPr>
          <w:rFonts w:hint="eastAsia" w:ascii="楷体" w:hAnsi="楷体" w:eastAsia="楷体"/>
          <w:bCs/>
          <w:sz w:val="32"/>
          <w:szCs w:val="32"/>
        </w:rPr>
        <w:t>（二）针对问题提出具体的改进措施或建议</w:t>
      </w:r>
    </w:p>
    <w:p w14:paraId="26E678FB">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提高绩效目标质量。</w:t>
      </w:r>
    </w:p>
    <w:p w14:paraId="176E0967">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提高对科学合理设置绩效目标重要性的认识。在预算编制</w:t>
      </w:r>
      <w:r>
        <w:rPr>
          <w:rFonts w:hint="eastAsia" w:ascii="仿宋_GB2312" w:hAnsi="仿宋" w:eastAsia="仿宋_GB2312"/>
          <w:sz w:val="32"/>
          <w:szCs w:val="32"/>
          <w:lang w:eastAsia="zh-CN"/>
        </w:rPr>
        <w:t>过程中</w:t>
      </w:r>
      <w:r>
        <w:rPr>
          <w:rFonts w:hint="eastAsia" w:ascii="仿宋_GB2312" w:hAnsi="仿宋" w:eastAsia="仿宋_GB2312"/>
          <w:sz w:val="32"/>
          <w:szCs w:val="32"/>
        </w:rPr>
        <w:t>，严格按照“谁申请资金、谁编制目标”的原则，将绩效目标作为预算申请的前置条件，部门设定的绩效目标能够清晰反映预算资金的预期产出和效果，并从产出、效益、满意度等方面设置相应的绩效指标予以细化、量化，确保绩效目标完整性、相关性、适当性和可行性。</w:t>
      </w:r>
    </w:p>
    <w:p w14:paraId="6F088309">
      <w:pPr>
        <w:keepNext w:val="0"/>
        <w:keepLines w:val="0"/>
        <w:pageBreakBefore w:val="0"/>
        <w:widowControl w:val="0"/>
        <w:numPr>
          <w:ilvl w:val="0"/>
          <w:numId w:val="5"/>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严格绩效目标审核。</w:t>
      </w:r>
    </w:p>
    <w:p w14:paraId="3D87C218">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仿宋_GB2312" w:hAnsi="仿宋" w:eastAsia="仿宋_GB2312"/>
          <w:sz w:val="32"/>
          <w:szCs w:val="32"/>
        </w:rPr>
      </w:pPr>
      <w:r>
        <w:rPr>
          <w:rFonts w:hint="eastAsia" w:ascii="仿宋_GB2312" w:hAnsi="仿宋" w:eastAsia="仿宋_GB2312"/>
          <w:sz w:val="32"/>
          <w:szCs w:val="32"/>
        </w:rPr>
        <w:t>充分发挥预算绩效目标刚性约束作用，</w:t>
      </w:r>
      <w:r>
        <w:rPr>
          <w:rFonts w:hint="eastAsia" w:ascii="仿宋_GB2312" w:hAnsi="仿宋" w:eastAsia="仿宋_GB2312"/>
          <w:sz w:val="32"/>
          <w:szCs w:val="32"/>
          <w:lang w:eastAsia="zh-CN"/>
        </w:rPr>
        <w:t>加强资金使用科室</w:t>
      </w:r>
      <w:r>
        <w:rPr>
          <w:rFonts w:hint="eastAsia" w:ascii="仿宋_GB2312" w:hAnsi="仿宋" w:eastAsia="仿宋_GB2312"/>
          <w:sz w:val="32"/>
          <w:szCs w:val="32"/>
        </w:rPr>
        <w:t>对相关绩效目标进行修改完善</w:t>
      </w:r>
      <w:r>
        <w:rPr>
          <w:rFonts w:hint="eastAsia" w:ascii="仿宋_GB2312" w:hAnsi="仿宋" w:eastAsia="仿宋_GB2312"/>
          <w:sz w:val="32"/>
          <w:szCs w:val="32"/>
          <w:lang w:eastAsia="zh-CN"/>
        </w:rPr>
        <w:t>，</w:t>
      </w:r>
      <w:r>
        <w:rPr>
          <w:rFonts w:hint="eastAsia" w:ascii="仿宋_GB2312" w:hAnsi="仿宋" w:eastAsia="仿宋_GB2312"/>
          <w:sz w:val="32"/>
          <w:szCs w:val="32"/>
        </w:rPr>
        <w:t>加大绩效目标审核力度。将绩效目标审核</w:t>
      </w:r>
      <w:r>
        <w:rPr>
          <w:rFonts w:hint="eastAsia" w:ascii="仿宋_GB2312" w:hAnsi="仿宋" w:eastAsia="仿宋_GB2312"/>
          <w:sz w:val="32"/>
          <w:szCs w:val="32"/>
          <w:lang w:eastAsia="zh-CN"/>
        </w:rPr>
        <w:t>与</w:t>
      </w:r>
      <w:r>
        <w:rPr>
          <w:rFonts w:hint="eastAsia" w:ascii="仿宋_GB2312" w:hAnsi="仿宋" w:eastAsia="仿宋_GB2312"/>
          <w:sz w:val="32"/>
          <w:szCs w:val="32"/>
        </w:rPr>
        <w:t>预算编制</w:t>
      </w:r>
      <w:r>
        <w:rPr>
          <w:rFonts w:hint="eastAsia" w:ascii="仿宋_GB2312" w:hAnsi="仿宋" w:eastAsia="仿宋_GB2312"/>
          <w:sz w:val="32"/>
          <w:szCs w:val="32"/>
          <w:lang w:eastAsia="zh-CN"/>
        </w:rPr>
        <w:t>融合</w:t>
      </w:r>
      <w:r>
        <w:rPr>
          <w:rFonts w:hint="eastAsia" w:ascii="仿宋_GB2312" w:hAnsi="仿宋" w:eastAsia="仿宋_GB2312"/>
          <w:sz w:val="32"/>
          <w:szCs w:val="32"/>
        </w:rPr>
        <w:t>，在审核绩效目标形式完整性的同时，强化对内容相关性、适当性、可行性的审核，组织开展绩效目标重点</w:t>
      </w:r>
      <w:r>
        <w:rPr>
          <w:rFonts w:hint="eastAsia" w:ascii="仿宋_GB2312" w:hAnsi="仿宋" w:eastAsia="仿宋_GB2312"/>
          <w:sz w:val="32"/>
          <w:szCs w:val="32"/>
          <w:lang w:eastAsia="zh-CN"/>
        </w:rPr>
        <w:t>论证</w:t>
      </w:r>
      <w:r>
        <w:rPr>
          <w:rFonts w:hint="eastAsia" w:ascii="仿宋_GB2312" w:hAnsi="仿宋" w:eastAsia="仿宋_GB2312"/>
          <w:sz w:val="32"/>
          <w:szCs w:val="32"/>
        </w:rPr>
        <w:t>，将审核结果作为预算安排的重要参考</w:t>
      </w:r>
      <w:r>
        <w:rPr>
          <w:rFonts w:hint="eastAsia" w:ascii="仿宋_GB2312" w:hAnsi="仿宋" w:eastAsia="仿宋_GB2312"/>
          <w:sz w:val="32"/>
          <w:szCs w:val="32"/>
          <w:lang w:eastAsia="zh-CN"/>
        </w:rPr>
        <w:t>，</w:t>
      </w:r>
      <w:r>
        <w:rPr>
          <w:rFonts w:hint="eastAsia" w:ascii="仿宋_GB2312" w:hAnsi="仿宋" w:eastAsia="仿宋_GB2312"/>
          <w:sz w:val="32"/>
          <w:szCs w:val="32"/>
        </w:rPr>
        <w:t>做到所申报项目绩效目标细化量化、内容完整清晰、规划科学合理、举措切实可行。</w:t>
      </w:r>
    </w:p>
    <w:p w14:paraId="776F7E35">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3．重视结果应用</w:t>
      </w:r>
    </w:p>
    <w:p w14:paraId="2726F99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强化绩效评价结果运用，发挥绩效管理的“指挥棒”和“风向标”作用，确保把绩效理念转化为绩效行动，推动绩效管理由“软约束”变成“硬杠杠”。通过绩效评价应用实践，优化对比分析，总结实践中的经验和教训，强化财政资金管理水平、优化财政支出结构、提高财政资金使用效益，在更高层次上实现财政资源配置的公平性和合理性。建立健全评价结果应用机制，将评价结果充分运用于改进管理、调整政策、安排预算，实现资源的有效配置和资金使用效益</w:t>
      </w:r>
      <w:r>
        <w:rPr>
          <w:rFonts w:hint="eastAsia" w:ascii="仿宋_GB2312" w:hAnsi="仿宋" w:eastAsia="仿宋_GB2312"/>
          <w:sz w:val="32"/>
          <w:szCs w:val="32"/>
          <w:lang w:eastAsia="zh-CN"/>
        </w:rPr>
        <w:t>。</w:t>
      </w:r>
    </w:p>
    <w:p w14:paraId="512A7097">
      <w:pPr>
        <w:keepNext w:val="0"/>
        <w:keepLines w:val="0"/>
        <w:pageBreakBefore w:val="0"/>
        <w:widowControl w:val="0"/>
        <w:kinsoku/>
        <w:wordWrap/>
        <w:overflowPunct/>
        <w:topLinePunct w:val="0"/>
        <w:autoSpaceDE/>
        <w:autoSpaceDN/>
        <w:bidi w:val="0"/>
        <w:spacing w:line="540" w:lineRule="exact"/>
        <w:textAlignment w:val="auto"/>
        <w:rPr>
          <w:rFonts w:ascii="仿宋" w:hAnsi="仿宋" w:eastAsia="仿宋"/>
        </w:rPr>
      </w:pPr>
    </w:p>
    <w:p w14:paraId="7CD1D033">
      <w:pPr>
        <w:keepNext w:val="0"/>
        <w:keepLines w:val="0"/>
        <w:pageBreakBefore w:val="0"/>
        <w:widowControl w:val="0"/>
        <w:kinsoku/>
        <w:wordWrap/>
        <w:overflowPunct/>
        <w:topLinePunct w:val="0"/>
        <w:autoSpaceDE/>
        <w:autoSpaceDN/>
        <w:bidi w:val="0"/>
        <w:spacing w:line="540" w:lineRule="exact"/>
        <w:textAlignment w:val="auto"/>
        <w:rPr>
          <w:rFonts w:ascii="仿宋" w:hAnsi="仿宋" w:eastAsia="仿宋"/>
        </w:rPr>
      </w:pPr>
    </w:p>
    <w:p w14:paraId="00CE52CB">
      <w:pPr>
        <w:keepNext w:val="0"/>
        <w:keepLines w:val="0"/>
        <w:pageBreakBefore w:val="0"/>
        <w:widowControl w:val="0"/>
        <w:tabs>
          <w:tab w:val="left" w:pos="2123"/>
        </w:tabs>
        <w:kinsoku/>
        <w:wordWrap/>
        <w:overflowPunct/>
        <w:topLinePunct w:val="0"/>
        <w:autoSpaceDE/>
        <w:autoSpaceDN/>
        <w:bidi w:val="0"/>
        <w:spacing w:line="540" w:lineRule="exact"/>
        <w:ind w:right="1120"/>
        <w:jc w:val="center"/>
        <w:textAlignment w:val="auto"/>
        <w:rPr>
          <w:rFonts w:hint="eastAsia" w:ascii="仿宋_GB2312" w:eastAsia="仿宋_GB2312"/>
          <w:color w:val="000000"/>
          <w:sz w:val="32"/>
          <w:szCs w:val="32"/>
        </w:rPr>
      </w:pPr>
    </w:p>
    <w:p w14:paraId="207D3650">
      <w:pPr>
        <w:keepNext w:val="0"/>
        <w:keepLines w:val="0"/>
        <w:pageBreakBefore w:val="0"/>
        <w:widowControl w:val="0"/>
        <w:tabs>
          <w:tab w:val="left" w:pos="2123"/>
        </w:tabs>
        <w:kinsoku/>
        <w:wordWrap/>
        <w:overflowPunct/>
        <w:topLinePunct w:val="0"/>
        <w:autoSpaceDE/>
        <w:autoSpaceDN/>
        <w:bidi w:val="0"/>
        <w:spacing w:line="540" w:lineRule="exact"/>
        <w:ind w:right="1120"/>
        <w:jc w:val="center"/>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rPr>
        <w:t>石家庄市审计</w:t>
      </w:r>
      <w:r>
        <w:rPr>
          <w:rFonts w:hint="eastAsia" w:ascii="仿宋_GB2312" w:eastAsia="仿宋_GB2312"/>
          <w:color w:val="000000"/>
          <w:sz w:val="32"/>
          <w:szCs w:val="32"/>
          <w:lang w:eastAsia="zh-CN"/>
        </w:rPr>
        <w:t>局</w:t>
      </w:r>
    </w:p>
    <w:p w14:paraId="478052B5">
      <w:pPr>
        <w:keepNext w:val="0"/>
        <w:keepLines w:val="0"/>
        <w:pageBreakBefore w:val="0"/>
        <w:widowControl w:val="0"/>
        <w:tabs>
          <w:tab w:val="left" w:pos="2123"/>
        </w:tabs>
        <w:kinsoku/>
        <w:wordWrap/>
        <w:overflowPunct/>
        <w:topLinePunct w:val="0"/>
        <w:autoSpaceDE/>
        <w:autoSpaceDN/>
        <w:bidi w:val="0"/>
        <w:spacing w:line="540" w:lineRule="exact"/>
        <w:ind w:right="960"/>
        <w:jc w:val="center"/>
        <w:textAlignment w:val="auto"/>
        <w:rPr>
          <w:rFonts w:ascii="仿宋" w:hAnsi="仿宋" w:eastAsia="仿宋"/>
        </w:rPr>
      </w:pPr>
      <w:r>
        <w:rPr>
          <w:rFonts w:hint="eastAsia" w:ascii="仿宋_GB2312" w:eastAsia="仿宋_GB2312"/>
          <w:color w:val="000000"/>
          <w:sz w:val="32"/>
          <w:szCs w:val="32"/>
        </w:rPr>
        <w:t xml:space="preserve">                                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月</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 xml:space="preserve">7日        </w:t>
      </w:r>
    </w:p>
    <w:sectPr>
      <w:footerReference r:id="rId5"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宋体"/>
    <w:panose1 w:val="00000000000000000000"/>
    <w:charset w:val="86"/>
    <w:family w:val="swiss"/>
    <w:pitch w:val="default"/>
    <w:sig w:usb0="00000000" w:usb1="00000000" w:usb2="00000000" w:usb3="00000000" w:csb0="00040001" w:csb1="00000000"/>
  </w:font>
  <w:font w:name="仿宋">
    <w:panose1 w:val="02010609060101010101"/>
    <w:charset w:val="86"/>
    <w:family w:val="decorative"/>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decorative"/>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decorative"/>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BBDD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141F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74FEE">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2A74FEE">
                    <w:pPr>
                      <w:snapToGrid w:val="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C6A29">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abstractNum w:abstractNumId="2">
    <w:nsid w:val="6038B1CA"/>
    <w:multiLevelType w:val="singleLevel"/>
    <w:tmpl w:val="6038B1CA"/>
    <w:lvl w:ilvl="0" w:tentative="0">
      <w:start w:val="3"/>
      <w:numFmt w:val="decimal"/>
      <w:suff w:val="nothing"/>
      <w:lvlText w:val="%1．"/>
      <w:lvlJc w:val="left"/>
    </w:lvl>
  </w:abstractNum>
  <w:abstractNum w:abstractNumId="3">
    <w:nsid w:val="67E51CF1"/>
    <w:multiLevelType w:val="singleLevel"/>
    <w:tmpl w:val="67E51CF1"/>
    <w:lvl w:ilvl="0" w:tentative="0">
      <w:start w:val="2"/>
      <w:numFmt w:val="chineseCounting"/>
      <w:suff w:val="nothing"/>
      <w:lvlText w:val="（%1）"/>
      <w:lvlJc w:val="left"/>
    </w:lvl>
  </w:abstractNum>
  <w:abstractNum w:abstractNumId="4">
    <w:nsid w:val="67E60A2D"/>
    <w:multiLevelType w:val="singleLevel"/>
    <w:tmpl w:val="67E60A2D"/>
    <w:lvl w:ilvl="0" w:tentative="0">
      <w:start w:val="2"/>
      <w:numFmt w:val="decimal"/>
      <w:suff w:val="nothing"/>
      <w:lvlText w:val="%1."/>
      <w:lvlJc w:val="left"/>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xMzVhZTBlNDUyZWUxNDVhMjNkN2E1NjFlOTE5NDcifQ=="/>
  </w:docVars>
  <w:rsids>
    <w:rsidRoot w:val="00172A27"/>
    <w:rsid w:val="000B0260"/>
    <w:rsid w:val="001F187B"/>
    <w:rsid w:val="007E6C1F"/>
    <w:rsid w:val="00956A93"/>
    <w:rsid w:val="009E575C"/>
    <w:rsid w:val="00AF167E"/>
    <w:rsid w:val="00AF566A"/>
    <w:rsid w:val="00B478EA"/>
    <w:rsid w:val="00B6553A"/>
    <w:rsid w:val="00BC6576"/>
    <w:rsid w:val="00CE06BA"/>
    <w:rsid w:val="00F441CC"/>
    <w:rsid w:val="01B104CA"/>
    <w:rsid w:val="02106AB0"/>
    <w:rsid w:val="02B43A28"/>
    <w:rsid w:val="046F331E"/>
    <w:rsid w:val="07956271"/>
    <w:rsid w:val="09721397"/>
    <w:rsid w:val="0BB63BED"/>
    <w:rsid w:val="0EB97A43"/>
    <w:rsid w:val="0EBD2122"/>
    <w:rsid w:val="0F214EAE"/>
    <w:rsid w:val="11B71E6A"/>
    <w:rsid w:val="1AAF0063"/>
    <w:rsid w:val="1BE140DE"/>
    <w:rsid w:val="1E542E40"/>
    <w:rsid w:val="248C197D"/>
    <w:rsid w:val="252959AF"/>
    <w:rsid w:val="277A6671"/>
    <w:rsid w:val="292D35B7"/>
    <w:rsid w:val="2E4319BD"/>
    <w:rsid w:val="2F0308AA"/>
    <w:rsid w:val="33C309C9"/>
    <w:rsid w:val="33C67356"/>
    <w:rsid w:val="33EB6CFF"/>
    <w:rsid w:val="35A12947"/>
    <w:rsid w:val="36867BD6"/>
    <w:rsid w:val="37387040"/>
    <w:rsid w:val="382D3FDE"/>
    <w:rsid w:val="3B625C0A"/>
    <w:rsid w:val="3CEE1963"/>
    <w:rsid w:val="436B78D3"/>
    <w:rsid w:val="4C9C27FE"/>
    <w:rsid w:val="512260B4"/>
    <w:rsid w:val="52BD6ACB"/>
    <w:rsid w:val="52C77894"/>
    <w:rsid w:val="55537534"/>
    <w:rsid w:val="561A74F1"/>
    <w:rsid w:val="58B17416"/>
    <w:rsid w:val="597244E8"/>
    <w:rsid w:val="5B395C8C"/>
    <w:rsid w:val="5EB71C30"/>
    <w:rsid w:val="66AF0CE5"/>
    <w:rsid w:val="68422D8B"/>
    <w:rsid w:val="68AC2130"/>
    <w:rsid w:val="6AC537CF"/>
    <w:rsid w:val="6E5B14A6"/>
    <w:rsid w:val="70B634FA"/>
    <w:rsid w:val="711B255E"/>
    <w:rsid w:val="7BB51E06"/>
    <w:rsid w:val="7C387F7C"/>
    <w:rsid w:val="7FE8342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customStyle="1" w:styleId="6">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7">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8">
    <w:name w:val="Default"/>
    <w:unhideWhenUsed/>
    <w:qFormat/>
    <w:uiPriority w:val="99"/>
    <w:pPr>
      <w:widowControl w:val="0"/>
      <w:autoSpaceDE w:val="0"/>
      <w:autoSpaceDN w:val="0"/>
      <w:adjustRightInd w:val="0"/>
      <w:spacing w:beforeLines="0" w:afterLines="0"/>
    </w:pPr>
    <w:rPr>
      <w:rFonts w:hint="eastAsia" w:ascii="仿宋" w:hAnsi="仿宋" w:eastAsia="仿宋" w:cs="Times New Roman"/>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573</Words>
  <Characters>590</Characters>
  <Lines>4</Lines>
  <Paragraphs>1</Paragraphs>
  <TotalTime>0</TotalTime>
  <ScaleCrop>false</ScaleCrop>
  <LinksUpToDate>false</LinksUpToDate>
  <CharactersWithSpaces>612</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Administrator</cp:lastModifiedBy>
  <cp:lastPrinted>2025-03-28T06:18:00Z</cp:lastPrinted>
  <dcterms:modified xsi:type="dcterms:W3CDTF">2026-09-14T06:46:50Z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96934721B1514D3FBAA28020338CE855_12</vt:lpwstr>
  </property>
  <property fmtid="{D5CDD505-2E9C-101B-9397-08002B2CF9AE}" pid="4" name="KSOTemplateDocerSaveRecord">
    <vt:lpwstr>eyJoZGlkIjoiMDRiNGJkYjBiMjRiNTM2Zjk5YWM2NmU3YTc2OThjMTYiLCJ1c2VySWQiOiIxMDI2NzA5MTgxIn0=</vt:lpwstr>
  </property>
</Properties>
</file>