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60" w:lineRule="exact"/>
        <w:rPr>
          <w:rFonts w:hint="default" w:ascii="黑体" w:hAnsi="黑体" w:eastAsia="黑体" w:cs="黑体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</w:rPr>
        <w:t>4</w:t>
      </w:r>
    </w:p>
    <w:p>
      <w:pPr>
        <w:spacing w:line="560" w:lineRule="exact"/>
        <w:jc w:val="center"/>
        <w:rPr>
          <w:rFonts w:ascii="宋体" w:hAnsi="宋体" w:cs="宋体"/>
          <w:b/>
          <w:bCs/>
          <w:color w:val="000000" w:themeColor="text1"/>
          <w:sz w:val="44"/>
          <w:szCs w:val="44"/>
        </w:rPr>
      </w:pPr>
    </w:p>
    <w:p>
      <w:pPr>
        <w:spacing w:line="560" w:lineRule="exact"/>
        <w:jc w:val="center"/>
        <w:rPr>
          <w:rFonts w:hint="eastAsia" w:ascii="宋体" w:hAnsi="宋体" w:cs="宋体"/>
          <w:b/>
          <w:bCs/>
          <w:color w:val="000000" w:themeColor="text1"/>
          <w:sz w:val="44"/>
          <w:szCs w:val="44"/>
          <w:lang w:eastAsia="zh-CN"/>
        </w:rPr>
      </w:pPr>
      <w:r>
        <w:rPr>
          <w:rFonts w:hint="eastAsia" w:ascii="宋体" w:hAnsi="宋体" w:cs="宋体"/>
          <w:b/>
          <w:bCs/>
          <w:color w:val="000000" w:themeColor="text1"/>
          <w:sz w:val="44"/>
          <w:szCs w:val="44"/>
          <w:lang w:eastAsia="zh-CN"/>
        </w:rPr>
        <w:t>中共石家庄市委政法委员会</w:t>
      </w:r>
    </w:p>
    <w:p>
      <w:pPr>
        <w:spacing w:line="560" w:lineRule="exact"/>
        <w:jc w:val="center"/>
        <w:rPr>
          <w:rFonts w:ascii="宋体" w:hAnsi="宋体" w:cs="宋体"/>
          <w:b/>
          <w:bCs/>
          <w:color w:val="000000" w:themeColor="text1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 w:themeColor="text1"/>
          <w:sz w:val="44"/>
          <w:szCs w:val="44"/>
        </w:rPr>
        <w:t>202</w:t>
      </w:r>
      <w:r>
        <w:rPr>
          <w:rFonts w:hint="eastAsia" w:ascii="宋体" w:hAnsi="宋体" w:cs="宋体"/>
          <w:b/>
          <w:bCs/>
          <w:color w:val="000000" w:themeColor="text1"/>
          <w:sz w:val="44"/>
          <w:szCs w:val="44"/>
          <w:lang w:val="en-US" w:eastAsia="zh-CN"/>
        </w:rPr>
        <w:t>5</w:t>
      </w:r>
      <w:r>
        <w:rPr>
          <w:rFonts w:hint="eastAsia" w:ascii="宋体" w:hAnsi="宋体" w:cs="宋体"/>
          <w:b/>
          <w:bCs/>
          <w:color w:val="000000" w:themeColor="text1"/>
          <w:sz w:val="44"/>
          <w:szCs w:val="44"/>
        </w:rPr>
        <w:t>年度整体支出绩效自评报告</w:t>
      </w:r>
    </w:p>
    <w:p>
      <w:pPr>
        <w:spacing w:line="560" w:lineRule="exact"/>
        <w:jc w:val="center"/>
        <w:rPr>
          <w:rFonts w:ascii="华文楷体" w:eastAsia="华文楷体"/>
          <w:color w:val="000000" w:themeColor="text1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贯彻落实市委市政府《关于全面落实预算绩效管理的实施意见》（石发﹝2019﹞8号）文件精神，遵循“科学性、规范性、客观性和公正性”的原则，对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  <w:t>中共石家庄市委政法委员会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年整体支出情况实施了财政支出绩效自评价，形成本评价报告。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ascii="黑体" w:hAnsi="黑体" w:eastAsia="黑体"/>
          <w:b/>
          <w:bCs/>
          <w:color w:val="000000" w:themeColor="text1"/>
          <w:sz w:val="32"/>
          <w:szCs w:val="36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 xml:space="preserve">     一、部门</w:t>
      </w:r>
      <w:r>
        <w:rPr>
          <w:rFonts w:hint="eastAsia" w:ascii="黑体" w:hAnsi="黑体" w:eastAsia="黑体"/>
          <w:color w:val="000000" w:themeColor="text1"/>
          <w:sz w:val="32"/>
          <w:szCs w:val="36"/>
        </w:rPr>
        <w:t>基本情况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楷体" w:hAnsi="楷体" w:eastAsia="楷体" w:cs="楷体_GB2312"/>
          <w:bCs/>
          <w:color w:val="000000" w:themeColor="text1"/>
          <w:sz w:val="32"/>
          <w:szCs w:val="32"/>
        </w:rPr>
      </w:pPr>
      <w:r>
        <w:rPr>
          <w:rFonts w:hint="eastAsia" w:ascii="楷体" w:hAnsi="楷体" w:eastAsia="楷体" w:cs="楷体_GB2312"/>
          <w:bCs/>
          <w:color w:val="000000" w:themeColor="text1"/>
          <w:sz w:val="32"/>
          <w:szCs w:val="32"/>
        </w:rPr>
        <w:t>（一）部门概况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仿宋" w:hAnsi="仿宋" w:eastAsia="仿宋"/>
          <w:color w:val="000000" w:themeColor="text1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中共石家庄市委政法委员会（简称市委政法委）为市委领导政法工作的职能部门，承担领导和指导全市政法部门维护国家政治安全、确保社会大局稳定、促进社会公平正义、保障人民安居乐业的职责任务，机构规格正处级，截止2025年12月31日，在职人员100人。内设执法监督科、综治督导科、信访科、队建指导科、维稳指导科、政治安全科、组织干部科等内设机构。市扫黑办设在本委机关，经费由市委政法委代管。截止2025年12月31日，固定资产157205507.84元，无形资产64254899.6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楷体" w:hAnsi="楷体" w:eastAsia="楷体" w:cs="楷体_GB2312"/>
          <w:bCs/>
          <w:color w:val="000000" w:themeColor="text1"/>
          <w:sz w:val="32"/>
          <w:szCs w:val="32"/>
        </w:rPr>
      </w:pPr>
      <w:r>
        <w:rPr>
          <w:rFonts w:hint="eastAsia" w:ascii="楷体" w:hAnsi="楷体" w:eastAsia="楷体" w:cs="楷体_GB2312"/>
          <w:bCs/>
          <w:color w:val="000000" w:themeColor="text1"/>
          <w:sz w:val="32"/>
          <w:szCs w:val="32"/>
        </w:rPr>
        <w:t>（二）部门收支预决算情况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rightChars="0" w:firstLine="640" w:firstLineChars="200"/>
        <w:textAlignment w:val="auto"/>
        <w:outlineLvl w:val="9"/>
        <w:rPr>
          <w:rFonts w:hint="eastAsia" w:ascii="楷体" w:hAnsi="楷体" w:eastAsia="楷体" w:cs="楷体_GB2312"/>
          <w:bCs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 xml:space="preserve"> 2025年度一般公共预算财政拨款预算数39342500.99元，决算数37963612.2元。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楷体" w:hAnsi="楷体" w:eastAsia="楷体" w:cs="楷体_GB2312"/>
          <w:bCs/>
          <w:color w:val="000000" w:themeColor="text1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楷体" w:hAnsi="楷体" w:eastAsia="楷体" w:cs="楷体_GB2312"/>
          <w:bCs/>
          <w:color w:val="000000" w:themeColor="text1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楷体" w:hAnsi="楷体" w:eastAsia="楷体" w:cs="楷体_GB2312"/>
          <w:bCs/>
          <w:color w:val="000000" w:themeColor="text1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楷体" w:hAnsi="楷体" w:eastAsia="楷体" w:cs="楷体_GB2312"/>
          <w:bCs/>
          <w:color w:val="000000" w:themeColor="text1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楷体" w:hAnsi="楷体" w:eastAsia="楷体" w:cs="楷体_GB2312"/>
          <w:bCs/>
          <w:color w:val="000000" w:themeColor="text1"/>
          <w:sz w:val="32"/>
          <w:szCs w:val="32"/>
        </w:rPr>
      </w:pPr>
      <w:r>
        <w:rPr>
          <w:rFonts w:hint="eastAsia" w:ascii="楷体" w:hAnsi="楷体" w:eastAsia="楷体" w:cs="楷体_GB2312"/>
          <w:bCs/>
          <w:color w:val="000000" w:themeColor="text1"/>
          <w:sz w:val="32"/>
          <w:szCs w:val="32"/>
        </w:rPr>
        <w:t>（三）部门整体支出绩效目标、指标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以习近平新时代中国特色社会主义思想为指导，深入贯彻落实党的二十大精神，持续把防范化解重大风险贯穿2025年工作始终，围绕服务和保障省会高质量发展，着力抓好维护稳定、扫黑除恶、司法公正、社会治安综合治理、舆情处置、政法党建等重点工作，不断深化平安省会建设、法治石家庄建设、过硬队伍建设和政法智能化建设，不断提高人民群众的获得感、幸福感、安全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二、自评工作开展情况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ascii="楷体" w:hAnsi="楷体" w:eastAsia="楷体" w:cs="楷体_GB2312"/>
          <w:color w:val="000000" w:themeColor="text1"/>
          <w:sz w:val="32"/>
          <w:szCs w:val="32"/>
        </w:rPr>
      </w:pPr>
      <w:r>
        <w:rPr>
          <w:rFonts w:hint="eastAsia" w:ascii="仿宋" w:hAnsi="仿宋" w:eastAsia="仿宋" w:cs="楷体_GB2312"/>
          <w:b/>
          <w:bCs/>
          <w:color w:val="000000" w:themeColor="text1"/>
          <w:sz w:val="32"/>
          <w:szCs w:val="32"/>
        </w:rPr>
        <w:t xml:space="preserve">    </w:t>
      </w:r>
      <w:r>
        <w:rPr>
          <w:rFonts w:hint="eastAsia" w:ascii="楷体" w:hAnsi="楷体" w:eastAsia="楷体" w:cs="楷体_GB2312"/>
          <w:bCs/>
          <w:color w:val="000000" w:themeColor="text1"/>
          <w:sz w:val="32"/>
          <w:szCs w:val="32"/>
        </w:rPr>
        <w:t>（一）自评的组织工作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640" w:firstLineChars="200"/>
        <w:textAlignment w:val="auto"/>
        <w:outlineLvl w:val="9"/>
        <w:rPr>
          <w:rFonts w:ascii="仿宋" w:hAnsi="仿宋" w:eastAsia="仿宋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单位高度重视绩效自评工作，明确职责分工，办公室指定专人负责本委绩效自评工作，主动与资金主管科室对接，严格按照绩效评价要求，有序开展资料收集、数据核对、效益分析等工作，确保绩效自评严谨、全面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ascii="楷体" w:hAnsi="楷体" w:eastAsia="楷体" w:cs="楷体_GB2312"/>
          <w:bCs/>
          <w:color w:val="000000" w:themeColor="text1"/>
          <w:sz w:val="32"/>
          <w:szCs w:val="32"/>
        </w:rPr>
      </w:pPr>
      <w:r>
        <w:rPr>
          <w:rFonts w:hint="eastAsia" w:ascii="楷体" w:hAnsi="楷体" w:eastAsia="楷体" w:cs="楷体_GB2312"/>
          <w:bCs/>
          <w:color w:val="000000" w:themeColor="text1"/>
          <w:sz w:val="32"/>
          <w:szCs w:val="32"/>
        </w:rPr>
        <w:t>自评的方法和过程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firstLine="640" w:firstLineChars="200"/>
        <w:textAlignment w:val="auto"/>
        <w:outlineLvl w:val="9"/>
        <w:rPr>
          <w:rFonts w:ascii="楷体" w:hAnsi="楷体" w:eastAsia="楷体" w:cs="楷体_GB2312"/>
          <w:bCs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根据石财绩〔2026〕6号文件精神，各科室将分管资金对照自评表从产出指标、效果指标、满意度指标等方面进行客观评价，真实反映资金使用效益。逐项对照预算项目绩效表各指标进行自评，同时，在实践中进一步梳理各指标设置是否合理，为来年预算编制和绩效自评打下基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ascii="黑体" w:hAnsi="黑体" w:eastAsia="黑体"/>
          <w:b/>
          <w:bCs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 xml:space="preserve">    三、部门整体支出绩效目标实现情况及指标分析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ascii="楷体" w:hAnsi="楷体" w:eastAsia="楷体" w:cs="楷体_GB2312"/>
          <w:bCs/>
          <w:color w:val="000000" w:themeColor="text1"/>
          <w:sz w:val="32"/>
          <w:szCs w:val="32"/>
        </w:rPr>
      </w:pPr>
      <w:r>
        <w:rPr>
          <w:rFonts w:hint="eastAsia" w:ascii="楷体" w:hAnsi="楷体" w:eastAsia="楷体" w:cs="楷体_GB2312"/>
          <w:bCs/>
          <w:color w:val="000000" w:themeColor="text1"/>
          <w:sz w:val="32"/>
          <w:szCs w:val="32"/>
        </w:rPr>
        <w:t>总体绩效目标实现情况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firstLine="640" w:firstLineChars="200"/>
        <w:textAlignment w:val="auto"/>
        <w:outlineLvl w:val="9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" w:eastAsia="zh-CN"/>
        </w:rPr>
        <w:t>2025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" w:eastAsia="zh-CN"/>
        </w:rPr>
        <w:t>年，市委政法委在市委的坚强领导下，忠诚履职、担当作为，各项工作取得长足发展。维稳能力实现新提升，成立全省首家市级社会稳定风险评估促进会，全年未发生有影响的涉政案事件。基层治理实现新突破，创新打造市综治中心，统筹推动县级综治中心提档升级，推动排查、化解“双提效”。法治建设迈上新台阶，常态化开展执法司法检查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2025年10月，石家庄市被中央全面依法治国委员会办公室命名为“全国法治政府建设示范市”。政法队伍展现新风貌，2025年全市政法队伍综合满意度96.17%，群众安全感97.63%，均创历史最好成绩。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ascii="楷体" w:hAnsi="楷体" w:eastAsia="楷体"/>
          <w:bCs/>
          <w:color w:val="000000" w:themeColor="text1"/>
          <w:sz w:val="32"/>
          <w:szCs w:val="32"/>
        </w:rPr>
      </w:pPr>
      <w:r>
        <w:rPr>
          <w:rFonts w:hint="eastAsia" w:ascii="仿宋" w:hAnsi="仿宋" w:eastAsia="仿宋" w:cs="楷体_GB2312"/>
          <w:b/>
          <w:bCs/>
          <w:color w:val="000000" w:themeColor="text1"/>
          <w:sz w:val="32"/>
          <w:szCs w:val="32"/>
        </w:rPr>
        <w:t xml:space="preserve">    </w:t>
      </w:r>
      <w:r>
        <w:rPr>
          <w:rFonts w:hint="eastAsia" w:ascii="楷体" w:hAnsi="楷体" w:eastAsia="楷体" w:cs="楷体_GB2312"/>
          <w:bCs/>
          <w:color w:val="000000" w:themeColor="text1"/>
          <w:sz w:val="32"/>
          <w:szCs w:val="32"/>
        </w:rPr>
        <w:t>（二）分项绩效目标实现情况及指标分析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办公设备购置，依据年度部门预算及单位资产配置情况，完成办公家具及设备的新购，有效提升了办公条件与行政效能。项目绩效目标全部完成，项目自评100分。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单位运行电费等，保障了综治中心办公及业务正常开展，水电费支出控制在预算范围内，运行平稳有序。项目绩效目标基本完成，项目自评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" w:eastAsia="zh-CN"/>
        </w:rPr>
        <w:t>99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党组织活动经费，坚持以政治建设为统领，扎实开展理论学习、主题党日、廉政警示教育等活动，通过集中学习、专题研讨、红色教育基地参观等形式强化思想引领。严格落实“三会一课”、组织生活会等制度，规范支部建设。项目绩效目标全部完成，项目自评100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工作场地租赁费，用于支付综治中心场地租赁款，根据合同约定及时足额支付，保障了办公场所正常使用。项目绩效目标基本完成，项目自评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" w:eastAsia="zh-CN"/>
        </w:rPr>
        <w:t>9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6分。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专用设备维护(修)费，用于设备日常检修、故障排除等，保障设备正常使用。项目绩效目标基本完成，项目自评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" w:eastAsia="zh-CN"/>
        </w:rPr>
        <w:t>99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物业管理费，用于支付综治中心物业管理费，有效保障了综治中心办公环境整洁、安保及后勤服务到位。项目绩效目标基本完成，项目自评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" w:eastAsia="zh-CN"/>
        </w:rPr>
        <w:t>9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2分。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业务培训费，组织举办了全市乡镇（街道）政法委员政治轮训、机关党务干部培训、年轻干部、新提拔干部、重要岗位干部培训班共3期培训，全面提升政法队伍政治素养和履职能力。项目绩效目标全部完成，项目自评100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政务新媒体宣传经费，持续完善“一点发声，多点响应”的工作格局，统筹兼顾新媒体建设，保持市委政法委门户网站“石家庄长安网”高频率更新，提升石家庄政法微博、微信公众号、抖音号知名度，账号影响力稳步提升。项目绩效目标全部完成，项目自评100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专家咨询费，依托专家咨询服务顺利完成内部审计等工作，强化了风险防控与内部管理，有效提升机关综合业务能力，为政法事业健康发展提供了有力支撑。项目绩效目标全部完成，项目自评100分。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专项邮电费，有效保障单位日常办公通信畅通，提高办公效率。项目绩效目标全部完成，项目自评100分。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扫黑除恶专项经费，保障涉黑涉恶案件办理。涉黑涉恶打击战果下降、涉黑涉恶举报线索数下降，人民群众安全感、满意度显著提升；支持重点行业部门开展专项整治，打掉“村霸”数明显下降；制作宣传手册、宣传品，宣传《中华人民共和国反有组织犯罪法》。项目绩效目标全部完成，项目自评100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涉法涉诉专项经费，通过案件评查、执法检查、督导考核、责任追究等制度措施，全市涉法涉诉非正常案件明显下降。政法干警办案质量不断提高，涉法涉诉案件办理机制不断完善，进一步推动执法司法规范化水平。项目绩效目标全部完成，项目自评100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牺牲伤残特困干警资助金，加强特困资金管理，充分发挥资金使用效能。资助因公牺牲1人、资助因公伤残干警7人、资助特困干警105人。全年共使用资助金194.39万元，资助资金对干警家庭生活改善起到明显作用。项目绩效目标基本完成，项目自评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" w:eastAsia="zh-CN"/>
        </w:rPr>
        <w:t>9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7分。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重点涉众群体维稳及舆情工作专项经费，认真贯彻落实市委决策部署，聚焦重大涉稳舆情联动快速处置各项工作，坚持把“三同步”贯穿政法舆情应对处置工作全过程、各环节，为全市重点工作营造了良好的网络环境。全年巡查研判涉我市重点工作相关网帖及视频25.7万余条，过滤网帖评论111.5万余条，处置各类重点负面网络舆情1712个，共向相关市直政法部门、属地政法委预警发送《涉稳舆情快速处置核查函》174期，有力维护社会稳定大局和谐稳定。项目绩效目标全部完成，项目自评100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社会治安综合治理专项经费，构建“1+6+AI”市级智慧综治中心新模式，圆满完成全国两会、“9.3”阅兵和党的二十届四中全会等系列安保维稳任务，着力强化治安防控，做好见义勇为工作，申报9个县（市、区）18名英模为省见义勇为英模困难家庭等。项目绩效目标基本完成，项目自评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" w:eastAsia="zh-CN"/>
        </w:rPr>
        <w:t>9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6分。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综治中心人员经费，通过劳务派遣形式，配备工作人员，按规定发放工资及缴纳保险，提高综治中心实战应用水平。项目绩效目标全部完成，项目自评100分。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黑体" w:hAnsi="黑体" w:eastAsia="黑体"/>
          <w:color w:val="000000" w:themeColor="text1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黑体" w:hAnsi="黑体" w:eastAsia="黑体"/>
          <w:color w:val="000000" w:themeColor="text1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四、评价结论和评价等级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2025年，市委政法委秉承科学、务实、严格的管理理念，资金管理使用规范，对照绩效目标逐项评价，各项指标完成情况较好，自评优秀。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五、存在的问题及改进措施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ascii="楷体" w:hAnsi="楷体" w:eastAsia="楷体"/>
          <w:bCs/>
          <w:color w:val="000000" w:themeColor="text1"/>
          <w:sz w:val="32"/>
          <w:szCs w:val="32"/>
        </w:rPr>
      </w:pPr>
      <w:r>
        <w:rPr>
          <w:rFonts w:hint="eastAsia" w:ascii="楷体" w:hAnsi="楷体" w:eastAsia="楷体"/>
          <w:bCs/>
          <w:color w:val="000000" w:themeColor="text1"/>
          <w:sz w:val="32"/>
          <w:szCs w:val="32"/>
        </w:rPr>
        <w:t>（一）存在的主要问题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部分绩效指标设置不够细化、量化，指标可衡量性有待提升；绩效评价结果运用不够充分，对后续项目优化和资金安排的指导性有待加强。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ascii="楷体" w:hAnsi="楷体" w:eastAsia="楷体"/>
          <w:bCs/>
          <w:color w:val="000000" w:themeColor="text1"/>
          <w:sz w:val="32"/>
          <w:szCs w:val="32"/>
        </w:rPr>
      </w:pPr>
      <w:r>
        <w:rPr>
          <w:rFonts w:hint="eastAsia" w:ascii="楷体" w:hAnsi="楷体" w:eastAsia="楷体"/>
          <w:bCs/>
          <w:color w:val="000000" w:themeColor="text1"/>
          <w:sz w:val="32"/>
          <w:szCs w:val="32"/>
        </w:rPr>
        <w:t>（二）针对问题提出具体的改进措施或建议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一是进一步优化绩效目标。绩效指标设立要更加科学、合理、可衡量，指标设立充分考虑设定的可实施性、可考核性，要尽可能的量化、细化。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二是强化绩效评价结果运用。将绩效自评结果与预算安排、项目调整挂钩，切实做到以评促改、以评促管。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 xml:space="preserve">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3840" w:firstLineChars="1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 xml:space="preserve">    中共石家庄市委政法委员会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 xml:space="preserve">                            2026年4月2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" w:eastAsia="zh-CN"/>
        </w:rPr>
        <w:t>7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日</w:t>
      </w:r>
    </w:p>
    <w:sectPr>
      <w:footerReference r:id="rId3" w:type="default"/>
      <w:pgSz w:w="11906" w:h="16838"/>
      <w:pgMar w:top="1383" w:right="1474" w:bottom="1440" w:left="1587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pict>
        <v:shape id="Quad Arrow 3073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o:preferrelative="t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>
                  <w:t>- 1 -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16AA81"/>
    <w:multiLevelType w:val="singleLevel"/>
    <w:tmpl w:val="0516AA81"/>
    <w:lvl w:ilvl="0" w:tentative="0">
      <w:start w:val="2"/>
      <w:numFmt w:val="chineseCounting"/>
      <w:suff w:val="nothing"/>
      <w:lvlText w:val="（%1）"/>
      <w:lvlJc w:val="left"/>
      <w:pPr>
        <w:ind w:left="642" w:firstLine="0"/>
      </w:pPr>
      <w:rPr>
        <w:rFonts w:hint="eastAsia"/>
      </w:rPr>
    </w:lvl>
  </w:abstractNum>
  <w:abstractNum w:abstractNumId="1">
    <w:nsid w:val="5E68489B"/>
    <w:multiLevelType w:val="singleLevel"/>
    <w:tmpl w:val="5E68489B"/>
    <w:lvl w:ilvl="0" w:tentative="0">
      <w:start w:val="1"/>
      <w:numFmt w:val="chineseCounting"/>
      <w:suff w:val="nothing"/>
      <w:lvlText w:val="（%1）"/>
      <w:lvlJc w:val="left"/>
      <w:rPr>
        <w:rFonts w:ascii="楷体" w:hAnsi="楷体" w:eastAsia="楷体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YzgxMzVhZTBlNDUyZWUxNDVhMjNkN2E1NjFlOTE5NDcifQ=="/>
  </w:docVars>
  <w:rsids>
    <w:rsidRoot w:val="0EBD2122"/>
    <w:rsid w:val="000B0260"/>
    <w:rsid w:val="001F187B"/>
    <w:rsid w:val="007E6C1F"/>
    <w:rsid w:val="00956A93"/>
    <w:rsid w:val="009E575C"/>
    <w:rsid w:val="00AF167E"/>
    <w:rsid w:val="00AF566A"/>
    <w:rsid w:val="00B478EA"/>
    <w:rsid w:val="00B6553A"/>
    <w:rsid w:val="00BC6576"/>
    <w:rsid w:val="00CE06BA"/>
    <w:rsid w:val="00F441CC"/>
    <w:rsid w:val="01B104CA"/>
    <w:rsid w:val="02106AB0"/>
    <w:rsid w:val="02B43A28"/>
    <w:rsid w:val="046F331E"/>
    <w:rsid w:val="07956271"/>
    <w:rsid w:val="09721397"/>
    <w:rsid w:val="0B5F7CA8"/>
    <w:rsid w:val="0BB63BED"/>
    <w:rsid w:val="0EB97A43"/>
    <w:rsid w:val="0EBD2122"/>
    <w:rsid w:val="0F214EAE"/>
    <w:rsid w:val="0F77FB6B"/>
    <w:rsid w:val="11B71E6A"/>
    <w:rsid w:val="177D4213"/>
    <w:rsid w:val="1AAF0063"/>
    <w:rsid w:val="1B740D26"/>
    <w:rsid w:val="1BE140DE"/>
    <w:rsid w:val="1BFF9023"/>
    <w:rsid w:val="1DFF3984"/>
    <w:rsid w:val="1E542E40"/>
    <w:rsid w:val="1EBFF127"/>
    <w:rsid w:val="1FDFDD22"/>
    <w:rsid w:val="248C197D"/>
    <w:rsid w:val="252959AF"/>
    <w:rsid w:val="277A6671"/>
    <w:rsid w:val="27FDE16B"/>
    <w:rsid w:val="292D35B7"/>
    <w:rsid w:val="2BBF5A06"/>
    <w:rsid w:val="2BFF3B04"/>
    <w:rsid w:val="2EEF4D22"/>
    <w:rsid w:val="2FDD1046"/>
    <w:rsid w:val="2FE172B4"/>
    <w:rsid w:val="33EB6CFF"/>
    <w:rsid w:val="35A12947"/>
    <w:rsid w:val="35CA8128"/>
    <w:rsid w:val="35D103F9"/>
    <w:rsid w:val="35EE4204"/>
    <w:rsid w:val="35F3DA45"/>
    <w:rsid w:val="36F78856"/>
    <w:rsid w:val="37387040"/>
    <w:rsid w:val="37FBF3EB"/>
    <w:rsid w:val="3AFF7316"/>
    <w:rsid w:val="3B5FBFD0"/>
    <w:rsid w:val="3B625C0A"/>
    <w:rsid w:val="3BF34E90"/>
    <w:rsid w:val="3CAEE6D8"/>
    <w:rsid w:val="3CEE1963"/>
    <w:rsid w:val="3D3909CE"/>
    <w:rsid w:val="3D996038"/>
    <w:rsid w:val="3DAF6ADA"/>
    <w:rsid w:val="3DD7AE47"/>
    <w:rsid w:val="3E4F7324"/>
    <w:rsid w:val="3E9FAF2F"/>
    <w:rsid w:val="3F7A368D"/>
    <w:rsid w:val="3F7DBED2"/>
    <w:rsid w:val="3F961D01"/>
    <w:rsid w:val="3FB3439A"/>
    <w:rsid w:val="3FEDAEF1"/>
    <w:rsid w:val="3FEDB59F"/>
    <w:rsid w:val="3FEEE150"/>
    <w:rsid w:val="3FF3E131"/>
    <w:rsid w:val="436B78D3"/>
    <w:rsid w:val="4AFB3F12"/>
    <w:rsid w:val="4BBDCD11"/>
    <w:rsid w:val="4C9C27FE"/>
    <w:rsid w:val="4FEF1403"/>
    <w:rsid w:val="4FF47BB8"/>
    <w:rsid w:val="4FFD3B05"/>
    <w:rsid w:val="502A44B1"/>
    <w:rsid w:val="512260B4"/>
    <w:rsid w:val="51B7E301"/>
    <w:rsid w:val="52BD6ACB"/>
    <w:rsid w:val="55537534"/>
    <w:rsid w:val="55BF2005"/>
    <w:rsid w:val="561A74F1"/>
    <w:rsid w:val="57FA2B5F"/>
    <w:rsid w:val="58B17416"/>
    <w:rsid w:val="5937EC58"/>
    <w:rsid w:val="597244E8"/>
    <w:rsid w:val="59ED0DAA"/>
    <w:rsid w:val="5B8F268F"/>
    <w:rsid w:val="5CF7715E"/>
    <w:rsid w:val="5DFFFFAF"/>
    <w:rsid w:val="5EB71C30"/>
    <w:rsid w:val="5EDB113A"/>
    <w:rsid w:val="5EDD70D3"/>
    <w:rsid w:val="5F5D340F"/>
    <w:rsid w:val="5F7F0FD3"/>
    <w:rsid w:val="5F9991D5"/>
    <w:rsid w:val="5FD486FC"/>
    <w:rsid w:val="5FF15700"/>
    <w:rsid w:val="5FF3FFD3"/>
    <w:rsid w:val="5FF964A6"/>
    <w:rsid w:val="62DF39D3"/>
    <w:rsid w:val="63EF84BE"/>
    <w:rsid w:val="63FB0DD8"/>
    <w:rsid w:val="66AF0CE5"/>
    <w:rsid w:val="67EDE7B6"/>
    <w:rsid w:val="67F7EAE1"/>
    <w:rsid w:val="67FFC3D0"/>
    <w:rsid w:val="68AC2130"/>
    <w:rsid w:val="6AC537CF"/>
    <w:rsid w:val="6BD7EE9A"/>
    <w:rsid w:val="6D5FE7DD"/>
    <w:rsid w:val="6D77EA34"/>
    <w:rsid w:val="6DD23944"/>
    <w:rsid w:val="6DF51B10"/>
    <w:rsid w:val="6E5B14A6"/>
    <w:rsid w:val="6FBFBE35"/>
    <w:rsid w:val="6FED765B"/>
    <w:rsid w:val="6FFBB607"/>
    <w:rsid w:val="70B91860"/>
    <w:rsid w:val="711B255E"/>
    <w:rsid w:val="7177E470"/>
    <w:rsid w:val="72DF0B9A"/>
    <w:rsid w:val="733FCB70"/>
    <w:rsid w:val="735C3572"/>
    <w:rsid w:val="73E776A9"/>
    <w:rsid w:val="73F1B7FA"/>
    <w:rsid w:val="753655E0"/>
    <w:rsid w:val="7536D748"/>
    <w:rsid w:val="75EA420B"/>
    <w:rsid w:val="75FBCFF1"/>
    <w:rsid w:val="76B810FF"/>
    <w:rsid w:val="76FDA44F"/>
    <w:rsid w:val="771FF919"/>
    <w:rsid w:val="775F6F21"/>
    <w:rsid w:val="7767D7AE"/>
    <w:rsid w:val="777B5E5F"/>
    <w:rsid w:val="777F5662"/>
    <w:rsid w:val="779E165F"/>
    <w:rsid w:val="77BF2F5E"/>
    <w:rsid w:val="77C4A3A9"/>
    <w:rsid w:val="77DAD491"/>
    <w:rsid w:val="77DAFBA1"/>
    <w:rsid w:val="77EF2AD5"/>
    <w:rsid w:val="77FA040D"/>
    <w:rsid w:val="77FC3D71"/>
    <w:rsid w:val="78E7559A"/>
    <w:rsid w:val="79B7845B"/>
    <w:rsid w:val="7AFE2596"/>
    <w:rsid w:val="7BB51E06"/>
    <w:rsid w:val="7BBF3A24"/>
    <w:rsid w:val="7BD21FF8"/>
    <w:rsid w:val="7BDC4BBE"/>
    <w:rsid w:val="7BEE1EEB"/>
    <w:rsid w:val="7BFB7B7A"/>
    <w:rsid w:val="7BFBAECD"/>
    <w:rsid w:val="7BFD9DF1"/>
    <w:rsid w:val="7BFFB763"/>
    <w:rsid w:val="7C387F7C"/>
    <w:rsid w:val="7CDF9ACE"/>
    <w:rsid w:val="7CEDA0BB"/>
    <w:rsid w:val="7DAE440C"/>
    <w:rsid w:val="7DD744FE"/>
    <w:rsid w:val="7DF70ED4"/>
    <w:rsid w:val="7E3E6C47"/>
    <w:rsid w:val="7ECC9F6D"/>
    <w:rsid w:val="7EFD7118"/>
    <w:rsid w:val="7F6D91B2"/>
    <w:rsid w:val="7F6E316A"/>
    <w:rsid w:val="7F754365"/>
    <w:rsid w:val="7F79E1AA"/>
    <w:rsid w:val="7F79EA0E"/>
    <w:rsid w:val="7F7F4FE8"/>
    <w:rsid w:val="7F8F3D9B"/>
    <w:rsid w:val="7F9B6DB6"/>
    <w:rsid w:val="7FBC765B"/>
    <w:rsid w:val="7FBDAA9C"/>
    <w:rsid w:val="7FDBA2C1"/>
    <w:rsid w:val="7FDBDAD2"/>
    <w:rsid w:val="7FDE463F"/>
    <w:rsid w:val="7FDF80A5"/>
    <w:rsid w:val="7FE6F003"/>
    <w:rsid w:val="7FE7BB40"/>
    <w:rsid w:val="7FE83423"/>
    <w:rsid w:val="7FEFC342"/>
    <w:rsid w:val="7FEFCD59"/>
    <w:rsid w:val="7FF78B63"/>
    <w:rsid w:val="7FF7A159"/>
    <w:rsid w:val="7FF8AF86"/>
    <w:rsid w:val="7FFA884B"/>
    <w:rsid w:val="7FFB66B4"/>
    <w:rsid w:val="7FFD3E72"/>
    <w:rsid w:val="7FFF1C0F"/>
    <w:rsid w:val="7FFF2E2E"/>
    <w:rsid w:val="7FFF4AB3"/>
    <w:rsid w:val="7FFFF569"/>
    <w:rsid w:val="8B6A137C"/>
    <w:rsid w:val="8BFF6E0E"/>
    <w:rsid w:val="8DEBA224"/>
    <w:rsid w:val="8F52F302"/>
    <w:rsid w:val="92A75A94"/>
    <w:rsid w:val="934FA38E"/>
    <w:rsid w:val="955E2061"/>
    <w:rsid w:val="9B7BAF49"/>
    <w:rsid w:val="9CDBD7C2"/>
    <w:rsid w:val="9D8B7954"/>
    <w:rsid w:val="9E7655AB"/>
    <w:rsid w:val="9E7FA12B"/>
    <w:rsid w:val="A5F96182"/>
    <w:rsid w:val="A73F6018"/>
    <w:rsid w:val="AA7D72B6"/>
    <w:rsid w:val="ABD9907C"/>
    <w:rsid w:val="ADE7E76D"/>
    <w:rsid w:val="AEBFF259"/>
    <w:rsid w:val="AFDF8A38"/>
    <w:rsid w:val="B3A8F6B1"/>
    <w:rsid w:val="B3E38D60"/>
    <w:rsid w:val="B59D135A"/>
    <w:rsid w:val="BAA85ED4"/>
    <w:rsid w:val="BBD66EA3"/>
    <w:rsid w:val="BBEA3C87"/>
    <w:rsid w:val="BBFF9641"/>
    <w:rsid w:val="BDCF538D"/>
    <w:rsid w:val="BDDFD8B9"/>
    <w:rsid w:val="BDF56971"/>
    <w:rsid w:val="BDFFB88F"/>
    <w:rsid w:val="BECF887C"/>
    <w:rsid w:val="BF4EA3D1"/>
    <w:rsid w:val="BF6F5305"/>
    <w:rsid w:val="BF7DD4C9"/>
    <w:rsid w:val="BFBEDEA2"/>
    <w:rsid w:val="BFD8A321"/>
    <w:rsid w:val="BFDB961C"/>
    <w:rsid w:val="BFDFF15F"/>
    <w:rsid w:val="BFF713B7"/>
    <w:rsid w:val="BFF77153"/>
    <w:rsid w:val="BFFEB94D"/>
    <w:rsid w:val="BFFF3DBF"/>
    <w:rsid w:val="BFFF489B"/>
    <w:rsid w:val="C76DFEEB"/>
    <w:rsid w:val="CCF37C42"/>
    <w:rsid w:val="CF7F2DAC"/>
    <w:rsid w:val="CFAF3253"/>
    <w:rsid w:val="CFFF703E"/>
    <w:rsid w:val="D5677550"/>
    <w:rsid w:val="D5F5E1BF"/>
    <w:rsid w:val="D5FF10F1"/>
    <w:rsid w:val="D6331E98"/>
    <w:rsid w:val="D6F9EB90"/>
    <w:rsid w:val="D7DA7A96"/>
    <w:rsid w:val="D7FB619A"/>
    <w:rsid w:val="D7FE22A7"/>
    <w:rsid w:val="D9EDFD56"/>
    <w:rsid w:val="DBDBAE7D"/>
    <w:rsid w:val="DC6FC382"/>
    <w:rsid w:val="DF372A3D"/>
    <w:rsid w:val="DF7B59AE"/>
    <w:rsid w:val="DF7FA0C5"/>
    <w:rsid w:val="DF87458E"/>
    <w:rsid w:val="DFBF314E"/>
    <w:rsid w:val="DFE86337"/>
    <w:rsid w:val="DFF95446"/>
    <w:rsid w:val="E2DEE1BA"/>
    <w:rsid w:val="E3027ED8"/>
    <w:rsid w:val="E3F7D0A3"/>
    <w:rsid w:val="E4F7AC51"/>
    <w:rsid w:val="E537A0AA"/>
    <w:rsid w:val="E5EF634E"/>
    <w:rsid w:val="E7E1A377"/>
    <w:rsid w:val="E7FD9DD9"/>
    <w:rsid w:val="E8BED06B"/>
    <w:rsid w:val="E9F5DD13"/>
    <w:rsid w:val="EAF74807"/>
    <w:rsid w:val="EBAA46BF"/>
    <w:rsid w:val="EBFC44B1"/>
    <w:rsid w:val="EC6793E6"/>
    <w:rsid w:val="EE5ECE8A"/>
    <w:rsid w:val="EE7FA6F6"/>
    <w:rsid w:val="EEB51FEC"/>
    <w:rsid w:val="EEEEA2BE"/>
    <w:rsid w:val="EEF739BA"/>
    <w:rsid w:val="EEF85B03"/>
    <w:rsid w:val="EEFE801B"/>
    <w:rsid w:val="EF0FF8BC"/>
    <w:rsid w:val="EF2E16EE"/>
    <w:rsid w:val="EF6B64F5"/>
    <w:rsid w:val="EF77775F"/>
    <w:rsid w:val="EF77FA5A"/>
    <w:rsid w:val="EF7D52F7"/>
    <w:rsid w:val="EF99E9A6"/>
    <w:rsid w:val="EF9B2F92"/>
    <w:rsid w:val="EFBE3AD6"/>
    <w:rsid w:val="EFBF4010"/>
    <w:rsid w:val="EFDC5B3B"/>
    <w:rsid w:val="EFE6667C"/>
    <w:rsid w:val="EFFB4D56"/>
    <w:rsid w:val="EFFBC8D3"/>
    <w:rsid w:val="EFFEE36E"/>
    <w:rsid w:val="EFFFC37F"/>
    <w:rsid w:val="F0FABD60"/>
    <w:rsid w:val="F33FE345"/>
    <w:rsid w:val="F3D6FDB1"/>
    <w:rsid w:val="F3F3037C"/>
    <w:rsid w:val="F3F730C6"/>
    <w:rsid w:val="F5F9FC8B"/>
    <w:rsid w:val="F5FF06A1"/>
    <w:rsid w:val="F5FF2103"/>
    <w:rsid w:val="F6BFB1C6"/>
    <w:rsid w:val="F77C97BD"/>
    <w:rsid w:val="F77F86AB"/>
    <w:rsid w:val="F7A35C35"/>
    <w:rsid w:val="F7F38E2B"/>
    <w:rsid w:val="F7FA0185"/>
    <w:rsid w:val="F7FA49D8"/>
    <w:rsid w:val="F7FB073D"/>
    <w:rsid w:val="F7FF07C5"/>
    <w:rsid w:val="F87FE9EC"/>
    <w:rsid w:val="F92B424D"/>
    <w:rsid w:val="F977C112"/>
    <w:rsid w:val="F9DA53EF"/>
    <w:rsid w:val="F9FF43FF"/>
    <w:rsid w:val="FAFDB39D"/>
    <w:rsid w:val="FAFFDA1C"/>
    <w:rsid w:val="FB7FC66A"/>
    <w:rsid w:val="FBF9A9DA"/>
    <w:rsid w:val="FCE799BE"/>
    <w:rsid w:val="FD768619"/>
    <w:rsid w:val="FD7FD496"/>
    <w:rsid w:val="FDBB652C"/>
    <w:rsid w:val="FDEFF5AF"/>
    <w:rsid w:val="FE77F0AE"/>
    <w:rsid w:val="FE7ED1AE"/>
    <w:rsid w:val="FEAD376F"/>
    <w:rsid w:val="FEAFCBD0"/>
    <w:rsid w:val="FED5C88A"/>
    <w:rsid w:val="FED799FA"/>
    <w:rsid w:val="FEEFCCF5"/>
    <w:rsid w:val="FEEFE03F"/>
    <w:rsid w:val="FEFEAF08"/>
    <w:rsid w:val="FF1DDFE5"/>
    <w:rsid w:val="FF672D6A"/>
    <w:rsid w:val="FF67CE17"/>
    <w:rsid w:val="FF76D069"/>
    <w:rsid w:val="FF79D926"/>
    <w:rsid w:val="FF7B3FA2"/>
    <w:rsid w:val="FF7B8D49"/>
    <w:rsid w:val="FF7F8693"/>
    <w:rsid w:val="FF9C6FAD"/>
    <w:rsid w:val="FF9F27D0"/>
    <w:rsid w:val="FFBF2962"/>
    <w:rsid w:val="FFBFB0AD"/>
    <w:rsid w:val="FFC997BB"/>
    <w:rsid w:val="FFD7AC01"/>
    <w:rsid w:val="FFD7D635"/>
    <w:rsid w:val="FFDDA1E6"/>
    <w:rsid w:val="FFDDC6B0"/>
    <w:rsid w:val="FFDE1551"/>
    <w:rsid w:val="FFE76DC4"/>
    <w:rsid w:val="FFECCAD5"/>
    <w:rsid w:val="FFEF73D1"/>
    <w:rsid w:val="FFF138F8"/>
    <w:rsid w:val="FFF20DF1"/>
    <w:rsid w:val="FFF4FD43"/>
    <w:rsid w:val="FFF746C5"/>
    <w:rsid w:val="FFF7D96C"/>
    <w:rsid w:val="FFFCB617"/>
    <w:rsid w:val="FFFF9177"/>
    <w:rsid w:val="FFFFBF83"/>
    <w:rsid w:val="FFFFEC8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paragraph" w:customStyle="1" w:styleId="6">
    <w:name w:val="插入文本样式-插入总体目标文件"/>
    <w:basedOn w:val="1"/>
    <w:qFormat/>
    <w:uiPriority w:val="0"/>
    <w:pPr>
      <w:spacing w:before="0" w:after="0" w:line="500" w:lineRule="exact"/>
      <w:ind w:firstLine="560"/>
      <w:jc w:val="left"/>
      <w:outlineLvl w:val="9"/>
    </w:pPr>
    <w:rPr>
      <w:rFonts w:ascii="Times New Roman" w:hAnsi="Times New Roman" w:eastAsia="方正仿宋_GBK" w:cs="Times New Roman"/>
      <w:sz w:val="2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573</Words>
  <Characters>590</Characters>
  <Lines>4</Lines>
  <Paragraphs>1</Paragraphs>
  <TotalTime>11</TotalTime>
  <ScaleCrop>false</ScaleCrop>
  <LinksUpToDate>false</LinksUpToDate>
  <CharactersWithSpaces>612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2020-02-07T19:46:00Z</dcterms:created>
  <dc:creator>欣欣大人</dc:creator>
  <cp:lastModifiedBy>greatwall</cp:lastModifiedBy>
  <cp:lastPrinted>2026-04-29T09:00:00Z</cp:lastPrinted>
  <dcterms:modified xsi:type="dcterms:W3CDTF">2026-09-14T15:24:30Z</dcterms:modified>
  <dc:title>附件3：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  <property fmtid="{D5CDD505-2E9C-101B-9397-08002B2CF9AE}" pid="3" name="ICV">
    <vt:lpwstr>96934721B1514D3FBAA28020338CE855_12</vt:lpwstr>
  </property>
  <property fmtid="{D5CDD505-2E9C-101B-9397-08002B2CF9AE}" pid="4" name="KSOTemplateDocerSaveRecord">
    <vt:lpwstr>eyJoZGlkIjoiMDRiNGJkYjBiMjRiNTM2Zjk5YWM2NmU3YTc2OThjMTYiLCJ1c2VySWQiOiIxMDI2NzA5MTgxIn0=</vt:lpwstr>
  </property>
</Properties>
</file>