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E71FCF9">
      <w:pPr>
        <w:adjustRightInd w:val="0"/>
        <w:snapToGrid w:val="0"/>
        <w:spacing w:line="560" w:lineRule="exact"/>
        <w:rPr>
          <w:rFonts w:hint="eastAsia" w:ascii="黑体" w:hAnsi="黑体" w:eastAsia="黑体" w:cs="黑体"/>
          <w:sz w:val="32"/>
          <w:szCs w:val="32"/>
        </w:rPr>
      </w:pPr>
      <w:r>
        <w:rPr>
          <w:rFonts w:hint="eastAsia" w:ascii="黑体" w:hAnsi="黑体" w:eastAsia="黑体" w:cs="黑体"/>
          <w:sz w:val="32"/>
          <w:szCs w:val="32"/>
        </w:rPr>
        <w:t>附件4</w:t>
      </w:r>
    </w:p>
    <w:p w14:paraId="3B1A6469">
      <w:pPr>
        <w:spacing w:line="560" w:lineRule="exact"/>
        <w:jc w:val="center"/>
        <w:rPr>
          <w:rFonts w:ascii="宋体" w:hAnsi="宋体" w:cs="宋体"/>
          <w:b/>
          <w:bCs/>
          <w:sz w:val="44"/>
          <w:szCs w:val="44"/>
        </w:rPr>
      </w:pPr>
    </w:p>
    <w:p w14:paraId="64B98393">
      <w:pPr>
        <w:spacing w:line="560" w:lineRule="exact"/>
        <w:jc w:val="center"/>
        <w:rPr>
          <w:rFonts w:hint="eastAsia" w:ascii="宋体" w:hAnsi="宋体" w:cs="宋体"/>
          <w:b/>
          <w:bCs/>
          <w:sz w:val="44"/>
          <w:szCs w:val="44"/>
        </w:rPr>
      </w:pPr>
      <w:r>
        <w:rPr>
          <w:rFonts w:hint="eastAsia" w:ascii="宋体" w:hAnsi="宋体" w:cs="宋体"/>
          <w:b/>
          <w:bCs/>
          <w:sz w:val="44"/>
          <w:szCs w:val="44"/>
        </w:rPr>
        <w:t>政协石家庄市委员会办公室</w:t>
      </w:r>
    </w:p>
    <w:p w14:paraId="6BD90BDF">
      <w:pPr>
        <w:spacing w:line="560" w:lineRule="exact"/>
        <w:jc w:val="center"/>
        <w:rPr>
          <w:rFonts w:ascii="宋体" w:hAnsi="宋体" w:cs="宋体"/>
          <w:b/>
          <w:bCs/>
          <w:sz w:val="44"/>
          <w:szCs w:val="44"/>
        </w:rPr>
      </w:pPr>
      <w:r>
        <w:rPr>
          <w:rFonts w:hint="eastAsia" w:ascii="宋体" w:hAnsi="宋体" w:cs="宋体"/>
          <w:b/>
          <w:bCs/>
          <w:sz w:val="44"/>
          <w:szCs w:val="44"/>
        </w:rPr>
        <w:t>202</w:t>
      </w:r>
      <w:r>
        <w:rPr>
          <w:rFonts w:hint="eastAsia" w:ascii="宋体" w:hAnsi="宋体" w:cs="宋体"/>
          <w:b/>
          <w:bCs/>
          <w:sz w:val="44"/>
          <w:szCs w:val="44"/>
          <w:lang w:val="en-US" w:eastAsia="zh-CN"/>
        </w:rPr>
        <w:t>3</w:t>
      </w:r>
      <w:r>
        <w:rPr>
          <w:rFonts w:hint="eastAsia" w:ascii="宋体" w:hAnsi="宋体" w:cs="宋体"/>
          <w:b/>
          <w:bCs/>
          <w:sz w:val="44"/>
          <w:szCs w:val="44"/>
        </w:rPr>
        <w:t>年度整体支出绩效自评报告</w:t>
      </w:r>
    </w:p>
    <w:p w14:paraId="21B76834">
      <w:pPr>
        <w:spacing w:line="560" w:lineRule="exact"/>
        <w:jc w:val="center"/>
        <w:rPr>
          <w:rFonts w:ascii="华文楷体" w:eastAsia="华文楷体"/>
          <w:sz w:val="32"/>
          <w:szCs w:val="32"/>
        </w:rPr>
      </w:pPr>
    </w:p>
    <w:p w14:paraId="6FB7FD6B">
      <w:pPr>
        <w:adjustRightInd w:val="0"/>
        <w:snapToGrid w:val="0"/>
        <w:spacing w:line="560" w:lineRule="exact"/>
        <w:ind w:firstLine="640" w:firstLineChars="200"/>
        <w:rPr>
          <w:rFonts w:ascii="仿宋" w:hAnsi="仿宋" w:eastAsia="仿宋"/>
          <w:sz w:val="32"/>
          <w:szCs w:val="32"/>
        </w:rPr>
      </w:pPr>
      <w:r>
        <w:rPr>
          <w:rFonts w:hint="eastAsia" w:ascii="仿宋" w:hAnsi="仿宋" w:eastAsia="仿宋"/>
          <w:sz w:val="32"/>
          <w:szCs w:val="32"/>
        </w:rPr>
        <w:t>贯彻落实市委市政府《关于全面落实预算绩效管理的实施意见》（石发﹝2019﹞8号）文件精神，遵循“科学性、规范性、客观性和公正性”的原则，对政协石家庄市委员会办公室202</w:t>
      </w:r>
      <w:r>
        <w:rPr>
          <w:rFonts w:hint="eastAsia" w:ascii="仿宋" w:hAnsi="仿宋" w:eastAsia="仿宋"/>
          <w:sz w:val="32"/>
          <w:szCs w:val="32"/>
          <w:lang w:val="en-US" w:eastAsia="zh-CN"/>
        </w:rPr>
        <w:t>3</w:t>
      </w:r>
      <w:r>
        <w:rPr>
          <w:rFonts w:hint="eastAsia" w:ascii="仿宋" w:hAnsi="仿宋" w:eastAsia="仿宋"/>
          <w:sz w:val="32"/>
          <w:szCs w:val="32"/>
        </w:rPr>
        <w:t>年整体支出情况实施了财政支出绩效自评价，形成本评价报告。</w:t>
      </w:r>
    </w:p>
    <w:p w14:paraId="15EF9035">
      <w:pPr>
        <w:adjustRightInd w:val="0"/>
        <w:snapToGrid w:val="0"/>
        <w:spacing w:line="560" w:lineRule="exact"/>
        <w:rPr>
          <w:rFonts w:ascii="黑体" w:hAnsi="黑体" w:eastAsia="黑体"/>
          <w:b/>
          <w:bCs/>
          <w:sz w:val="32"/>
          <w:szCs w:val="36"/>
        </w:rPr>
      </w:pPr>
      <w:r>
        <w:rPr>
          <w:rFonts w:hint="eastAsia" w:ascii="黑体" w:hAnsi="黑体" w:eastAsia="黑体"/>
          <w:sz w:val="32"/>
          <w:szCs w:val="32"/>
        </w:rPr>
        <w:t xml:space="preserve">     一、部门</w:t>
      </w:r>
      <w:r>
        <w:rPr>
          <w:rFonts w:hint="eastAsia" w:ascii="黑体" w:hAnsi="黑体" w:eastAsia="黑体"/>
          <w:sz w:val="32"/>
          <w:szCs w:val="36"/>
        </w:rPr>
        <w:t>基本情况</w:t>
      </w:r>
    </w:p>
    <w:p w14:paraId="6928ECA7">
      <w:pPr>
        <w:adjustRightInd w:val="0"/>
        <w:snapToGrid w:val="0"/>
        <w:spacing w:line="560" w:lineRule="exact"/>
        <w:ind w:firstLine="640" w:firstLineChars="200"/>
        <w:rPr>
          <w:rFonts w:ascii="楷体" w:hAnsi="楷体" w:eastAsia="楷体" w:cs="楷体_GB2312"/>
          <w:bCs/>
          <w:sz w:val="32"/>
          <w:szCs w:val="32"/>
        </w:rPr>
      </w:pPr>
      <w:r>
        <w:rPr>
          <w:rFonts w:hint="eastAsia" w:ascii="楷体" w:hAnsi="楷体" w:eastAsia="楷体" w:cs="楷体_GB2312"/>
          <w:bCs/>
          <w:sz w:val="32"/>
          <w:szCs w:val="32"/>
        </w:rPr>
        <w:t>（一）部门概况</w:t>
      </w:r>
    </w:p>
    <w:p w14:paraId="34DA3FDF">
      <w:pPr>
        <w:adjustRightInd w:val="0"/>
        <w:snapToGrid w:val="0"/>
        <w:spacing w:line="560" w:lineRule="exact"/>
        <w:ind w:firstLine="640" w:firstLineChars="200"/>
        <w:rPr>
          <w:rFonts w:ascii="仿宋" w:hAnsi="仿宋" w:eastAsia="仿宋"/>
          <w:sz w:val="32"/>
          <w:szCs w:val="32"/>
        </w:rPr>
      </w:pPr>
      <w:r>
        <w:rPr>
          <w:rFonts w:hint="eastAsia" w:ascii="仿宋" w:hAnsi="仿宋" w:eastAsia="仿宋"/>
          <w:sz w:val="32"/>
          <w:szCs w:val="32"/>
        </w:rPr>
        <w:t>政协石家庄市委员会（以下简称“市政协”）主要职责是就本市大政方针以及政治、经济、文化、社会和生态文明中的重要问题在决策之前进行协商和就决策执行过程中的重要问题进行协商；完善各项会议制度，规范会议程序，提高会议质量，提高政治协商水平；根据形势、任务和党委政府统一部署，安排协商活动，召开政治协商会、协商民主会、专题座谈会、情况通报会、意见听取会、工作研讨会和学习座谈会等。加强港澳台侨和海外联谊活动，推动对外交往工作；市政协根据宪法及《中国人民政治协商会议章程》要求开展工作。</w:t>
      </w:r>
    </w:p>
    <w:p w14:paraId="0A993B49">
      <w:pPr>
        <w:adjustRightInd w:val="0"/>
        <w:snapToGrid w:val="0"/>
        <w:spacing w:line="560" w:lineRule="exact"/>
        <w:ind w:firstLine="640" w:firstLineChars="200"/>
        <w:rPr>
          <w:rFonts w:hint="eastAsia" w:ascii="仿宋" w:hAnsi="仿宋" w:eastAsia="仿宋"/>
          <w:sz w:val="32"/>
          <w:szCs w:val="32"/>
        </w:rPr>
      </w:pPr>
      <w:r>
        <w:rPr>
          <w:rFonts w:hint="eastAsia" w:ascii="仿宋" w:hAnsi="仿宋" w:eastAsia="仿宋"/>
          <w:sz w:val="32"/>
          <w:szCs w:val="32"/>
        </w:rPr>
        <w:t>202</w:t>
      </w:r>
      <w:r>
        <w:rPr>
          <w:rFonts w:hint="eastAsia" w:ascii="仿宋" w:hAnsi="仿宋" w:eastAsia="仿宋"/>
          <w:sz w:val="32"/>
          <w:szCs w:val="32"/>
          <w:lang w:val="en-US" w:eastAsia="zh-CN"/>
        </w:rPr>
        <w:t>3</w:t>
      </w:r>
      <w:r>
        <w:rPr>
          <w:rFonts w:hint="eastAsia" w:ascii="仿宋" w:hAnsi="仿宋" w:eastAsia="仿宋"/>
          <w:sz w:val="32"/>
          <w:szCs w:val="32"/>
        </w:rPr>
        <w:t>年底，市政协共有1个独立核算单位，为正厅级财政拨款的行政单位。实有在职人员</w:t>
      </w:r>
      <w:r>
        <w:rPr>
          <w:rFonts w:hint="eastAsia" w:ascii="仿宋" w:hAnsi="仿宋" w:eastAsia="仿宋"/>
          <w:sz w:val="32"/>
          <w:szCs w:val="32"/>
          <w:lang w:val="en-US" w:eastAsia="zh-CN"/>
        </w:rPr>
        <w:t>114</w:t>
      </w:r>
      <w:r>
        <w:rPr>
          <w:rFonts w:hint="eastAsia" w:ascii="仿宋" w:hAnsi="仿宋" w:eastAsia="仿宋"/>
          <w:sz w:val="32"/>
          <w:szCs w:val="32"/>
        </w:rPr>
        <w:t>人。</w:t>
      </w:r>
    </w:p>
    <w:p w14:paraId="5558D880">
      <w:pPr>
        <w:numPr>
          <w:ilvl w:val="0"/>
          <w:numId w:val="1"/>
        </w:numPr>
        <w:adjustRightInd w:val="0"/>
        <w:snapToGrid w:val="0"/>
        <w:spacing w:line="560" w:lineRule="exact"/>
        <w:ind w:firstLine="640" w:firstLineChars="200"/>
        <w:rPr>
          <w:rFonts w:hint="eastAsia" w:ascii="楷体" w:hAnsi="楷体" w:eastAsia="楷体" w:cs="楷体_GB2312"/>
          <w:bCs/>
          <w:sz w:val="32"/>
          <w:szCs w:val="32"/>
        </w:rPr>
      </w:pPr>
      <w:r>
        <w:rPr>
          <w:rFonts w:hint="eastAsia" w:ascii="楷体" w:hAnsi="楷体" w:eastAsia="楷体" w:cs="楷体_GB2312"/>
          <w:bCs/>
          <w:sz w:val="32"/>
          <w:szCs w:val="32"/>
        </w:rPr>
        <w:t>部门收支预决算情况</w:t>
      </w:r>
    </w:p>
    <w:p w14:paraId="6BEABB20">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640" w:firstLineChars="200"/>
        <w:textAlignment w:val="auto"/>
        <w:rPr>
          <w:rFonts w:hint="eastAsia" w:ascii="楷体" w:hAnsi="楷体" w:eastAsia="仿宋" w:cs="楷体_GB2312"/>
          <w:bCs/>
          <w:sz w:val="32"/>
          <w:szCs w:val="32"/>
          <w:lang w:eastAsia="zh-CN"/>
        </w:rPr>
      </w:pPr>
      <w:r>
        <w:rPr>
          <w:rFonts w:hint="eastAsia" w:ascii="仿宋" w:hAnsi="仿宋" w:eastAsia="仿宋"/>
          <w:sz w:val="32"/>
          <w:szCs w:val="32"/>
        </w:rPr>
        <w:t>202</w:t>
      </w:r>
      <w:r>
        <w:rPr>
          <w:rFonts w:hint="eastAsia" w:ascii="仿宋" w:hAnsi="仿宋" w:eastAsia="仿宋"/>
          <w:sz w:val="32"/>
          <w:szCs w:val="32"/>
          <w:lang w:val="en-US" w:eastAsia="zh-CN"/>
        </w:rPr>
        <w:t>3</w:t>
      </w:r>
      <w:r>
        <w:rPr>
          <w:rFonts w:hint="eastAsia" w:ascii="仿宋" w:hAnsi="仿宋" w:eastAsia="仿宋"/>
          <w:sz w:val="32"/>
          <w:szCs w:val="32"/>
        </w:rPr>
        <w:t>年预算调整资金15</w:t>
      </w:r>
      <w:r>
        <w:rPr>
          <w:rFonts w:hint="eastAsia" w:ascii="仿宋" w:hAnsi="仿宋" w:eastAsia="仿宋"/>
          <w:sz w:val="32"/>
          <w:szCs w:val="32"/>
          <w:lang w:val="en-US" w:eastAsia="zh-CN"/>
        </w:rPr>
        <w:t>63.86</w:t>
      </w:r>
      <w:r>
        <w:rPr>
          <w:rFonts w:hint="eastAsia" w:ascii="仿宋" w:hAnsi="仿宋" w:eastAsia="仿宋"/>
          <w:sz w:val="32"/>
          <w:szCs w:val="32"/>
        </w:rPr>
        <w:t>万元，共</w:t>
      </w:r>
      <w:r>
        <w:rPr>
          <w:rFonts w:hint="eastAsia" w:ascii="仿宋" w:hAnsi="仿宋" w:eastAsia="仿宋"/>
          <w:sz w:val="32"/>
          <w:szCs w:val="32"/>
          <w:lang w:val="en-US" w:eastAsia="zh-CN"/>
        </w:rPr>
        <w:t>25</w:t>
      </w:r>
      <w:r>
        <w:rPr>
          <w:rFonts w:hint="eastAsia" w:ascii="仿宋" w:hAnsi="仿宋" w:eastAsia="仿宋"/>
          <w:sz w:val="32"/>
          <w:szCs w:val="32"/>
        </w:rPr>
        <w:t>个项目，评价项目资金到位15</w:t>
      </w:r>
      <w:r>
        <w:rPr>
          <w:rFonts w:hint="eastAsia" w:ascii="仿宋" w:hAnsi="仿宋" w:eastAsia="仿宋"/>
          <w:sz w:val="32"/>
          <w:szCs w:val="32"/>
          <w:lang w:val="en-US" w:eastAsia="zh-CN"/>
        </w:rPr>
        <w:t>63.86</w:t>
      </w:r>
      <w:r>
        <w:rPr>
          <w:rFonts w:hint="eastAsia" w:ascii="仿宋" w:hAnsi="仿宋" w:eastAsia="仿宋"/>
          <w:sz w:val="32"/>
          <w:szCs w:val="32"/>
        </w:rPr>
        <w:t>万元，评价项目资金支出</w:t>
      </w:r>
      <w:r>
        <w:rPr>
          <w:rFonts w:hint="eastAsia" w:ascii="仿宋" w:hAnsi="仿宋" w:eastAsia="仿宋"/>
          <w:sz w:val="32"/>
          <w:szCs w:val="32"/>
          <w:lang w:val="en-US" w:eastAsia="zh-CN"/>
        </w:rPr>
        <w:t>1113.6352</w:t>
      </w:r>
      <w:r>
        <w:rPr>
          <w:rFonts w:hint="eastAsia" w:ascii="仿宋" w:hAnsi="仿宋" w:eastAsia="仿宋"/>
          <w:sz w:val="32"/>
          <w:szCs w:val="32"/>
        </w:rPr>
        <w:t>万元</w:t>
      </w:r>
      <w:r>
        <w:rPr>
          <w:rFonts w:hint="eastAsia" w:ascii="仿宋" w:hAnsi="仿宋" w:eastAsia="仿宋"/>
          <w:sz w:val="32"/>
          <w:szCs w:val="32"/>
          <w:lang w:eastAsia="zh-CN"/>
        </w:rPr>
        <w:t>。</w:t>
      </w:r>
    </w:p>
    <w:p w14:paraId="1BB1D14B">
      <w:pPr>
        <w:adjustRightInd w:val="0"/>
        <w:snapToGrid w:val="0"/>
        <w:spacing w:line="560" w:lineRule="exact"/>
        <w:ind w:firstLine="640" w:firstLineChars="200"/>
        <w:rPr>
          <w:rFonts w:ascii="楷体" w:hAnsi="楷体" w:eastAsia="楷体" w:cs="楷体_GB2312"/>
          <w:bCs/>
          <w:sz w:val="32"/>
          <w:szCs w:val="32"/>
        </w:rPr>
      </w:pPr>
      <w:r>
        <w:rPr>
          <w:rFonts w:hint="eastAsia" w:ascii="楷体" w:hAnsi="楷体" w:eastAsia="楷体" w:cs="楷体_GB2312"/>
          <w:bCs/>
          <w:sz w:val="32"/>
          <w:szCs w:val="32"/>
        </w:rPr>
        <w:t>（三）部门整体支出绩效目标、指标</w:t>
      </w:r>
    </w:p>
    <w:p w14:paraId="352657C4">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both"/>
        <w:textAlignment w:val="auto"/>
        <w:rPr>
          <w:rFonts w:hint="eastAsia" w:ascii="仿宋" w:hAnsi="仿宋" w:eastAsia="仿宋"/>
          <w:sz w:val="32"/>
          <w:szCs w:val="32"/>
        </w:rPr>
      </w:pPr>
      <w:r>
        <w:rPr>
          <w:rFonts w:hint="eastAsia" w:ascii="仿宋" w:hAnsi="仿宋" w:eastAsia="仿宋"/>
          <w:sz w:val="32"/>
          <w:szCs w:val="32"/>
        </w:rPr>
        <w:t>2023年要深入学习贯彻</w:t>
      </w:r>
      <w:r>
        <w:rPr>
          <w:rFonts w:hint="eastAsia" w:ascii="仿宋" w:hAnsi="仿宋" w:eastAsia="仿宋"/>
          <w:sz w:val="32"/>
          <w:szCs w:val="32"/>
          <w:lang w:eastAsia="zh-CN"/>
        </w:rPr>
        <w:t>党的</w:t>
      </w:r>
      <w:r>
        <w:rPr>
          <w:rFonts w:hint="eastAsia" w:ascii="仿宋" w:hAnsi="仿宋" w:eastAsia="仿宋"/>
          <w:sz w:val="32"/>
          <w:szCs w:val="32"/>
        </w:rPr>
        <w:t>二十大精神，坚决贯彻中共中央和省委、市委决策部署，把深入学习贯彻习近平新时代中国特色社会主义思想作为统揽政协工作的总纲，把坚持和发展中国特色社会主义作为巩固共同思想政治基础的主轴，把为加快建设现代化国际化美丽省会城市献计出力作为工作的主线，坚持完整准确全面贯彻新发展理念，坚持以人民为中心的发展思想，坚持团结和民主两大主题，坚持建言资政和凝聚共识双向发力，认真履行政治协商、民主监督、参政议政职能，更好凝聚共识，为推动省会建设和高质量发展作出新贡献。</w:t>
      </w:r>
    </w:p>
    <w:p w14:paraId="71BE5EB7">
      <w:pPr>
        <w:adjustRightInd w:val="0"/>
        <w:snapToGrid w:val="0"/>
        <w:spacing w:line="560" w:lineRule="exact"/>
        <w:ind w:firstLine="640" w:firstLineChars="200"/>
        <w:rPr>
          <w:rFonts w:ascii="黑体" w:hAnsi="黑体" w:eastAsia="黑体"/>
          <w:sz w:val="32"/>
          <w:szCs w:val="32"/>
        </w:rPr>
      </w:pPr>
      <w:r>
        <w:rPr>
          <w:rFonts w:hint="eastAsia" w:ascii="黑体" w:hAnsi="黑体" w:eastAsia="黑体"/>
          <w:sz w:val="32"/>
          <w:szCs w:val="32"/>
        </w:rPr>
        <w:t>二、自评工作开展情况</w:t>
      </w:r>
    </w:p>
    <w:p w14:paraId="16D1C09F">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firstLineChars="200"/>
        <w:jc w:val="both"/>
        <w:textAlignment w:val="auto"/>
        <w:rPr>
          <w:rFonts w:hint="eastAsia" w:ascii="楷体" w:hAnsi="楷体" w:eastAsia="楷体" w:cs="楷体_GB2312"/>
          <w:bCs/>
          <w:sz w:val="32"/>
          <w:szCs w:val="32"/>
          <w:highlight w:val="none"/>
        </w:rPr>
      </w:pPr>
      <w:r>
        <w:rPr>
          <w:rFonts w:hint="eastAsia" w:ascii="楷体" w:hAnsi="楷体" w:eastAsia="楷体" w:cs="楷体_GB2312"/>
          <w:bCs/>
          <w:sz w:val="32"/>
          <w:szCs w:val="32"/>
          <w:highlight w:val="none"/>
        </w:rPr>
        <w:t>（一）自评的组织工作</w:t>
      </w:r>
    </w:p>
    <w:p w14:paraId="0045184C">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both"/>
        <w:textAlignment w:val="auto"/>
        <w:rPr>
          <w:rFonts w:hint="eastAsia" w:ascii="仿宋" w:hAnsi="仿宋" w:eastAsia="仿宋"/>
          <w:sz w:val="32"/>
          <w:szCs w:val="32"/>
        </w:rPr>
      </w:pPr>
      <w:r>
        <w:rPr>
          <w:rFonts w:hint="eastAsia" w:ascii="仿宋" w:hAnsi="仿宋" w:eastAsia="仿宋"/>
          <w:sz w:val="32"/>
          <w:szCs w:val="32"/>
        </w:rPr>
        <w:t>1</w:t>
      </w:r>
      <w:r>
        <w:rPr>
          <w:rFonts w:hint="eastAsia" w:ascii="仿宋" w:hAnsi="仿宋" w:eastAsia="仿宋"/>
          <w:sz w:val="32"/>
          <w:szCs w:val="32"/>
          <w:lang w:eastAsia="zh-CN"/>
        </w:rPr>
        <w:t>、</w:t>
      </w:r>
      <w:r>
        <w:rPr>
          <w:rFonts w:hint="eastAsia" w:ascii="仿宋" w:hAnsi="仿宋" w:eastAsia="仿宋"/>
          <w:sz w:val="32"/>
          <w:szCs w:val="32"/>
        </w:rPr>
        <w:t>前期工作准备</w:t>
      </w:r>
    </w:p>
    <w:p w14:paraId="28227AAC">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both"/>
        <w:textAlignment w:val="auto"/>
        <w:rPr>
          <w:rFonts w:hint="eastAsia" w:ascii="仿宋" w:hAnsi="仿宋" w:eastAsia="仿宋"/>
          <w:color w:val="auto"/>
          <w:sz w:val="32"/>
          <w:szCs w:val="32"/>
          <w:highlight w:val="none"/>
        </w:rPr>
      </w:pPr>
      <w:r>
        <w:rPr>
          <w:rFonts w:hint="eastAsia" w:ascii="仿宋" w:hAnsi="仿宋" w:eastAsia="仿宋"/>
          <w:color w:val="auto"/>
          <w:sz w:val="32"/>
          <w:szCs w:val="32"/>
          <w:highlight w:val="none"/>
        </w:rPr>
        <w:t>（1）成立自评工作组</w:t>
      </w:r>
    </w:p>
    <w:p w14:paraId="12EF296A">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both"/>
        <w:textAlignment w:val="auto"/>
        <w:rPr>
          <w:rFonts w:hint="eastAsia" w:eastAsia="仿宋"/>
          <w:color w:val="FF0000"/>
          <w:lang w:eastAsia="zh-CN"/>
        </w:rPr>
      </w:pPr>
      <w:r>
        <w:rPr>
          <w:rFonts w:hint="eastAsia" w:ascii="仿宋" w:hAnsi="仿宋" w:eastAsia="仿宋"/>
          <w:sz w:val="32"/>
          <w:szCs w:val="32"/>
        </w:rPr>
        <w:t>根据石家庄市财政局《关于开展2024年绩效自评工作的通知》（石财监〔2024〕2号）要求，成立由各委、办、室，财务部门共同组成的绩效评价小组，</w:t>
      </w:r>
      <w:r>
        <w:rPr>
          <w:rFonts w:hint="eastAsia" w:ascii="仿宋" w:hAnsi="仿宋" w:eastAsia="仿宋"/>
          <w:sz w:val="32"/>
          <w:szCs w:val="32"/>
          <w:highlight w:val="none"/>
        </w:rPr>
        <w:t>工作组组长由自评工作承担单位主管领导担任，成员包括项目主管部门、财务主管部门和实施单位相关人员</w:t>
      </w:r>
      <w:r>
        <w:rPr>
          <w:rFonts w:hint="eastAsia" w:ascii="仿宋" w:hAnsi="仿宋" w:eastAsia="仿宋"/>
          <w:sz w:val="32"/>
          <w:szCs w:val="32"/>
          <w:highlight w:val="none"/>
          <w:lang w:eastAsia="zh-CN"/>
        </w:rPr>
        <w:t>，</w:t>
      </w:r>
      <w:r>
        <w:rPr>
          <w:rFonts w:hint="eastAsia" w:ascii="仿宋" w:hAnsi="仿宋" w:eastAsia="仿宋"/>
          <w:sz w:val="32"/>
          <w:szCs w:val="32"/>
        </w:rPr>
        <w:t>事先制定了绩效评价方案，根据预算绩效指标，通过收集整理政策文件、账本凭证等相关资料，制定具体评价方案，依照工作计划安排对委员活动经费的使用情况进行严格审核，重点关注项目实施情况、资金拨付情况、服务对象满意度等环节。</w:t>
      </w:r>
    </w:p>
    <w:p w14:paraId="13848A58">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（2）制定自评工作方案</w:t>
      </w:r>
    </w:p>
    <w:p w14:paraId="0E06147D">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按照《石家庄市市级部门项目绩效自评管理办法》（石财绩〔2020〕5号）文件要求，结合项目具体情况，制定自评工作方案，包括：项目概况、项目绩效目标、评价政策依据及数据资料、评价原则和方法、绩效评价指标体系及评价标准方法、自评工作流程和时间步骤等内容。</w:t>
      </w:r>
    </w:p>
    <w:p w14:paraId="5AF0BDE3">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2</w:t>
      </w:r>
      <w:r>
        <w:rPr>
          <w:rFonts w:hint="eastAsia" w:ascii="仿宋" w:hAnsi="仿宋" w:eastAsia="仿宋" w:cs="仿宋"/>
          <w:sz w:val="32"/>
          <w:szCs w:val="32"/>
          <w:lang w:eastAsia="zh-CN"/>
        </w:rPr>
        <w:t>、</w:t>
      </w:r>
      <w:r>
        <w:rPr>
          <w:rFonts w:hint="eastAsia" w:ascii="仿宋" w:hAnsi="仿宋" w:eastAsia="仿宋" w:cs="仿宋"/>
          <w:sz w:val="32"/>
          <w:szCs w:val="32"/>
        </w:rPr>
        <w:t>项目评价资料准备</w:t>
      </w:r>
    </w:p>
    <w:p w14:paraId="4030D99B">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根据评价工作要求，要求项目实施涉及相关科室准备评价所需基础信息资料，包括被评价单位的基本概况、项目请示、实施方案、预算资金使用情况、合同、项目相关财务账簿及凭证等资料、</w:t>
      </w:r>
      <w:r>
        <w:rPr>
          <w:rFonts w:hint="eastAsia" w:ascii="仿宋" w:hAnsi="仿宋" w:eastAsia="仿宋" w:cs="仿宋"/>
          <w:sz w:val="32"/>
          <w:szCs w:val="32"/>
          <w:lang w:val="en-US" w:eastAsia="zh-CN"/>
        </w:rPr>
        <w:t>审批资料</w:t>
      </w:r>
      <w:r>
        <w:rPr>
          <w:rFonts w:hint="eastAsia" w:ascii="仿宋" w:hAnsi="仿宋" w:eastAsia="仿宋" w:cs="仿宋"/>
          <w:sz w:val="32"/>
          <w:szCs w:val="32"/>
        </w:rPr>
        <w:t>等。</w:t>
      </w:r>
    </w:p>
    <w:p w14:paraId="05580979">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both"/>
        <w:textAlignment w:val="auto"/>
        <w:rPr>
          <w:rFonts w:hint="eastAsia" w:ascii="仿宋" w:hAnsi="仿宋" w:eastAsia="仿宋"/>
          <w:sz w:val="32"/>
          <w:szCs w:val="32"/>
        </w:rPr>
      </w:pPr>
      <w:r>
        <w:rPr>
          <w:rFonts w:hint="eastAsia" w:ascii="仿宋" w:hAnsi="仿宋" w:eastAsia="仿宋"/>
          <w:sz w:val="32"/>
          <w:szCs w:val="32"/>
        </w:rPr>
        <w:t>3</w:t>
      </w:r>
      <w:r>
        <w:rPr>
          <w:rFonts w:hint="eastAsia" w:ascii="仿宋" w:hAnsi="仿宋" w:eastAsia="仿宋"/>
          <w:sz w:val="32"/>
          <w:szCs w:val="32"/>
          <w:lang w:eastAsia="zh-CN"/>
        </w:rPr>
        <w:t>、</w:t>
      </w:r>
      <w:r>
        <w:rPr>
          <w:rFonts w:hint="eastAsia" w:ascii="仿宋" w:hAnsi="仿宋" w:eastAsia="仿宋"/>
          <w:sz w:val="32"/>
          <w:szCs w:val="32"/>
        </w:rPr>
        <w:t>资料收集及核查</w:t>
      </w:r>
    </w:p>
    <w:p w14:paraId="7DB98995">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both"/>
        <w:textAlignment w:val="auto"/>
        <w:rPr>
          <w:rFonts w:hint="eastAsia" w:ascii="仿宋" w:hAnsi="仿宋" w:eastAsia="仿宋"/>
          <w:sz w:val="32"/>
          <w:szCs w:val="32"/>
        </w:rPr>
      </w:pPr>
      <w:r>
        <w:rPr>
          <w:rFonts w:hint="eastAsia" w:ascii="仿宋" w:hAnsi="仿宋" w:eastAsia="仿宋"/>
          <w:sz w:val="32"/>
          <w:szCs w:val="32"/>
        </w:rPr>
        <w:t>评价工作组对资料核查核实采取档案核查和现场调查取证相结合的方式，全面收集、系统整理项目绩效完成信息，并对资料进行分类整理分析。</w:t>
      </w:r>
    </w:p>
    <w:p w14:paraId="43343E11">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both"/>
        <w:textAlignment w:val="auto"/>
        <w:rPr>
          <w:rFonts w:hint="eastAsia" w:ascii="仿宋" w:hAnsi="仿宋" w:eastAsia="仿宋"/>
          <w:sz w:val="32"/>
          <w:szCs w:val="32"/>
        </w:rPr>
      </w:pPr>
      <w:r>
        <w:rPr>
          <w:rFonts w:hint="eastAsia" w:ascii="仿宋" w:hAnsi="仿宋" w:eastAsia="仿宋"/>
          <w:sz w:val="32"/>
          <w:szCs w:val="32"/>
        </w:rPr>
        <w:t>4</w:t>
      </w:r>
      <w:r>
        <w:rPr>
          <w:rFonts w:hint="eastAsia" w:ascii="仿宋" w:hAnsi="仿宋" w:eastAsia="仿宋"/>
          <w:sz w:val="32"/>
          <w:szCs w:val="32"/>
          <w:lang w:eastAsia="zh-CN"/>
        </w:rPr>
        <w:t>、</w:t>
      </w:r>
      <w:r>
        <w:rPr>
          <w:rFonts w:hint="eastAsia" w:ascii="仿宋" w:hAnsi="仿宋" w:eastAsia="仿宋"/>
          <w:sz w:val="32"/>
          <w:szCs w:val="32"/>
        </w:rPr>
        <w:t>综合分析</w:t>
      </w:r>
    </w:p>
    <w:p w14:paraId="2241E4C6">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both"/>
        <w:textAlignment w:val="auto"/>
        <w:rPr>
          <w:rFonts w:hint="eastAsia" w:ascii="仿宋" w:hAnsi="仿宋" w:eastAsia="仿宋"/>
          <w:sz w:val="32"/>
          <w:szCs w:val="32"/>
        </w:rPr>
      </w:pPr>
      <w:r>
        <w:rPr>
          <w:rFonts w:hint="eastAsia" w:ascii="仿宋" w:hAnsi="仿宋" w:eastAsia="仿宋"/>
          <w:sz w:val="32"/>
          <w:szCs w:val="32"/>
        </w:rPr>
        <w:t>在熟悉相关基础数据和资料的基础上，确认各项绩效指标实际完成值和实现程度，审查对数据和资料的全面性、真实性、合理性和规范性，以及指标口径的一致性，主要包括项目资金使用管理情况、项目产出、效益和满意度等。</w:t>
      </w:r>
    </w:p>
    <w:p w14:paraId="76EA5B8D">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both"/>
        <w:textAlignment w:val="auto"/>
        <w:rPr>
          <w:rFonts w:hint="eastAsia" w:ascii="仿宋" w:hAnsi="仿宋" w:eastAsia="仿宋"/>
          <w:sz w:val="32"/>
          <w:szCs w:val="32"/>
        </w:rPr>
      </w:pPr>
      <w:r>
        <w:rPr>
          <w:rFonts w:hint="eastAsia" w:ascii="仿宋" w:hAnsi="仿宋" w:eastAsia="仿宋"/>
          <w:sz w:val="32"/>
          <w:szCs w:val="32"/>
        </w:rPr>
        <w:t>5</w:t>
      </w:r>
      <w:r>
        <w:rPr>
          <w:rFonts w:hint="eastAsia" w:ascii="仿宋" w:hAnsi="仿宋" w:eastAsia="仿宋"/>
          <w:sz w:val="32"/>
          <w:szCs w:val="32"/>
          <w:lang w:eastAsia="zh-CN"/>
        </w:rPr>
        <w:t>、</w:t>
      </w:r>
      <w:r>
        <w:rPr>
          <w:rFonts w:hint="eastAsia" w:ascii="仿宋" w:hAnsi="仿宋" w:eastAsia="仿宋"/>
          <w:sz w:val="32"/>
          <w:szCs w:val="32"/>
        </w:rPr>
        <w:t>评价阶段</w:t>
      </w:r>
    </w:p>
    <w:p w14:paraId="64AF5D51">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both"/>
        <w:textAlignment w:val="auto"/>
        <w:rPr>
          <w:rFonts w:hint="eastAsia" w:ascii="仿宋" w:hAnsi="仿宋" w:eastAsia="仿宋"/>
          <w:sz w:val="32"/>
          <w:szCs w:val="32"/>
        </w:rPr>
      </w:pPr>
      <w:r>
        <w:rPr>
          <w:rFonts w:hint="eastAsia" w:ascii="仿宋" w:hAnsi="仿宋" w:eastAsia="仿宋"/>
          <w:sz w:val="32"/>
          <w:szCs w:val="32"/>
        </w:rPr>
        <w:t>（1）填写项目绩效自评表基础信息</w:t>
      </w:r>
    </w:p>
    <w:p w14:paraId="66846DE0">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both"/>
        <w:textAlignment w:val="auto"/>
        <w:rPr>
          <w:rFonts w:hint="eastAsia" w:ascii="仿宋" w:hAnsi="仿宋" w:eastAsia="仿宋"/>
          <w:sz w:val="32"/>
          <w:szCs w:val="32"/>
        </w:rPr>
      </w:pPr>
      <w:r>
        <w:rPr>
          <w:rFonts w:hint="eastAsia" w:ascii="仿宋" w:hAnsi="仿宋" w:eastAsia="仿宋"/>
          <w:sz w:val="32"/>
          <w:szCs w:val="32"/>
        </w:rPr>
        <w:t>评价小组经对收集的项目评价资料及现场核查取得的相关数据和信息进行整理分析，准确填写各项评价信息。</w:t>
      </w:r>
    </w:p>
    <w:p w14:paraId="03D30FBD">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both"/>
        <w:textAlignment w:val="auto"/>
        <w:rPr>
          <w:rFonts w:hint="eastAsia" w:ascii="仿宋" w:hAnsi="仿宋" w:eastAsia="仿宋"/>
          <w:sz w:val="32"/>
          <w:szCs w:val="32"/>
        </w:rPr>
      </w:pPr>
      <w:r>
        <w:rPr>
          <w:rFonts w:hint="eastAsia" w:ascii="仿宋" w:hAnsi="仿宋" w:eastAsia="仿宋"/>
          <w:sz w:val="32"/>
          <w:szCs w:val="32"/>
        </w:rPr>
        <w:t>（2）绩效评价打分</w:t>
      </w:r>
    </w:p>
    <w:p w14:paraId="54D00287">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both"/>
        <w:textAlignment w:val="auto"/>
        <w:rPr>
          <w:rFonts w:hint="eastAsia" w:ascii="仿宋" w:hAnsi="仿宋" w:eastAsia="仿宋"/>
          <w:sz w:val="32"/>
          <w:szCs w:val="32"/>
        </w:rPr>
      </w:pPr>
      <w:r>
        <w:rPr>
          <w:rFonts w:hint="eastAsia" w:ascii="仿宋" w:hAnsi="仿宋" w:eastAsia="仿宋"/>
          <w:sz w:val="32"/>
          <w:szCs w:val="32"/>
        </w:rPr>
        <w:t>按照工作方案确定的评价指标体系、评价标准和评价方法，依据所收集的资料，按要求填写《部门预算项目绩效自评表》，对评价对象的绩效情况进行</w:t>
      </w:r>
      <w:r>
        <w:rPr>
          <w:rFonts w:hint="eastAsia" w:ascii="仿宋" w:hAnsi="仿宋" w:eastAsia="仿宋"/>
          <w:sz w:val="32"/>
          <w:szCs w:val="32"/>
          <w:lang w:val="en-US" w:eastAsia="zh-CN"/>
        </w:rPr>
        <w:t>定</w:t>
      </w:r>
      <w:r>
        <w:rPr>
          <w:rFonts w:hint="eastAsia" w:ascii="仿宋" w:hAnsi="仿宋" w:eastAsia="仿宋"/>
          <w:sz w:val="32"/>
          <w:szCs w:val="32"/>
        </w:rPr>
        <w:t>量、定性分析和综合评价，完成项目的绩效评价打分。</w:t>
      </w:r>
    </w:p>
    <w:p w14:paraId="0963980B">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both"/>
        <w:textAlignment w:val="auto"/>
        <w:rPr>
          <w:rFonts w:hint="eastAsia" w:ascii="仿宋" w:hAnsi="仿宋" w:eastAsia="仿宋"/>
          <w:sz w:val="32"/>
          <w:szCs w:val="32"/>
        </w:rPr>
      </w:pPr>
      <w:r>
        <w:rPr>
          <w:rFonts w:hint="eastAsia" w:ascii="仿宋" w:hAnsi="仿宋" w:eastAsia="仿宋"/>
          <w:sz w:val="32"/>
          <w:szCs w:val="32"/>
        </w:rPr>
        <w:t>（3）形成绩效评价结论</w:t>
      </w:r>
    </w:p>
    <w:p w14:paraId="5EDEE46E">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both"/>
        <w:textAlignment w:val="auto"/>
        <w:rPr>
          <w:rFonts w:hint="eastAsia" w:ascii="仿宋" w:hAnsi="仿宋" w:eastAsia="仿宋"/>
          <w:sz w:val="32"/>
          <w:szCs w:val="32"/>
        </w:rPr>
      </w:pPr>
      <w:r>
        <w:rPr>
          <w:rFonts w:hint="eastAsia" w:ascii="仿宋" w:hAnsi="仿宋" w:eastAsia="仿宋"/>
          <w:sz w:val="32"/>
          <w:szCs w:val="32"/>
        </w:rPr>
        <w:t>评价工作组对采集的评价基础数据资料进行整理</w:t>
      </w:r>
      <w:r>
        <w:rPr>
          <w:rFonts w:hint="eastAsia" w:ascii="仿宋" w:hAnsi="仿宋" w:eastAsia="仿宋"/>
          <w:sz w:val="32"/>
          <w:szCs w:val="32"/>
          <w:lang w:eastAsia="zh-CN"/>
        </w:rPr>
        <w:t>、</w:t>
      </w:r>
      <w:r>
        <w:rPr>
          <w:rFonts w:hint="eastAsia" w:ascii="仿宋" w:hAnsi="仿宋" w:eastAsia="仿宋"/>
          <w:sz w:val="32"/>
          <w:szCs w:val="32"/>
        </w:rPr>
        <w:t>汇总</w:t>
      </w:r>
      <w:r>
        <w:rPr>
          <w:rFonts w:hint="eastAsia" w:ascii="仿宋" w:hAnsi="仿宋" w:eastAsia="仿宋"/>
          <w:sz w:val="32"/>
          <w:szCs w:val="32"/>
          <w:lang w:eastAsia="zh-CN"/>
        </w:rPr>
        <w:t>、</w:t>
      </w:r>
      <w:r>
        <w:rPr>
          <w:rFonts w:hint="eastAsia" w:ascii="仿宋" w:hAnsi="仿宋" w:eastAsia="仿宋"/>
          <w:sz w:val="32"/>
          <w:szCs w:val="32"/>
        </w:rPr>
        <w:t>总结</w:t>
      </w:r>
      <w:r>
        <w:rPr>
          <w:rFonts w:hint="eastAsia" w:ascii="仿宋" w:hAnsi="仿宋" w:eastAsia="仿宋"/>
          <w:sz w:val="32"/>
          <w:szCs w:val="32"/>
          <w:lang w:eastAsia="zh-CN"/>
        </w:rPr>
        <w:t>、</w:t>
      </w:r>
      <w:r>
        <w:rPr>
          <w:rFonts w:hint="eastAsia" w:ascii="仿宋" w:hAnsi="仿宋" w:eastAsia="仿宋"/>
          <w:sz w:val="32"/>
          <w:szCs w:val="32"/>
        </w:rPr>
        <w:t>归纳项目实施取得</w:t>
      </w:r>
      <w:r>
        <w:rPr>
          <w:rFonts w:hint="eastAsia" w:ascii="仿宋" w:hAnsi="仿宋" w:eastAsia="仿宋"/>
          <w:sz w:val="32"/>
          <w:szCs w:val="32"/>
          <w:lang w:val="en-US" w:eastAsia="zh-CN"/>
        </w:rPr>
        <w:t>的</w:t>
      </w:r>
      <w:r>
        <w:rPr>
          <w:rFonts w:hint="eastAsia" w:ascii="仿宋" w:hAnsi="仿宋" w:eastAsia="仿宋"/>
          <w:sz w:val="32"/>
          <w:szCs w:val="32"/>
        </w:rPr>
        <w:t>主要成果，分析存在的问题并提出改进建议，形成绩效评价结论。</w:t>
      </w:r>
    </w:p>
    <w:p w14:paraId="36967F1E">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both"/>
        <w:textAlignment w:val="auto"/>
        <w:rPr>
          <w:rFonts w:hint="eastAsia" w:ascii="仿宋" w:hAnsi="仿宋" w:eastAsia="仿宋"/>
          <w:sz w:val="32"/>
          <w:szCs w:val="32"/>
        </w:rPr>
      </w:pPr>
      <w:r>
        <w:rPr>
          <w:rFonts w:hint="eastAsia" w:ascii="仿宋" w:hAnsi="仿宋" w:eastAsia="仿宋"/>
          <w:sz w:val="32"/>
          <w:szCs w:val="32"/>
        </w:rPr>
        <w:t>6</w:t>
      </w:r>
      <w:r>
        <w:rPr>
          <w:rFonts w:hint="eastAsia" w:ascii="仿宋" w:hAnsi="仿宋" w:eastAsia="仿宋"/>
          <w:sz w:val="32"/>
          <w:szCs w:val="32"/>
          <w:lang w:eastAsia="zh-CN"/>
        </w:rPr>
        <w:t>、</w:t>
      </w:r>
      <w:r>
        <w:rPr>
          <w:rFonts w:hint="eastAsia" w:ascii="仿宋" w:hAnsi="仿宋" w:eastAsia="仿宋"/>
          <w:sz w:val="32"/>
          <w:szCs w:val="32"/>
        </w:rPr>
        <w:t>编写项目自评报告</w:t>
      </w:r>
    </w:p>
    <w:p w14:paraId="037F6CCF">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根据石家庄市财政局《关于开展202</w:t>
      </w:r>
      <w:r>
        <w:rPr>
          <w:rFonts w:hint="eastAsia" w:ascii="仿宋" w:hAnsi="仿宋" w:eastAsia="仿宋" w:cs="仿宋"/>
          <w:sz w:val="32"/>
          <w:szCs w:val="32"/>
          <w:lang w:val="en-US" w:eastAsia="zh-CN"/>
        </w:rPr>
        <w:t>4</w:t>
      </w:r>
      <w:r>
        <w:rPr>
          <w:rFonts w:hint="eastAsia" w:ascii="仿宋" w:hAnsi="仿宋" w:eastAsia="仿宋" w:cs="仿宋"/>
          <w:sz w:val="32"/>
          <w:szCs w:val="32"/>
        </w:rPr>
        <w:t>年绩效自评工作的通知》（石财监〔202</w:t>
      </w:r>
      <w:r>
        <w:rPr>
          <w:rFonts w:hint="eastAsia" w:ascii="仿宋" w:hAnsi="仿宋" w:eastAsia="仿宋" w:cs="仿宋"/>
          <w:sz w:val="32"/>
          <w:szCs w:val="32"/>
          <w:lang w:val="en-US" w:eastAsia="zh-CN"/>
        </w:rPr>
        <w:t>4</w:t>
      </w:r>
      <w:r>
        <w:rPr>
          <w:rFonts w:hint="eastAsia" w:ascii="仿宋" w:hAnsi="仿宋" w:eastAsia="仿宋" w:cs="仿宋"/>
          <w:sz w:val="32"/>
          <w:szCs w:val="32"/>
        </w:rPr>
        <w:t>〕</w:t>
      </w:r>
      <w:r>
        <w:rPr>
          <w:rFonts w:hint="eastAsia" w:ascii="仿宋" w:hAnsi="仿宋" w:eastAsia="仿宋" w:cs="仿宋"/>
          <w:sz w:val="32"/>
          <w:szCs w:val="32"/>
          <w:lang w:val="en-US" w:eastAsia="zh-CN"/>
        </w:rPr>
        <w:t>2</w:t>
      </w:r>
      <w:r>
        <w:rPr>
          <w:rFonts w:hint="eastAsia" w:ascii="仿宋" w:hAnsi="仿宋" w:eastAsia="仿宋" w:cs="仿宋"/>
          <w:sz w:val="32"/>
          <w:szCs w:val="32"/>
        </w:rPr>
        <w:t>号）规定格式，撰写项目自评报告，并提交领导小组审定。</w:t>
      </w:r>
    </w:p>
    <w:p w14:paraId="09EBB234">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firstLineChars="200"/>
        <w:jc w:val="both"/>
        <w:textAlignment w:val="auto"/>
        <w:rPr>
          <w:rFonts w:hint="eastAsia" w:ascii="楷体" w:hAnsi="楷体" w:eastAsia="楷体" w:cs="楷体_GB2312"/>
          <w:bCs/>
          <w:sz w:val="32"/>
          <w:szCs w:val="32"/>
          <w:highlight w:val="none"/>
        </w:rPr>
      </w:pPr>
      <w:r>
        <w:rPr>
          <w:rFonts w:hint="eastAsia" w:ascii="楷体" w:hAnsi="楷体" w:eastAsia="楷体" w:cs="楷体_GB2312"/>
          <w:bCs/>
          <w:kern w:val="2"/>
          <w:sz w:val="32"/>
          <w:szCs w:val="32"/>
          <w:lang w:val="en-US" w:eastAsia="zh-CN" w:bidi="ar-SA"/>
        </w:rPr>
        <w:t>（二）</w:t>
      </w:r>
      <w:r>
        <w:rPr>
          <w:rFonts w:hint="eastAsia" w:ascii="楷体" w:hAnsi="楷体" w:eastAsia="楷体" w:cs="楷体_GB2312"/>
          <w:bCs/>
          <w:sz w:val="32"/>
          <w:szCs w:val="32"/>
          <w:highlight w:val="none"/>
        </w:rPr>
        <w:t>自评的方法和过程</w:t>
      </w:r>
    </w:p>
    <w:p w14:paraId="59A3732B">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both"/>
        <w:textAlignment w:val="auto"/>
        <w:rPr>
          <w:rFonts w:ascii="仿宋" w:hAnsi="仿宋" w:eastAsia="仿宋"/>
          <w:sz w:val="32"/>
          <w:szCs w:val="32"/>
        </w:rPr>
      </w:pPr>
      <w:r>
        <w:rPr>
          <w:rFonts w:hint="eastAsia" w:ascii="仿宋" w:hAnsi="仿宋" w:eastAsia="仿宋"/>
          <w:sz w:val="32"/>
          <w:szCs w:val="32"/>
        </w:rPr>
        <w:t>本次绩效评价以评价指标体系为基础，主要采用因素分析法、比较分析法、</w:t>
      </w:r>
      <w:r>
        <w:rPr>
          <w:rFonts w:ascii="仿宋" w:hAnsi="仿宋" w:eastAsia="仿宋"/>
          <w:sz w:val="32"/>
          <w:szCs w:val="32"/>
        </w:rPr>
        <w:t>综合指数评价法</w:t>
      </w:r>
      <w:r>
        <w:rPr>
          <w:rFonts w:hint="eastAsia" w:ascii="仿宋" w:hAnsi="仿宋" w:eastAsia="仿宋"/>
          <w:sz w:val="32"/>
          <w:szCs w:val="32"/>
        </w:rPr>
        <w:t>，具体指标评价采用百分制评分的形式来评定政策在制定、实施和效果各环节的实施和达成程度，在指标评价的基础上，由评价工作组综合分析，确定绩效整体的评价结论。</w:t>
      </w:r>
    </w:p>
    <w:p w14:paraId="456DD3DA">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both"/>
        <w:textAlignment w:val="auto"/>
        <w:rPr>
          <w:rFonts w:ascii="仿宋" w:hAnsi="仿宋" w:eastAsia="仿宋"/>
          <w:sz w:val="32"/>
          <w:szCs w:val="32"/>
        </w:rPr>
      </w:pPr>
      <w:r>
        <w:rPr>
          <w:rFonts w:ascii="仿宋" w:hAnsi="仿宋" w:eastAsia="仿宋"/>
          <w:sz w:val="32"/>
          <w:szCs w:val="32"/>
        </w:rPr>
        <w:t>成本效益分析法。是指将一定时期内总成本与总效益进行对比分析，以评价绩效目标实现程度。</w:t>
      </w:r>
    </w:p>
    <w:p w14:paraId="64F13281">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both"/>
        <w:textAlignment w:val="auto"/>
        <w:rPr>
          <w:rFonts w:ascii="仿宋" w:hAnsi="仿宋" w:eastAsia="仿宋"/>
          <w:sz w:val="32"/>
          <w:szCs w:val="32"/>
        </w:rPr>
      </w:pPr>
      <w:r>
        <w:rPr>
          <w:rFonts w:ascii="仿宋" w:hAnsi="仿宋" w:eastAsia="仿宋"/>
          <w:sz w:val="32"/>
          <w:szCs w:val="32"/>
        </w:rPr>
        <w:t>比较法。是指通过对绩效目标与实施效果、历史与当期情况、不同部门和地区同类支出的比较，综合分析绩效目标实现程度。</w:t>
      </w:r>
    </w:p>
    <w:p w14:paraId="106699BA">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both"/>
        <w:textAlignment w:val="auto"/>
        <w:rPr>
          <w:rFonts w:ascii="仿宋" w:hAnsi="仿宋" w:eastAsia="仿宋"/>
          <w:sz w:val="32"/>
          <w:szCs w:val="32"/>
        </w:rPr>
      </w:pPr>
      <w:r>
        <w:rPr>
          <w:rFonts w:ascii="仿宋" w:hAnsi="仿宋" w:eastAsia="仿宋"/>
          <w:sz w:val="32"/>
          <w:szCs w:val="32"/>
        </w:rPr>
        <w:t>因素分析法。是指通过综合分析影响绩效目标实现、实施效果的内外因素，计算投入产出比的方法。</w:t>
      </w:r>
    </w:p>
    <w:p w14:paraId="44BC966F">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both"/>
        <w:textAlignment w:val="auto"/>
        <w:rPr>
          <w:rFonts w:ascii="楷体" w:hAnsi="楷体" w:eastAsia="楷体" w:cs="楷体_GB2312"/>
          <w:bCs/>
          <w:sz w:val="32"/>
          <w:szCs w:val="32"/>
        </w:rPr>
      </w:pPr>
      <w:r>
        <w:rPr>
          <w:rFonts w:ascii="仿宋" w:hAnsi="仿宋" w:eastAsia="仿宋"/>
          <w:sz w:val="32"/>
          <w:szCs w:val="32"/>
        </w:rPr>
        <w:t>综合指数评价法。是指把各项绩效指标的实际水平，对照评价标准值，分别计算各项指标评价得分，再按照设定的各项指标权数计算出综合评价得分，分析评价绩效目标实现情况的评价方法。</w:t>
      </w:r>
    </w:p>
    <w:p w14:paraId="37DEB32B">
      <w:pPr>
        <w:spacing w:line="560" w:lineRule="exact"/>
        <w:rPr>
          <w:rFonts w:ascii="黑体" w:hAnsi="黑体" w:eastAsia="黑体"/>
          <w:b/>
          <w:bCs/>
          <w:sz w:val="32"/>
          <w:szCs w:val="32"/>
        </w:rPr>
      </w:pPr>
      <w:r>
        <w:rPr>
          <w:rFonts w:hint="eastAsia" w:ascii="黑体" w:hAnsi="黑体" w:eastAsia="黑体"/>
          <w:sz w:val="32"/>
          <w:szCs w:val="32"/>
        </w:rPr>
        <w:t xml:space="preserve">    三、部门整体支出绩效目标实现情况及指标分析</w:t>
      </w:r>
    </w:p>
    <w:p w14:paraId="0260A29C">
      <w:pPr>
        <w:numPr>
          <w:ilvl w:val="0"/>
          <w:numId w:val="2"/>
        </w:numPr>
        <w:spacing w:line="560" w:lineRule="exact"/>
        <w:ind w:firstLine="640" w:firstLineChars="200"/>
        <w:rPr>
          <w:rFonts w:ascii="楷体" w:hAnsi="楷体" w:eastAsia="楷体" w:cs="楷体_GB2312"/>
          <w:bCs/>
          <w:sz w:val="32"/>
          <w:szCs w:val="32"/>
        </w:rPr>
      </w:pPr>
      <w:r>
        <w:rPr>
          <w:rFonts w:hint="eastAsia" w:ascii="楷体" w:hAnsi="楷体" w:eastAsia="楷体" w:cs="楷体_GB2312"/>
          <w:bCs/>
          <w:sz w:val="32"/>
          <w:szCs w:val="32"/>
        </w:rPr>
        <w:t>总体绩效目标实现情况</w:t>
      </w:r>
    </w:p>
    <w:p w14:paraId="08126005">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both"/>
        <w:textAlignment w:val="auto"/>
        <w:rPr>
          <w:rFonts w:hint="eastAsia" w:ascii="仿宋" w:hAnsi="仿宋" w:eastAsia="仿宋"/>
          <w:sz w:val="32"/>
          <w:szCs w:val="32"/>
        </w:rPr>
      </w:pPr>
      <w:r>
        <w:rPr>
          <w:rFonts w:hint="eastAsia" w:ascii="仿宋" w:hAnsi="仿宋" w:eastAsia="仿宋"/>
          <w:sz w:val="32"/>
          <w:szCs w:val="32"/>
        </w:rPr>
        <w:t>2023年要深入学习贯彻</w:t>
      </w:r>
      <w:r>
        <w:rPr>
          <w:rFonts w:hint="eastAsia" w:ascii="仿宋" w:hAnsi="仿宋" w:eastAsia="仿宋"/>
          <w:sz w:val="32"/>
          <w:szCs w:val="32"/>
          <w:lang w:eastAsia="zh-CN"/>
        </w:rPr>
        <w:t>党的</w:t>
      </w:r>
      <w:r>
        <w:rPr>
          <w:rFonts w:hint="eastAsia" w:ascii="仿宋" w:hAnsi="仿宋" w:eastAsia="仿宋"/>
          <w:sz w:val="32"/>
          <w:szCs w:val="32"/>
        </w:rPr>
        <w:t>二十大精神，坚决贯彻中共中央和省委、市委决策部署，把深入学习贯彻习近平新时代中国特色社会主义思想作为统揽政协工作的总纲，把坚持和发展中国特色社会主义作为巩固共同思想政治基础的主轴，把为加快建设现代化国际化美丽省会城市献计出力作为工作的主线，坚持完整准确全面贯彻新发展理念，坚持以人民为中心的发展思想，坚持团结和民主两大主题，坚持建言资政和凝聚共识双向发力，认真履行政治协商、民主监督、参政议政职能，更好凝聚共识，为推动省会建设和高质量发展作出新贡献</w:t>
      </w:r>
      <w:r>
        <w:rPr>
          <w:rFonts w:hint="eastAsia" w:ascii="仿宋" w:hAnsi="仿宋" w:eastAsia="仿宋"/>
          <w:sz w:val="32"/>
          <w:szCs w:val="32"/>
          <w:lang w:eastAsia="zh-CN"/>
        </w:rPr>
        <w:t>，</w:t>
      </w:r>
      <w:r>
        <w:rPr>
          <w:rFonts w:hint="eastAsia" w:ascii="仿宋" w:hAnsi="仿宋" w:eastAsia="仿宋"/>
          <w:sz w:val="32"/>
          <w:szCs w:val="32"/>
        </w:rPr>
        <w:t>圆满完成了总体绩效目标。</w:t>
      </w:r>
    </w:p>
    <w:p w14:paraId="4FD1DE10">
      <w:pPr>
        <w:spacing w:line="560" w:lineRule="exact"/>
        <w:ind w:firstLine="640" w:firstLineChars="200"/>
        <w:rPr>
          <w:rFonts w:hint="eastAsia" w:ascii="仿宋" w:hAnsi="仿宋" w:eastAsia="仿宋"/>
          <w:sz w:val="32"/>
          <w:szCs w:val="32"/>
        </w:rPr>
      </w:pPr>
      <w:r>
        <w:rPr>
          <w:rFonts w:hint="eastAsia" w:ascii="仿宋" w:hAnsi="仿宋" w:eastAsia="仿宋"/>
          <w:sz w:val="32"/>
          <w:szCs w:val="32"/>
          <w:lang w:val="en-US" w:eastAsia="zh-CN"/>
        </w:rPr>
        <w:t>1、</w:t>
      </w:r>
      <w:r>
        <w:rPr>
          <w:rFonts w:hint="eastAsia" w:ascii="仿宋" w:hAnsi="仿宋" w:eastAsia="仿宋"/>
          <w:sz w:val="32"/>
          <w:szCs w:val="32"/>
        </w:rPr>
        <w:t>全会影响与政协职能再凸显</w:t>
      </w:r>
    </w:p>
    <w:p w14:paraId="2EFC799D">
      <w:pPr>
        <w:spacing w:line="560" w:lineRule="exact"/>
        <w:ind w:firstLine="640" w:firstLineChars="200"/>
        <w:rPr>
          <w:rFonts w:hint="eastAsia" w:ascii="仿宋" w:hAnsi="仿宋" w:eastAsia="仿宋"/>
          <w:sz w:val="32"/>
          <w:szCs w:val="32"/>
        </w:rPr>
      </w:pPr>
      <w:r>
        <w:rPr>
          <w:rFonts w:hint="eastAsia" w:ascii="仿宋" w:hAnsi="仿宋" w:eastAsia="仿宋"/>
          <w:sz w:val="32"/>
          <w:szCs w:val="32"/>
        </w:rPr>
        <w:t>绩效目标：顺利召开市政协十四届三次全体会议，做好全会筹备及组织服务工作，紧紧抓住经济总量过万亿的目标，牢牢把握跃升之年、展示之年的时代内涵和内在逻辑。积极履职尽责、议政建言，放大优势能量，凝聚担当实干共识，以实际行动为加快建设现代化、国际化美丽省会城市作出应有贡献。强化协调调度，实行精细管理，对标对表省两会，研究制定了大会总体方案和运程表，各项服务保障任务落实到组、到人，确保了环环紧扣、有条不紊、顺畅衔接、规范有序。</w:t>
      </w:r>
    </w:p>
    <w:p w14:paraId="3FA8AB35">
      <w:pPr>
        <w:spacing w:line="560" w:lineRule="exact"/>
        <w:ind w:firstLine="640" w:firstLineChars="200"/>
        <w:rPr>
          <w:rFonts w:hint="eastAsia" w:ascii="仿宋" w:hAnsi="仿宋" w:eastAsia="仿宋"/>
          <w:sz w:val="32"/>
          <w:szCs w:val="32"/>
        </w:rPr>
      </w:pPr>
      <w:r>
        <w:rPr>
          <w:rFonts w:hint="eastAsia" w:ascii="仿宋" w:hAnsi="仿宋" w:eastAsia="仿宋"/>
          <w:sz w:val="32"/>
          <w:szCs w:val="32"/>
        </w:rPr>
        <w:t>绩效指标：市政协十四届三次会议参会委员人数达到590人，比例占应到会人数的90%，委员提出提案数量400件左右，在全市受到广大受众的充分认可，委员满意度达到95%。</w:t>
      </w:r>
    </w:p>
    <w:p w14:paraId="07CCA7FE">
      <w:pPr>
        <w:spacing w:line="560" w:lineRule="exact"/>
        <w:ind w:firstLine="640" w:firstLineChars="200"/>
        <w:rPr>
          <w:rFonts w:hint="eastAsia" w:ascii="仿宋" w:hAnsi="仿宋" w:eastAsia="仿宋"/>
          <w:sz w:val="32"/>
          <w:szCs w:val="32"/>
        </w:rPr>
      </w:pPr>
      <w:r>
        <w:rPr>
          <w:rFonts w:hint="eastAsia" w:ascii="仿宋" w:hAnsi="仿宋" w:eastAsia="仿宋"/>
          <w:sz w:val="32"/>
          <w:szCs w:val="32"/>
          <w:lang w:val="en-US" w:eastAsia="zh-CN"/>
        </w:rPr>
        <w:t>2、</w:t>
      </w:r>
      <w:r>
        <w:rPr>
          <w:rFonts w:hint="eastAsia" w:ascii="仿宋" w:hAnsi="仿宋" w:eastAsia="仿宋"/>
          <w:sz w:val="32"/>
          <w:szCs w:val="32"/>
        </w:rPr>
        <w:t>力行为民之举</w:t>
      </w:r>
    </w:p>
    <w:p w14:paraId="65EB468E">
      <w:pPr>
        <w:spacing w:line="560" w:lineRule="exact"/>
        <w:ind w:firstLine="640" w:firstLineChars="200"/>
        <w:rPr>
          <w:rFonts w:hint="eastAsia" w:ascii="仿宋" w:hAnsi="仿宋" w:eastAsia="仿宋"/>
          <w:sz w:val="32"/>
          <w:szCs w:val="32"/>
        </w:rPr>
      </w:pPr>
      <w:r>
        <w:rPr>
          <w:rFonts w:hint="eastAsia" w:ascii="仿宋" w:hAnsi="仿宋" w:eastAsia="仿宋"/>
          <w:sz w:val="32"/>
          <w:szCs w:val="32"/>
        </w:rPr>
        <w:t>绩效目标：在全面增进民生福祉中彰显政协价值。要深入基层察民情，带着问题、带着感情、带着责任深入基层一线，畅通社情民意表达渠道，筑牢党委政府和人民群众的“连心桥”。要春风化雨暖民心，协助市委、市政府做好宣传引导、解疑释惑、化解矛盾等工作，把市委、市政府的决策主张准确地传递到社会各个阶层，夯实最广泛、最深厚的群众基础。要多办实事惠民利，紧盯私搭乱建、违章建筑专项整治、疫情防控、提升公共服务水平等问题，开展全方位、多层次的调查研究，提出务实管用的新招实招硬招，有效解决群众的急难愁盼问题。</w:t>
      </w:r>
    </w:p>
    <w:p w14:paraId="508C9FAC">
      <w:pPr>
        <w:spacing w:line="560" w:lineRule="exact"/>
        <w:ind w:firstLine="640" w:firstLineChars="200"/>
        <w:rPr>
          <w:rFonts w:hint="eastAsia" w:ascii="仿宋" w:hAnsi="仿宋" w:eastAsia="仿宋"/>
          <w:sz w:val="32"/>
          <w:szCs w:val="32"/>
        </w:rPr>
      </w:pPr>
      <w:r>
        <w:rPr>
          <w:rFonts w:hint="eastAsia" w:ascii="仿宋" w:hAnsi="仿宋" w:eastAsia="仿宋"/>
          <w:sz w:val="32"/>
          <w:szCs w:val="32"/>
        </w:rPr>
        <w:t>绩效指标：</w:t>
      </w:r>
    </w:p>
    <w:p w14:paraId="3D507D64">
      <w:pPr>
        <w:spacing w:line="560" w:lineRule="exact"/>
        <w:ind w:firstLine="640" w:firstLineChars="200"/>
        <w:rPr>
          <w:rFonts w:hint="eastAsia" w:ascii="仿宋" w:hAnsi="仿宋" w:eastAsia="仿宋"/>
          <w:sz w:val="32"/>
          <w:szCs w:val="32"/>
        </w:rPr>
      </w:pPr>
      <w:r>
        <w:rPr>
          <w:rFonts w:hint="eastAsia" w:ascii="仿宋" w:hAnsi="仿宋" w:eastAsia="仿宋"/>
          <w:sz w:val="32"/>
          <w:szCs w:val="32"/>
        </w:rPr>
        <w:t>政协常务委员会议每季度1次，必要时可临时举行。</w:t>
      </w:r>
    </w:p>
    <w:p w14:paraId="583C25BA">
      <w:pPr>
        <w:spacing w:line="560" w:lineRule="exact"/>
        <w:ind w:firstLine="640" w:firstLineChars="200"/>
        <w:rPr>
          <w:rFonts w:hint="eastAsia" w:ascii="仿宋" w:hAnsi="仿宋" w:eastAsia="仿宋"/>
          <w:sz w:val="32"/>
          <w:szCs w:val="32"/>
        </w:rPr>
      </w:pPr>
      <w:r>
        <w:rPr>
          <w:rFonts w:hint="eastAsia" w:ascii="仿宋" w:hAnsi="仿宋" w:eastAsia="仿宋"/>
          <w:sz w:val="32"/>
          <w:szCs w:val="32"/>
        </w:rPr>
        <w:t>各专门委员会组织界别活动30次，3次集体视察，委员覆盖率达到60%以上;开展专题协商座谈10次，交流活动3次，形成3篇高质量专题协商报告。</w:t>
      </w:r>
    </w:p>
    <w:p w14:paraId="7206CB27">
      <w:pPr>
        <w:spacing w:line="560" w:lineRule="exact"/>
        <w:ind w:firstLine="640" w:firstLineChars="200"/>
        <w:rPr>
          <w:rFonts w:hint="eastAsia" w:ascii="仿宋" w:hAnsi="仿宋" w:eastAsia="仿宋"/>
          <w:sz w:val="32"/>
          <w:szCs w:val="32"/>
        </w:rPr>
      </w:pPr>
      <w:r>
        <w:rPr>
          <w:rFonts w:hint="eastAsia" w:ascii="仿宋" w:hAnsi="仿宋" w:eastAsia="仿宋"/>
          <w:sz w:val="32"/>
          <w:szCs w:val="32"/>
        </w:rPr>
        <w:t>开展驻石知名人士活动1次。</w:t>
      </w:r>
    </w:p>
    <w:p w14:paraId="377D5333">
      <w:pPr>
        <w:spacing w:line="560" w:lineRule="exact"/>
        <w:ind w:firstLine="640" w:firstLineChars="200"/>
        <w:rPr>
          <w:rFonts w:hint="eastAsia" w:ascii="仿宋" w:hAnsi="仿宋" w:eastAsia="仿宋"/>
          <w:sz w:val="32"/>
          <w:szCs w:val="32"/>
        </w:rPr>
      </w:pPr>
      <w:r>
        <w:rPr>
          <w:rFonts w:hint="eastAsia" w:ascii="仿宋" w:hAnsi="仿宋" w:eastAsia="仿宋"/>
          <w:sz w:val="32"/>
          <w:szCs w:val="32"/>
        </w:rPr>
        <w:t>办好《石家庄政协》、《社情民意》2本内部刊物。</w:t>
      </w:r>
    </w:p>
    <w:p w14:paraId="0D5E63AA">
      <w:pPr>
        <w:spacing w:line="560" w:lineRule="exact"/>
        <w:ind w:firstLine="640" w:firstLineChars="200"/>
        <w:rPr>
          <w:rFonts w:hint="eastAsia" w:ascii="仿宋" w:hAnsi="仿宋" w:eastAsia="仿宋"/>
          <w:sz w:val="32"/>
          <w:szCs w:val="32"/>
        </w:rPr>
      </w:pPr>
      <w:r>
        <w:rPr>
          <w:rFonts w:hint="eastAsia" w:ascii="仿宋" w:hAnsi="仿宋" w:eastAsia="仿宋"/>
          <w:sz w:val="32"/>
          <w:szCs w:val="32"/>
        </w:rPr>
        <w:t>加强提案督办落实，办好《提案追踪》栏目和“提案回音壁”专栏，使协商议政更具成效。</w:t>
      </w:r>
    </w:p>
    <w:p w14:paraId="356B01A3">
      <w:pPr>
        <w:spacing w:line="560" w:lineRule="exact"/>
        <w:ind w:firstLine="640" w:firstLineChars="200"/>
        <w:rPr>
          <w:rFonts w:hint="eastAsia" w:ascii="仿宋" w:hAnsi="仿宋" w:eastAsia="仿宋"/>
          <w:sz w:val="32"/>
          <w:szCs w:val="32"/>
        </w:rPr>
      </w:pPr>
      <w:r>
        <w:rPr>
          <w:rFonts w:hint="eastAsia" w:ascii="仿宋" w:hAnsi="仿宋" w:eastAsia="仿宋"/>
          <w:sz w:val="32"/>
          <w:szCs w:val="32"/>
          <w:lang w:val="en-US" w:eastAsia="zh-CN"/>
        </w:rPr>
        <w:t>3、</w:t>
      </w:r>
      <w:r>
        <w:rPr>
          <w:rFonts w:hint="eastAsia" w:ascii="仿宋" w:hAnsi="仿宋" w:eastAsia="仿宋"/>
          <w:sz w:val="32"/>
          <w:szCs w:val="32"/>
        </w:rPr>
        <w:t>提高委员履职能力</w:t>
      </w:r>
    </w:p>
    <w:p w14:paraId="77297CA8">
      <w:pPr>
        <w:spacing w:line="560" w:lineRule="exact"/>
        <w:ind w:firstLine="640" w:firstLineChars="200"/>
        <w:rPr>
          <w:rFonts w:hint="eastAsia" w:ascii="仿宋" w:hAnsi="仿宋" w:eastAsia="仿宋"/>
          <w:sz w:val="32"/>
          <w:szCs w:val="32"/>
        </w:rPr>
      </w:pPr>
      <w:r>
        <w:rPr>
          <w:rFonts w:hint="eastAsia" w:ascii="仿宋" w:hAnsi="仿宋" w:eastAsia="仿宋"/>
          <w:sz w:val="32"/>
          <w:szCs w:val="32"/>
        </w:rPr>
        <w:t>绩效目标：要增强委员履职能力，积极学习</w:t>
      </w:r>
      <w:r>
        <w:rPr>
          <w:rFonts w:hint="eastAsia" w:ascii="仿宋" w:hAnsi="仿宋" w:eastAsia="仿宋"/>
          <w:sz w:val="32"/>
          <w:szCs w:val="32"/>
          <w:lang w:eastAsia="zh-CN"/>
        </w:rPr>
        <w:t>党的</w:t>
      </w:r>
      <w:r>
        <w:rPr>
          <w:rFonts w:hint="eastAsia" w:ascii="仿宋" w:hAnsi="仿宋" w:eastAsia="仿宋"/>
          <w:sz w:val="32"/>
          <w:szCs w:val="32"/>
        </w:rPr>
        <w:t>二十大精神、中共党史、新中国史和统一战线历史、人民政协历史，全面增强履职本领，广泛学习专业知识，自觉担负起民主政治参与者、实践者、推动者的历史责任。要持续转变工作作风，树立“逢一必夺、逢旗必扛”的省会意识、争先意识，努力成为推动省会建设和高质量发展的一面旗帜；始终保持务实高效的工作作风，锐意进取、奋勇拼搏，攻坚克难、履职尽责，不断开创政协工作新局面。加紧界别工作站和委员工作室建设，为委员履职提供基础条件。</w:t>
      </w:r>
    </w:p>
    <w:p w14:paraId="166DA573">
      <w:pPr>
        <w:spacing w:line="560" w:lineRule="exact"/>
        <w:ind w:firstLine="640" w:firstLineChars="200"/>
        <w:rPr>
          <w:rFonts w:hint="eastAsia" w:ascii="仿宋" w:hAnsi="仿宋" w:eastAsia="仿宋"/>
          <w:sz w:val="32"/>
          <w:szCs w:val="32"/>
          <w:lang w:eastAsia="zh-CN"/>
        </w:rPr>
      </w:pPr>
      <w:r>
        <w:rPr>
          <w:rFonts w:hint="eastAsia" w:ascii="仿宋" w:hAnsi="仿宋" w:eastAsia="仿宋"/>
          <w:sz w:val="32"/>
          <w:szCs w:val="32"/>
        </w:rPr>
        <w:t>绩效指标：建设、提升界别工作站和委员工作室15个以上。</w:t>
      </w:r>
    </w:p>
    <w:p w14:paraId="1D427D32">
      <w:pPr>
        <w:spacing w:line="560" w:lineRule="exact"/>
        <w:rPr>
          <w:rFonts w:ascii="楷体" w:hAnsi="楷体" w:eastAsia="楷体"/>
          <w:bCs/>
          <w:sz w:val="32"/>
          <w:szCs w:val="32"/>
        </w:rPr>
      </w:pPr>
      <w:r>
        <w:rPr>
          <w:rFonts w:hint="eastAsia" w:ascii="仿宋" w:hAnsi="仿宋" w:eastAsia="仿宋" w:cs="楷体_GB2312"/>
          <w:b/>
          <w:bCs/>
          <w:sz w:val="32"/>
          <w:szCs w:val="32"/>
        </w:rPr>
        <w:t xml:space="preserve">    </w:t>
      </w:r>
      <w:r>
        <w:rPr>
          <w:rFonts w:hint="eastAsia" w:ascii="楷体" w:hAnsi="楷体" w:eastAsia="楷体" w:cs="楷体_GB2312"/>
          <w:bCs/>
          <w:sz w:val="32"/>
          <w:szCs w:val="32"/>
        </w:rPr>
        <w:t>（二）分项绩效目标实现情况及指标分析</w:t>
      </w:r>
    </w:p>
    <w:p w14:paraId="4EE4AE58">
      <w:pPr>
        <w:spacing w:line="560" w:lineRule="exact"/>
        <w:ind w:firstLine="640" w:firstLineChars="200"/>
        <w:rPr>
          <w:rFonts w:hint="eastAsia" w:ascii="仿宋" w:hAnsi="仿宋" w:eastAsia="仿宋"/>
          <w:sz w:val="32"/>
          <w:szCs w:val="32"/>
        </w:rPr>
      </w:pPr>
      <w:r>
        <w:rPr>
          <w:rFonts w:hint="eastAsia" w:ascii="仿宋" w:hAnsi="仿宋" w:eastAsia="仿宋"/>
          <w:sz w:val="32"/>
          <w:szCs w:val="32"/>
          <w:lang w:val="en-US" w:eastAsia="zh-CN"/>
        </w:rPr>
        <w:t>1、</w:t>
      </w:r>
      <w:r>
        <w:rPr>
          <w:rFonts w:hint="eastAsia" w:ascii="仿宋" w:hAnsi="仿宋" w:eastAsia="仿宋"/>
          <w:sz w:val="32"/>
          <w:szCs w:val="32"/>
        </w:rPr>
        <w:t>全会影响与政协职能再凸显</w:t>
      </w:r>
    </w:p>
    <w:p w14:paraId="34C6A6E1">
      <w:pPr>
        <w:spacing w:line="560" w:lineRule="exact"/>
        <w:ind w:firstLine="640" w:firstLineChars="200"/>
        <w:rPr>
          <w:rFonts w:hint="eastAsia" w:ascii="仿宋" w:hAnsi="仿宋" w:eastAsia="仿宋"/>
          <w:sz w:val="32"/>
          <w:szCs w:val="32"/>
          <w:lang w:eastAsia="zh-CN"/>
        </w:rPr>
      </w:pPr>
      <w:r>
        <w:rPr>
          <w:rFonts w:hint="eastAsia" w:ascii="CESI仿宋-GB2312" w:hAnsi="CESI仿宋-GB2312" w:eastAsia="CESI仿宋-GB2312" w:cs="CESI仿宋-GB2312"/>
          <w:i w:val="0"/>
          <w:caps w:val="0"/>
          <w:color w:val="000000"/>
          <w:spacing w:val="0"/>
          <w:kern w:val="0"/>
          <w:sz w:val="32"/>
          <w:szCs w:val="32"/>
          <w:shd w:val="clear" w:color="auto" w:fill="auto"/>
          <w:lang w:val="en-US" w:eastAsia="zh-CN" w:bidi="ar"/>
        </w:rPr>
        <w:t>市政协十四届三次会议应出席委员611名，实际出席委员593名，出席率97%。</w:t>
      </w:r>
      <w:r>
        <w:rPr>
          <w:rFonts w:hint="eastAsia" w:ascii="仿宋" w:hAnsi="仿宋" w:eastAsia="仿宋"/>
          <w:sz w:val="32"/>
          <w:szCs w:val="32"/>
        </w:rPr>
        <w:t>大会发言是政协全会的特有内容、协商议政的重要形式，层次高、影响大，备受领导和社会各界关注。我委在时间紧、任务重的情况下，领办市政协十四届三次全会大会发言工作，我们把完成任务作为市政协党组的信任和鞭策，统一思想、同心协力，组织广大委员围绕市委中心工作和群众关心关切，撰写大会发言，提出务实建议，归纳整理67篇委员发言材料辑印成册，其中12名委员作了大会口头发言，得到市委、市政府主要领导的高度认可，张业主席在全会常委会上对我们工作予以充分肯定“大会发言工作准备时间短、质量高，一年比一年好”</w:t>
      </w:r>
      <w:r>
        <w:rPr>
          <w:rFonts w:hint="eastAsia" w:ascii="仿宋" w:hAnsi="仿宋" w:eastAsia="仿宋"/>
          <w:sz w:val="32"/>
          <w:szCs w:val="32"/>
          <w:lang w:eastAsia="zh-CN"/>
        </w:rPr>
        <w:t>。</w:t>
      </w:r>
    </w:p>
    <w:p w14:paraId="03635E2F">
      <w:pPr>
        <w:spacing w:line="560" w:lineRule="exact"/>
        <w:ind w:firstLine="640" w:firstLineChars="200"/>
        <w:rPr>
          <w:rFonts w:hint="eastAsia" w:ascii="仿宋" w:hAnsi="仿宋" w:eastAsia="仿宋"/>
          <w:sz w:val="32"/>
          <w:szCs w:val="32"/>
        </w:rPr>
      </w:pPr>
      <w:r>
        <w:rPr>
          <w:rFonts w:hint="eastAsia" w:ascii="CESI仿宋-GB2312" w:hAnsi="CESI仿宋-GB2312" w:eastAsia="CESI仿宋-GB2312" w:cs="CESI仿宋-GB2312"/>
          <w:i w:val="0"/>
          <w:caps w:val="0"/>
          <w:color w:val="000000"/>
          <w:spacing w:val="0"/>
          <w:kern w:val="0"/>
          <w:sz w:val="32"/>
          <w:szCs w:val="32"/>
          <w:shd w:val="clear" w:color="auto" w:fill="auto"/>
          <w:lang w:val="en-US" w:eastAsia="zh-CN" w:bidi="ar"/>
        </w:rPr>
        <w:t>市政协十四届三次会议以来的429件立案提案交由8位副主席分包，适时进行督办调度，以高位推动促办理落实。对标全国政协和省政协，将“优秀提案评选办法”修订为“年度好提案评选办法”，从评选条件、评选范围、评选程序、结果运用等方面进行了细化完善，使之更加符合提案工作实际。扎实开展年度提案办理工作集中联查，11月15日，联合市委办、市政府办，通过现场汇报、书面总结、查阅资料等方式，对承办单位年度提案办理情况进行综合评估，促进提案意见建议落地落实</w:t>
      </w:r>
    </w:p>
    <w:p w14:paraId="18B5156B">
      <w:pPr>
        <w:spacing w:line="560" w:lineRule="exact"/>
        <w:ind w:firstLine="640" w:firstLineChars="200"/>
        <w:rPr>
          <w:rFonts w:hint="eastAsia" w:ascii="仿宋" w:hAnsi="仿宋" w:eastAsia="仿宋"/>
          <w:sz w:val="32"/>
          <w:szCs w:val="32"/>
        </w:rPr>
      </w:pPr>
      <w:r>
        <w:rPr>
          <w:rFonts w:hint="eastAsia" w:ascii="仿宋" w:hAnsi="仿宋" w:eastAsia="仿宋"/>
          <w:sz w:val="32"/>
          <w:szCs w:val="32"/>
          <w:lang w:val="en-US" w:eastAsia="zh-CN"/>
        </w:rPr>
        <w:t>2、</w:t>
      </w:r>
      <w:r>
        <w:rPr>
          <w:rFonts w:hint="eastAsia" w:ascii="仿宋" w:hAnsi="仿宋" w:eastAsia="仿宋"/>
          <w:sz w:val="32"/>
          <w:szCs w:val="32"/>
        </w:rPr>
        <w:t>力行为民之举</w:t>
      </w:r>
    </w:p>
    <w:p w14:paraId="7E0F7543">
      <w:pPr>
        <w:spacing w:line="560" w:lineRule="exact"/>
        <w:ind w:firstLine="640" w:firstLineChars="200"/>
        <w:rPr>
          <w:rFonts w:hint="eastAsia" w:ascii="仿宋" w:hAnsi="仿宋" w:eastAsia="仿宋"/>
          <w:sz w:val="32"/>
          <w:szCs w:val="32"/>
        </w:rPr>
      </w:pPr>
      <w:r>
        <w:rPr>
          <w:rFonts w:hint="eastAsia" w:ascii="仿宋" w:hAnsi="仿宋" w:eastAsia="仿宋"/>
          <w:sz w:val="32"/>
          <w:szCs w:val="32"/>
        </w:rPr>
        <w:t>先后组织开展了河北省政协港澳台侨和外事委员会全体委员暨各市政协对口专委会主任会议（4月）、开展政协委员集体视察城市更新项目活动（4月）、组织市政协委员集体观摩数字石家庄建设活动（5月）、围绕口岸经济开展重点调研（9月）、围绕对外经济贸易发展，开展双月座谈协商（10月）等重点工作。推进中,市政协分管主席高度重视,带头亲力亲为;前期调研扎实充分,掌握第一手要情;委员参与度高,议政建议有份量;协商沟通突出主题,直面问题,坦陈己见,协商意见务实管用;视察活动发挥出凝聚力量合力促发展的正向激励作用。</w:t>
      </w:r>
    </w:p>
    <w:p w14:paraId="704A7058">
      <w:pPr>
        <w:spacing w:line="560" w:lineRule="exact"/>
        <w:ind w:firstLine="640" w:firstLineChars="200"/>
        <w:rPr>
          <w:rFonts w:hint="eastAsia" w:ascii="仿宋" w:hAnsi="仿宋" w:eastAsia="仿宋"/>
          <w:sz w:val="32"/>
          <w:szCs w:val="32"/>
          <w:lang w:val="en-US" w:eastAsia="zh-CN"/>
        </w:rPr>
      </w:pPr>
      <w:r>
        <w:rPr>
          <w:rFonts w:hint="eastAsia" w:ascii="仿宋" w:hAnsi="仿宋" w:eastAsia="仿宋"/>
          <w:sz w:val="32"/>
          <w:szCs w:val="32"/>
        </w:rPr>
        <w:t>按照政协党组重点工作安排，自3月以来先后到高新区、经开区、正定县、高邑县、鹿泉区、栾城区等县（市、区）20余家企业进行调研，围绕园区发展推动产业提升、现代食品中小微企业发展、推进县域经济高质量发展促进经济总量过万亿开展重点调研已形成专题报告。以“聚焦中心、搭建平台、助力我市经济总量过万亿”为题，在省政协《乡音》杂志第九期进行报道</w:t>
      </w:r>
      <w:r>
        <w:rPr>
          <w:rFonts w:hint="eastAsia" w:ascii="仿宋" w:hAnsi="仿宋" w:eastAsia="仿宋"/>
          <w:sz w:val="32"/>
          <w:szCs w:val="32"/>
          <w:lang w:eastAsia="zh-CN"/>
        </w:rPr>
        <w:t>。</w:t>
      </w:r>
    </w:p>
    <w:p w14:paraId="0C7954F4">
      <w:pPr>
        <w:spacing w:line="560" w:lineRule="exact"/>
        <w:ind w:firstLine="640" w:firstLineChars="200"/>
        <w:rPr>
          <w:rFonts w:hint="eastAsia" w:ascii="仿宋" w:hAnsi="仿宋" w:eastAsia="仿宋"/>
          <w:sz w:val="32"/>
          <w:szCs w:val="32"/>
          <w:highlight w:val="none"/>
        </w:rPr>
      </w:pPr>
      <w:r>
        <w:rPr>
          <w:rFonts w:hint="eastAsia" w:ascii="仿宋" w:hAnsi="仿宋" w:eastAsia="仿宋"/>
          <w:sz w:val="32"/>
          <w:szCs w:val="32"/>
          <w:highlight w:val="none"/>
        </w:rPr>
        <w:t>组织65名住石省政协委员全会前封闭管理3天，进行3次核酸检测，保障委员准时参会。组织委员参加集体视察，参加委员培训班，担任监督员。</w:t>
      </w:r>
    </w:p>
    <w:p w14:paraId="07648E46">
      <w:pPr>
        <w:spacing w:line="560" w:lineRule="exact"/>
        <w:ind w:firstLine="640" w:firstLineChars="200"/>
        <w:rPr>
          <w:rFonts w:hint="eastAsia" w:ascii="仿宋" w:hAnsi="仿宋" w:eastAsia="仿宋"/>
          <w:sz w:val="32"/>
          <w:szCs w:val="32"/>
        </w:rPr>
      </w:pPr>
      <w:r>
        <w:rPr>
          <w:rFonts w:hint="eastAsia" w:ascii="仿宋" w:hAnsi="仿宋" w:eastAsia="仿宋"/>
          <w:sz w:val="32"/>
          <w:szCs w:val="32"/>
        </w:rPr>
        <w:t>编印《石家庄政协》《社情民意》等内部刊物9000册。</w:t>
      </w:r>
    </w:p>
    <w:p w14:paraId="730CB440">
      <w:pPr>
        <w:spacing w:line="560" w:lineRule="exact"/>
        <w:ind w:firstLine="640" w:firstLineChars="200"/>
        <w:rPr>
          <w:rFonts w:hint="eastAsia" w:ascii="仿宋" w:hAnsi="仿宋" w:eastAsia="仿宋"/>
          <w:sz w:val="32"/>
          <w:szCs w:val="32"/>
        </w:rPr>
      </w:pPr>
      <w:r>
        <w:rPr>
          <w:rFonts w:hint="eastAsia" w:ascii="仿宋" w:hAnsi="仿宋" w:eastAsia="仿宋"/>
          <w:sz w:val="32"/>
          <w:szCs w:val="32"/>
        </w:rPr>
        <w:t>组织部分委员到以岭药业、河北陆港等企业实地调研，持续关注全会和常委会专题协商议政成果的落实转化情况。及时跟踪企业发展情况，真正为企业办实事。对分包的74件提案全部进行了督办，全部办结。</w:t>
      </w:r>
    </w:p>
    <w:p w14:paraId="160FE49F">
      <w:pPr>
        <w:spacing w:line="560" w:lineRule="exact"/>
        <w:ind w:firstLine="640" w:firstLineChars="200"/>
        <w:rPr>
          <w:rFonts w:hint="eastAsia" w:ascii="仿宋" w:hAnsi="仿宋" w:eastAsia="仿宋"/>
          <w:sz w:val="32"/>
          <w:szCs w:val="32"/>
        </w:rPr>
      </w:pPr>
      <w:r>
        <w:rPr>
          <w:rFonts w:hint="eastAsia" w:ascii="仿宋" w:hAnsi="仿宋" w:eastAsia="仿宋"/>
          <w:sz w:val="32"/>
          <w:szCs w:val="32"/>
          <w:lang w:val="en-US" w:eastAsia="zh-CN"/>
        </w:rPr>
        <w:t>3、</w:t>
      </w:r>
      <w:r>
        <w:rPr>
          <w:rFonts w:hint="eastAsia" w:ascii="仿宋" w:hAnsi="仿宋" w:eastAsia="仿宋"/>
          <w:sz w:val="32"/>
          <w:szCs w:val="32"/>
        </w:rPr>
        <w:t>提高委员履职能力</w:t>
      </w:r>
    </w:p>
    <w:p w14:paraId="2454DB5E">
      <w:pPr>
        <w:spacing w:line="560" w:lineRule="exact"/>
        <w:ind w:firstLine="640" w:firstLineChars="200"/>
        <w:rPr>
          <w:rFonts w:hint="eastAsia" w:ascii="CESI仿宋-GB2312" w:hAnsi="CESI仿宋-GB2312" w:eastAsia="CESI仿宋-GB2312" w:cs="CESI仿宋-GB2312"/>
          <w:i w:val="0"/>
          <w:caps w:val="0"/>
          <w:color w:val="000000"/>
          <w:spacing w:val="0"/>
          <w:sz w:val="32"/>
          <w:szCs w:val="32"/>
          <w:shd w:val="clear" w:color="auto" w:fill="auto"/>
          <w:lang w:val="en-US" w:eastAsia="zh-CN"/>
        </w:rPr>
      </w:pPr>
      <w:r>
        <w:rPr>
          <w:rFonts w:hint="eastAsia" w:ascii="CESI仿宋-GB2312" w:hAnsi="CESI仿宋-GB2312" w:eastAsia="CESI仿宋-GB2312" w:cs="CESI仿宋-GB2312"/>
          <w:i w:val="0"/>
          <w:caps w:val="0"/>
          <w:color w:val="000000"/>
          <w:spacing w:val="0"/>
          <w:sz w:val="32"/>
          <w:szCs w:val="32"/>
          <w:shd w:val="clear" w:color="auto" w:fill="auto"/>
          <w:lang w:val="en-US" w:eastAsia="zh-CN"/>
        </w:rPr>
        <w:t>市政协召开学习贯彻习近平新时代中国特色社会主义思想主题教育动员会。会议深入学习贯彻习近平总书记重要讲话精神和党中央、省委、市委有关决策部署，认真落实石家庄市主题教育动员部署会议精</w:t>
      </w:r>
      <w:bookmarkStart w:id="0" w:name="_GoBack"/>
      <w:r>
        <w:rPr>
          <w:rFonts w:hint="eastAsia" w:ascii="CESI仿宋-GB2312" w:hAnsi="CESI仿宋-GB2312" w:eastAsia="CESI仿宋-GB2312" w:cs="CESI仿宋-GB2312"/>
          <w:i w:val="0"/>
          <w:caps w:val="0"/>
          <w:color w:val="000000"/>
          <w:spacing w:val="0"/>
          <w:sz w:val="32"/>
          <w:szCs w:val="32"/>
          <w:shd w:val="clear" w:color="auto" w:fill="auto"/>
          <w:lang w:val="en-US" w:eastAsia="zh-CN"/>
        </w:rPr>
        <w:t>神，对市政协开展主题教育进行安排部署。</w:t>
      </w:r>
    </w:p>
    <w:p w14:paraId="1ADD6C28">
      <w:pPr>
        <w:spacing w:line="560" w:lineRule="exact"/>
        <w:ind w:firstLine="640" w:firstLineChars="200"/>
        <w:rPr>
          <w:rFonts w:hint="eastAsia" w:ascii="仿宋" w:hAnsi="仿宋" w:eastAsia="仿宋"/>
          <w:sz w:val="32"/>
          <w:szCs w:val="32"/>
          <w:lang w:eastAsia="zh-CN"/>
        </w:rPr>
      </w:pPr>
      <w:r>
        <w:rPr>
          <w:rFonts w:hint="eastAsia" w:ascii="仿宋" w:hAnsi="仿宋" w:eastAsia="仿宋"/>
          <w:sz w:val="32"/>
          <w:szCs w:val="32"/>
        </w:rPr>
        <w:t>结合主题教育活动，财经委积极落实机关各项安排部署，持续深化理论武装，统筹推进理论学习、调查研究和问题整改，努力在学深悟透上下功夫，真正把马克思主义看家本领学到手，不断提高履职尽责的能力和水平。踊跃参加机关主题教育读书班，通过集中学习、交流研讨等形式，严格落实主题教育要求，结合党支部理论学习计划，坚持逐字逐句研读党的二十大报告、党</w:t>
      </w:r>
      <w:bookmarkEnd w:id="0"/>
      <w:r>
        <w:rPr>
          <w:rFonts w:hint="eastAsia" w:ascii="仿宋" w:hAnsi="仿宋" w:eastAsia="仿宋"/>
          <w:sz w:val="32"/>
          <w:szCs w:val="32"/>
        </w:rPr>
        <w:t>章、《习近平著作选读》第一</w:t>
      </w:r>
      <w:r>
        <w:rPr>
          <w:rFonts w:hint="eastAsia" w:ascii="仿宋" w:hAnsi="仿宋" w:eastAsia="仿宋"/>
          <w:sz w:val="32"/>
          <w:szCs w:val="32"/>
          <w:lang w:eastAsia="zh-CN"/>
        </w:rPr>
        <w:t>卷</w:t>
      </w:r>
      <w:r>
        <w:rPr>
          <w:rFonts w:hint="eastAsia" w:ascii="仿宋" w:hAnsi="仿宋" w:eastAsia="仿宋"/>
          <w:sz w:val="32"/>
          <w:szCs w:val="32"/>
        </w:rPr>
        <w:t>、</w:t>
      </w:r>
      <w:r>
        <w:rPr>
          <w:rFonts w:hint="eastAsia" w:ascii="仿宋" w:hAnsi="仿宋" w:eastAsia="仿宋"/>
          <w:sz w:val="32"/>
          <w:szCs w:val="32"/>
          <w:lang w:eastAsia="zh-CN"/>
        </w:rPr>
        <w:t>第</w:t>
      </w:r>
      <w:r>
        <w:rPr>
          <w:rFonts w:hint="eastAsia" w:ascii="仿宋" w:hAnsi="仿宋" w:eastAsia="仿宋"/>
          <w:sz w:val="32"/>
          <w:szCs w:val="32"/>
        </w:rPr>
        <w:t>二卷等必读书目，人人撰写学习体会。紧密联系委员会当前重点工作，在学习的基础上，梳理整理习近平总书记关于经济高质量发展的重要论述，用以指导工作、推进落实，确保专委会工作始终坚定正确政治方向、紧扣政治大局、落实政治要求</w:t>
      </w:r>
      <w:r>
        <w:rPr>
          <w:rFonts w:hint="eastAsia" w:ascii="仿宋" w:hAnsi="仿宋" w:eastAsia="仿宋"/>
          <w:sz w:val="32"/>
          <w:szCs w:val="32"/>
          <w:lang w:eastAsia="zh-CN"/>
        </w:rPr>
        <w:t>。</w:t>
      </w:r>
    </w:p>
    <w:p w14:paraId="3A27405B">
      <w:pPr>
        <w:spacing w:line="560" w:lineRule="exact"/>
        <w:ind w:firstLine="640" w:firstLineChars="200"/>
        <w:rPr>
          <w:rFonts w:hint="eastAsia" w:ascii="仿宋" w:hAnsi="仿宋" w:eastAsia="仿宋"/>
          <w:sz w:val="32"/>
          <w:szCs w:val="32"/>
          <w:lang w:eastAsia="zh-CN"/>
        </w:rPr>
      </w:pPr>
      <w:r>
        <w:rPr>
          <w:rFonts w:hint="eastAsia" w:ascii="仿宋" w:hAnsi="仿宋" w:eastAsia="仿宋"/>
          <w:sz w:val="32"/>
          <w:szCs w:val="32"/>
        </w:rPr>
        <w:t>经济界委员共有65名，新增了1个委员工作站，截止目前在公众号展示了22名委员风采。征集社情民意4篇。一是先后两次组织58名（财经委23名）委员参加习近平新时代中国特色社会主义思想第一学习小组学习座谈会，10名委员作交流发言，通过学习筑牢了团结奋斗的思想政治基础</w:t>
      </w:r>
      <w:r>
        <w:rPr>
          <w:rFonts w:hint="eastAsia" w:ascii="仿宋" w:hAnsi="仿宋" w:eastAsia="仿宋"/>
          <w:sz w:val="32"/>
          <w:szCs w:val="32"/>
          <w:lang w:eastAsia="zh-CN"/>
        </w:rPr>
        <w:t>。</w:t>
      </w:r>
    </w:p>
    <w:p w14:paraId="75635390">
      <w:pPr>
        <w:spacing w:line="560" w:lineRule="exact"/>
        <w:ind w:firstLine="640" w:firstLineChars="200"/>
        <w:rPr>
          <w:rFonts w:hint="eastAsia" w:ascii="仿宋" w:hAnsi="仿宋" w:eastAsia="仿宋"/>
          <w:sz w:val="32"/>
          <w:szCs w:val="32"/>
          <w:lang w:eastAsia="zh-CN"/>
        </w:rPr>
      </w:pPr>
      <w:r>
        <w:rPr>
          <w:rFonts w:hint="eastAsia" w:ascii="仿宋" w:hAnsi="仿宋" w:eastAsia="仿宋"/>
          <w:sz w:val="32"/>
          <w:szCs w:val="32"/>
        </w:rPr>
        <w:t>市政协组织宣讲团成员到润石珠宝委员工作站开展了《妇女权益保障法》《石家庄市优化营商环境条例》《行政法》等主题宣讲活动6次，各县（市、区）政协分别围绕《宪法》《民法典》《退役军人保障法》等主题开展法律宣讲活动120余场，参加群众15000余人次，受到基层群众和社会各界的欢迎。向省政协报送宣讲推进表7次，提交律师征文7篇，其中获得二等奖、三等奖各一篇，省政协委员法律宣讲团《宣讲动态》第4期刊发了石家庄经验做法《健全机制 突出特色 开展政协委员法律宣讲活动》，动态第七期刊发了长安区经验做法《石家庄市长安区政协“三个结合”搞宣讲》</w:t>
      </w:r>
      <w:r>
        <w:rPr>
          <w:rFonts w:hint="eastAsia" w:ascii="仿宋" w:hAnsi="仿宋" w:eastAsia="仿宋"/>
          <w:sz w:val="32"/>
          <w:szCs w:val="32"/>
          <w:lang w:eastAsia="zh-CN"/>
        </w:rPr>
        <w:t>。</w:t>
      </w:r>
    </w:p>
    <w:p w14:paraId="6502ACC0">
      <w:pPr>
        <w:spacing w:line="560" w:lineRule="exact"/>
        <w:ind w:firstLine="640" w:firstLineChars="200"/>
        <w:rPr>
          <w:rFonts w:ascii="黑体" w:hAnsi="黑体" w:eastAsia="黑体"/>
          <w:sz w:val="32"/>
          <w:szCs w:val="32"/>
        </w:rPr>
      </w:pPr>
      <w:r>
        <w:rPr>
          <w:rFonts w:hint="eastAsia" w:ascii="黑体" w:hAnsi="黑体" w:eastAsia="黑体"/>
          <w:sz w:val="32"/>
          <w:szCs w:val="32"/>
        </w:rPr>
        <w:t>四、评价结论和评价等级</w:t>
      </w:r>
    </w:p>
    <w:p w14:paraId="23F6D3D6">
      <w:pPr>
        <w:spacing w:line="560" w:lineRule="exact"/>
        <w:ind w:firstLine="640" w:firstLineChars="200"/>
        <w:rPr>
          <w:rFonts w:hint="eastAsia" w:ascii="仿宋" w:hAnsi="仿宋" w:eastAsia="仿宋"/>
          <w:sz w:val="32"/>
          <w:szCs w:val="32"/>
          <w:highlight w:val="none"/>
        </w:rPr>
      </w:pPr>
      <w:r>
        <w:rPr>
          <w:rFonts w:hint="eastAsia" w:ascii="仿宋" w:hAnsi="仿宋" w:eastAsia="仿宋"/>
          <w:sz w:val="32"/>
          <w:szCs w:val="32"/>
          <w:highlight w:val="none"/>
        </w:rPr>
        <w:t>参与本次评价的项目共计</w:t>
      </w:r>
      <w:r>
        <w:rPr>
          <w:rFonts w:hint="eastAsia" w:ascii="仿宋" w:hAnsi="仿宋" w:eastAsia="仿宋"/>
          <w:sz w:val="32"/>
          <w:szCs w:val="32"/>
          <w:highlight w:val="none"/>
          <w:lang w:val="en-US" w:eastAsia="zh-CN"/>
        </w:rPr>
        <w:t>25</w:t>
      </w:r>
      <w:r>
        <w:rPr>
          <w:rFonts w:hint="eastAsia" w:ascii="仿宋" w:hAnsi="仿宋" w:eastAsia="仿宋"/>
          <w:sz w:val="32"/>
          <w:szCs w:val="32"/>
          <w:highlight w:val="none"/>
        </w:rPr>
        <w:t>个，</w:t>
      </w:r>
      <w:r>
        <w:rPr>
          <w:rFonts w:hint="eastAsia" w:ascii="仿宋" w:hAnsi="仿宋" w:eastAsia="仿宋"/>
          <w:sz w:val="32"/>
          <w:szCs w:val="32"/>
          <w:highlight w:val="none"/>
          <w:lang w:val="en-US" w:eastAsia="zh-CN"/>
        </w:rPr>
        <w:t>25</w:t>
      </w:r>
      <w:r>
        <w:rPr>
          <w:rFonts w:hint="eastAsia" w:ascii="仿宋" w:hAnsi="仿宋" w:eastAsia="仿宋"/>
          <w:sz w:val="32"/>
          <w:szCs w:val="32"/>
          <w:highlight w:val="none"/>
        </w:rPr>
        <w:t>个项目评价等级均为“优秀”</w:t>
      </w:r>
      <w:r>
        <w:rPr>
          <w:rFonts w:hint="eastAsia" w:ascii="仿宋" w:hAnsi="仿宋" w:eastAsia="仿宋"/>
          <w:sz w:val="32"/>
          <w:szCs w:val="32"/>
          <w:highlight w:val="none"/>
          <w:lang w:eastAsia="zh-CN"/>
        </w:rPr>
        <w:t>，</w:t>
      </w:r>
      <w:r>
        <w:rPr>
          <w:rFonts w:hint="eastAsia" w:ascii="仿宋" w:hAnsi="仿宋" w:eastAsia="仿宋"/>
          <w:sz w:val="32"/>
          <w:szCs w:val="32"/>
          <w:highlight w:val="none"/>
          <w:lang w:val="en-US" w:eastAsia="zh-CN"/>
        </w:rPr>
        <w:t>总体评价为“优秀”</w:t>
      </w:r>
      <w:r>
        <w:rPr>
          <w:rFonts w:hint="eastAsia" w:ascii="仿宋" w:hAnsi="仿宋" w:eastAsia="仿宋"/>
          <w:sz w:val="32"/>
          <w:szCs w:val="32"/>
          <w:highlight w:val="none"/>
        </w:rPr>
        <w:t>。</w:t>
      </w:r>
    </w:p>
    <w:p w14:paraId="5135D421">
      <w:pPr>
        <w:spacing w:line="560" w:lineRule="exact"/>
        <w:ind w:firstLine="640" w:firstLineChars="200"/>
        <w:rPr>
          <w:rFonts w:ascii="黑体" w:hAnsi="黑体" w:eastAsia="黑体"/>
          <w:sz w:val="32"/>
          <w:szCs w:val="32"/>
        </w:rPr>
      </w:pPr>
      <w:r>
        <w:rPr>
          <w:rFonts w:hint="eastAsia" w:ascii="黑体" w:hAnsi="黑体" w:eastAsia="黑体"/>
          <w:sz w:val="32"/>
          <w:szCs w:val="32"/>
        </w:rPr>
        <w:t>五、存在的问题及改进措施</w:t>
      </w:r>
    </w:p>
    <w:p w14:paraId="4A7457BD">
      <w:pPr>
        <w:spacing w:line="560" w:lineRule="exact"/>
        <w:ind w:firstLine="640" w:firstLineChars="200"/>
        <w:rPr>
          <w:rFonts w:hint="eastAsia" w:ascii="楷体" w:hAnsi="楷体" w:eastAsia="楷体"/>
          <w:bCs/>
          <w:sz w:val="32"/>
          <w:szCs w:val="32"/>
        </w:rPr>
      </w:pPr>
      <w:r>
        <w:rPr>
          <w:rFonts w:hint="eastAsia" w:ascii="楷体" w:hAnsi="楷体" w:eastAsia="楷体"/>
          <w:bCs/>
          <w:sz w:val="32"/>
          <w:szCs w:val="32"/>
        </w:rPr>
        <w:t>（一）存在的主要问题</w:t>
      </w:r>
    </w:p>
    <w:p w14:paraId="0BB35543">
      <w:pPr>
        <w:spacing w:line="560" w:lineRule="exact"/>
        <w:ind w:firstLine="640" w:firstLineChars="200"/>
        <w:rPr>
          <w:rFonts w:hint="eastAsia" w:ascii="仿宋" w:hAnsi="仿宋" w:eastAsia="仿宋"/>
          <w:sz w:val="32"/>
          <w:szCs w:val="32"/>
          <w:lang w:val="en-US" w:eastAsia="zh-CN"/>
        </w:rPr>
      </w:pPr>
      <w:r>
        <w:rPr>
          <w:rFonts w:hint="eastAsia" w:ascii="仿宋" w:hAnsi="仿宋" w:eastAsia="仿宋"/>
          <w:sz w:val="32"/>
          <w:szCs w:val="32"/>
          <w:lang w:val="en-US" w:eastAsia="zh-CN"/>
        </w:rPr>
        <w:t>综合25个项目评价情况，主要存在预算不准确，实际支出与预算差异较大的情况。</w:t>
      </w:r>
    </w:p>
    <w:p w14:paraId="3C995A46">
      <w:pPr>
        <w:spacing w:line="560" w:lineRule="exact"/>
        <w:ind w:firstLine="640" w:firstLineChars="200"/>
        <w:rPr>
          <w:rFonts w:ascii="楷体" w:hAnsi="楷体" w:eastAsia="楷体"/>
          <w:bCs/>
          <w:sz w:val="32"/>
          <w:szCs w:val="32"/>
        </w:rPr>
      </w:pPr>
      <w:r>
        <w:rPr>
          <w:rFonts w:hint="eastAsia" w:ascii="楷体" w:hAnsi="楷体" w:eastAsia="楷体"/>
          <w:bCs/>
          <w:sz w:val="32"/>
          <w:szCs w:val="32"/>
        </w:rPr>
        <w:t>（二）针对问题提出具体的改进措施或建议</w:t>
      </w:r>
    </w:p>
    <w:p w14:paraId="014D6C8D">
      <w:pPr>
        <w:spacing w:line="560" w:lineRule="exact"/>
        <w:ind w:firstLine="640" w:firstLineChars="200"/>
        <w:rPr>
          <w:rFonts w:hint="eastAsia" w:ascii="仿宋" w:hAnsi="仿宋" w:eastAsia="仿宋"/>
          <w:sz w:val="32"/>
          <w:szCs w:val="32"/>
        </w:rPr>
      </w:pPr>
      <w:r>
        <w:rPr>
          <w:rFonts w:hint="eastAsia" w:ascii="仿宋" w:hAnsi="仿宋" w:eastAsia="仿宋"/>
          <w:sz w:val="32"/>
          <w:szCs w:val="32"/>
        </w:rPr>
        <w:t>加强预算管理</w:t>
      </w:r>
      <w:r>
        <w:rPr>
          <w:rFonts w:hint="eastAsia" w:ascii="仿宋" w:hAnsi="仿宋" w:eastAsia="仿宋"/>
          <w:sz w:val="32"/>
          <w:szCs w:val="32"/>
          <w:lang w:eastAsia="zh-CN"/>
        </w:rPr>
        <w:t>，</w:t>
      </w:r>
      <w:r>
        <w:rPr>
          <w:rFonts w:hint="eastAsia" w:ascii="仿宋" w:hAnsi="仿宋" w:eastAsia="仿宋"/>
          <w:sz w:val="32"/>
          <w:szCs w:val="32"/>
        </w:rPr>
        <w:t>要进一步加强事前、事中及事后预算的管理，充分评估工作安排的合理性，必要性，加大对预算编制与执行的监督管理力度，提高预算资金使用效率。项目年初预算编制前，要做好前期调研，设立绩效目标要充分考虑外界因素的影响；项目实施期间，要加强实时监控，及时纠正偏差，督促项目开展并要及时与相关部门沟通，减少资金闲置；项目实施后要总结历史经验，堵塞管理漏洞。</w:t>
      </w:r>
    </w:p>
    <w:p w14:paraId="11FEB14C">
      <w:pPr>
        <w:adjustRightInd w:val="0"/>
        <w:snapToGrid w:val="0"/>
        <w:spacing w:line="560" w:lineRule="exact"/>
        <w:ind w:firstLine="640" w:firstLineChars="200"/>
        <w:rPr>
          <w:rFonts w:ascii="黑体" w:hAnsi="黑体" w:eastAsia="黑体"/>
          <w:sz w:val="32"/>
          <w:szCs w:val="32"/>
          <w:highlight w:val="none"/>
        </w:rPr>
      </w:pPr>
      <w:r>
        <w:rPr>
          <w:rFonts w:hint="eastAsia" w:ascii="黑体" w:hAnsi="黑体" w:eastAsia="黑体"/>
          <w:sz w:val="32"/>
          <w:szCs w:val="32"/>
          <w:highlight w:val="none"/>
        </w:rPr>
        <w:t>六、评价工作组人员名单</w:t>
      </w:r>
    </w:p>
    <w:p w14:paraId="5C8673A9">
      <w:pPr>
        <w:spacing w:line="600" w:lineRule="exact"/>
        <w:ind w:firstLine="630" w:firstLineChars="300"/>
        <w:rPr>
          <w:rFonts w:ascii="仿宋" w:hAnsi="仿宋" w:eastAsia="仿宋"/>
          <w:sz w:val="32"/>
          <w:szCs w:val="32"/>
        </w:rPr>
      </w:pPr>
      <w:r>
        <w:rPr>
          <w:rFonts w:hint="eastAsia" w:ascii="仿宋" w:hAnsi="仿宋" w:eastAsia="仿宋"/>
          <w:lang w:val="en-US" w:eastAsia="zh-CN"/>
        </w:rPr>
        <w:t xml:space="preserve"> </w:t>
      </w:r>
      <w:r>
        <w:rPr>
          <w:rFonts w:hint="eastAsia" w:ascii="仿宋" w:hAnsi="仿宋" w:eastAsia="仿宋"/>
          <w:sz w:val="32"/>
          <w:szCs w:val="32"/>
        </w:rPr>
        <w:t xml:space="preserve">组  长 </w:t>
      </w:r>
      <w:r>
        <w:rPr>
          <w:rFonts w:hint="eastAsia" w:ascii="仿宋" w:hAnsi="仿宋" w:eastAsia="仿宋"/>
          <w:sz w:val="32"/>
          <w:szCs w:val="32"/>
          <w:lang w:eastAsia="zh-CN"/>
        </w:rPr>
        <w:t>严晓光</w:t>
      </w:r>
      <w:r>
        <w:rPr>
          <w:rFonts w:hint="eastAsia" w:ascii="仿宋" w:hAnsi="仿宋" w:eastAsia="仿宋"/>
          <w:sz w:val="32"/>
          <w:szCs w:val="32"/>
        </w:rPr>
        <w:t xml:space="preserve"> </w:t>
      </w:r>
    </w:p>
    <w:p w14:paraId="1C94AB46">
      <w:pPr>
        <w:spacing w:line="600" w:lineRule="exact"/>
        <w:ind w:firstLine="640" w:firstLineChars="200"/>
        <w:rPr>
          <w:rFonts w:ascii="仿宋" w:hAnsi="仿宋" w:eastAsia="仿宋"/>
          <w:sz w:val="32"/>
          <w:szCs w:val="32"/>
        </w:rPr>
      </w:pPr>
      <w:r>
        <w:rPr>
          <w:rFonts w:hint="eastAsia" w:ascii="仿宋" w:hAnsi="仿宋" w:eastAsia="仿宋"/>
          <w:sz w:val="32"/>
          <w:szCs w:val="32"/>
        </w:rPr>
        <w:t xml:space="preserve">成  员 李振杰 </w:t>
      </w:r>
      <w:r>
        <w:rPr>
          <w:rFonts w:hint="eastAsia" w:ascii="仿宋" w:hAnsi="仿宋" w:eastAsia="仿宋"/>
          <w:sz w:val="32"/>
          <w:szCs w:val="32"/>
          <w:lang w:eastAsia="zh-CN"/>
        </w:rPr>
        <w:t>张守庆</w:t>
      </w:r>
      <w:r>
        <w:rPr>
          <w:rFonts w:hint="eastAsia" w:ascii="仿宋" w:hAnsi="仿宋" w:eastAsia="仿宋"/>
          <w:sz w:val="32"/>
          <w:szCs w:val="32"/>
        </w:rPr>
        <w:t xml:space="preserve"> 周书献 张丽红 </w:t>
      </w:r>
      <w:r>
        <w:rPr>
          <w:rFonts w:hint="eastAsia" w:ascii="仿宋" w:hAnsi="仿宋" w:eastAsia="仿宋"/>
          <w:sz w:val="32"/>
          <w:szCs w:val="32"/>
          <w:lang w:eastAsia="zh-CN"/>
        </w:rPr>
        <w:t>孙吉忠</w:t>
      </w:r>
      <w:r>
        <w:rPr>
          <w:rFonts w:hint="eastAsia" w:ascii="仿宋" w:hAnsi="仿宋" w:eastAsia="仿宋"/>
          <w:sz w:val="32"/>
          <w:szCs w:val="32"/>
        </w:rPr>
        <w:t xml:space="preserve"> 王燕华  焦永良  谷巧芬  </w:t>
      </w:r>
      <w:r>
        <w:rPr>
          <w:rFonts w:hint="eastAsia" w:ascii="仿宋" w:hAnsi="仿宋" w:eastAsia="仿宋"/>
          <w:sz w:val="32"/>
          <w:szCs w:val="32"/>
          <w:lang w:eastAsia="zh-CN"/>
        </w:rPr>
        <w:t>靳风献</w:t>
      </w:r>
      <w:r>
        <w:rPr>
          <w:rFonts w:hint="eastAsia" w:ascii="仿宋" w:hAnsi="仿宋" w:eastAsia="仿宋"/>
          <w:sz w:val="32"/>
          <w:szCs w:val="32"/>
        </w:rPr>
        <w:t xml:space="preserve">  张  烨  </w:t>
      </w:r>
    </w:p>
    <w:p w14:paraId="13491646">
      <w:pPr>
        <w:spacing w:line="560" w:lineRule="exact"/>
        <w:rPr>
          <w:rFonts w:hint="eastAsia" w:ascii="仿宋" w:hAnsi="仿宋" w:eastAsia="仿宋"/>
          <w:lang w:val="en-US" w:eastAsia="zh-CN"/>
        </w:rPr>
      </w:pPr>
      <w:r>
        <w:rPr>
          <w:rFonts w:hint="eastAsia" w:ascii="仿宋" w:hAnsi="仿宋" w:eastAsia="仿宋"/>
          <w:lang w:val="en-US" w:eastAsia="zh-CN"/>
        </w:rPr>
        <w:t xml:space="preserve">  </w:t>
      </w:r>
    </w:p>
    <w:p w14:paraId="1A93D1DB">
      <w:pPr>
        <w:spacing w:line="560" w:lineRule="exact"/>
        <w:rPr>
          <w:rFonts w:hint="eastAsia" w:ascii="仿宋" w:hAnsi="仿宋" w:eastAsia="仿宋"/>
          <w:lang w:val="en-US" w:eastAsia="zh-CN"/>
        </w:rPr>
      </w:pPr>
    </w:p>
    <w:p w14:paraId="0AC615F4">
      <w:pPr>
        <w:ind w:firstLine="640"/>
        <w:jc w:val="right"/>
        <w:rPr>
          <w:rFonts w:ascii="仿宋" w:hAnsi="仿宋" w:eastAsia="仿宋" w:cs="Times New Roman"/>
          <w:sz w:val="32"/>
          <w:szCs w:val="24"/>
        </w:rPr>
      </w:pPr>
      <w:r>
        <w:rPr>
          <w:rFonts w:hint="eastAsia" w:ascii="仿宋" w:hAnsi="仿宋" w:eastAsia="仿宋" w:cs="Times New Roman"/>
          <w:sz w:val="32"/>
          <w:szCs w:val="24"/>
        </w:rPr>
        <w:t>政协石家庄市委员会办公室</w:t>
      </w:r>
    </w:p>
    <w:p w14:paraId="291E5F59">
      <w:pPr>
        <w:ind w:firstLine="6086" w:firstLineChars="1902"/>
        <w:jc w:val="both"/>
        <w:rPr>
          <w:rFonts w:ascii="仿宋" w:hAnsi="仿宋" w:eastAsia="仿宋" w:cs="Times New Roman"/>
          <w:sz w:val="32"/>
          <w:szCs w:val="24"/>
        </w:rPr>
      </w:pPr>
      <w:r>
        <w:rPr>
          <w:rFonts w:hint="eastAsia" w:ascii="仿宋" w:hAnsi="仿宋" w:eastAsia="仿宋" w:cs="Times New Roman"/>
          <w:sz w:val="32"/>
          <w:szCs w:val="24"/>
        </w:rPr>
        <w:t>202</w:t>
      </w:r>
      <w:r>
        <w:rPr>
          <w:rFonts w:hint="eastAsia" w:ascii="仿宋" w:hAnsi="仿宋" w:eastAsia="仿宋" w:cs="Times New Roman"/>
          <w:sz w:val="32"/>
          <w:szCs w:val="24"/>
          <w:lang w:val="en-US" w:eastAsia="zh-CN"/>
        </w:rPr>
        <w:t>4</w:t>
      </w:r>
      <w:r>
        <w:rPr>
          <w:rFonts w:hint="eastAsia" w:ascii="仿宋" w:hAnsi="仿宋" w:eastAsia="仿宋" w:cs="Times New Roman"/>
          <w:sz w:val="32"/>
          <w:szCs w:val="24"/>
        </w:rPr>
        <w:t>年4月1</w:t>
      </w:r>
      <w:r>
        <w:rPr>
          <w:rFonts w:hint="eastAsia" w:ascii="仿宋" w:hAnsi="仿宋" w:eastAsia="仿宋" w:cs="Times New Roman"/>
          <w:sz w:val="32"/>
          <w:szCs w:val="24"/>
          <w:lang w:val="en-US" w:eastAsia="zh-CN"/>
        </w:rPr>
        <w:t>9</w:t>
      </w:r>
      <w:r>
        <w:rPr>
          <w:rFonts w:hint="eastAsia" w:ascii="仿宋" w:hAnsi="仿宋" w:eastAsia="仿宋" w:cs="Times New Roman"/>
          <w:sz w:val="32"/>
          <w:szCs w:val="24"/>
        </w:rPr>
        <w:t>日</w:t>
      </w:r>
    </w:p>
    <w:p w14:paraId="0B896B24">
      <w:pPr>
        <w:adjustRightInd w:val="0"/>
        <w:snapToGrid w:val="0"/>
        <w:spacing w:line="560" w:lineRule="exact"/>
        <w:ind w:firstLine="420" w:firstLineChars="200"/>
        <w:jc w:val="right"/>
        <w:rPr>
          <w:rFonts w:ascii="仿宋" w:hAnsi="仿宋" w:eastAsia="仿宋"/>
        </w:rPr>
      </w:pPr>
    </w:p>
    <w:p w14:paraId="572BFECF">
      <w:pPr>
        <w:spacing w:line="560" w:lineRule="exact"/>
        <w:rPr>
          <w:rFonts w:hint="default" w:ascii="仿宋" w:hAnsi="仿宋" w:eastAsia="仿宋"/>
          <w:lang w:val="en-US" w:eastAsia="zh-CN"/>
        </w:rPr>
      </w:pPr>
    </w:p>
    <w:sectPr>
      <w:footerReference r:id="rId3" w:type="default"/>
      <w:pgSz w:w="11906" w:h="16838"/>
      <w:pgMar w:top="1440" w:right="1474" w:bottom="1440" w:left="1587" w:header="851" w:footer="992" w:gutter="0"/>
      <w:pgNumType w:fmt="numberInDash"/>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Tahoma">
    <w:panose1 w:val="020B0604030504040204"/>
    <w:charset w:val="00"/>
    <w:family w:val="swiss"/>
    <w:pitch w:val="default"/>
    <w:sig w:usb0="E1002EFF" w:usb1="C000605B" w:usb2="00000029" w:usb3="00000000" w:csb0="200101FF" w:csb1="20280000"/>
  </w:font>
  <w:font w:name="仿宋_GB2312">
    <w:panose1 w:val="02010609030101010101"/>
    <w:charset w:val="86"/>
    <w:family w:val="auto"/>
    <w:pitch w:val="default"/>
    <w:sig w:usb0="00000001" w:usb1="080E0000" w:usb2="00000000" w:usb3="00000000" w:csb0="00040000" w:csb1="00000000"/>
  </w:font>
  <w:font w:name="方正仿宋_GBK">
    <w:altName w:val="宋体"/>
    <w:panose1 w:val="00000000000000000000"/>
    <w:charset w:val="86"/>
    <w:family w:val="roman"/>
    <w:pitch w:val="default"/>
    <w:sig w:usb0="00000000" w:usb1="00000000" w:usb2="00000000" w:usb3="00000000" w:csb0="00000000" w:csb1="00000000"/>
  </w:font>
  <w:font w:name="华文楷体">
    <w:altName w:val="楷体_GB2312"/>
    <w:panose1 w:val="02010600040101010101"/>
    <w:charset w:val="86"/>
    <w:family w:val="auto"/>
    <w:pitch w:val="default"/>
    <w:sig w:usb0="00000000" w:usb1="00000000" w:usb2="00000000" w:usb3="00000000" w:csb0="0004009F" w:csb1="DFD70000"/>
  </w:font>
  <w:font w:name="楷体_GB2312">
    <w:panose1 w:val="02010609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 w:name="CESI仿宋-GB2312">
    <w:altName w:val="仿宋"/>
    <w:panose1 w:val="02000500000000000000"/>
    <w:charset w:val="86"/>
    <w:family w:val="auto"/>
    <w:pitch w:val="default"/>
    <w:sig w:usb0="00000000" w:usb1="00000000" w:usb2="00000010"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112BB0">
    <w:pPr>
      <w:pStyle w:val="3"/>
    </w:pPr>
    <w:r>
      <w:pict>
        <v:shape id="Quad Arrow 3073" o:spid="_x0000_s4097" o:spt="202" type="#_x0000_t202" style="position:absolute;left:0pt;margin-top:0pt;height:144pt;width:144pt;mso-position-horizontal:center;mso-position-horizontal-relative:margin;mso-wrap-style:none;z-index:251659264;mso-width-relative:page;mso-height-relative:page;" filled="f" o:preferrelative="t" stroked="f" coordsize="21600,21600">
          <v:path/>
          <v:fill on="f" focussize="0,0"/>
          <v:stroke on="f" joinstyle="miter"/>
          <v:imagedata o:title=""/>
          <o:lock v:ext="edit"/>
          <v:textbox inset="0mm,0mm,0mm,0mm" style="mso-fit-shape-to-text:t;">
            <w:txbxContent>
              <w:p w14:paraId="7D40DB14">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t>- 1 -</w:t>
                </w:r>
                <w:r>
                  <w:rPr>
                    <w:rFonts w:hint="eastAsia"/>
                    <w:sz w:val="18"/>
                  </w:rPr>
                  <w:fldChar w:fldCharType="end"/>
                </w:r>
              </w:p>
            </w:txbxContent>
          </v:textbox>
        </v:shape>
      </w:pic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9B3F128"/>
    <w:multiLevelType w:val="singleLevel"/>
    <w:tmpl w:val="29B3F128"/>
    <w:lvl w:ilvl="0" w:tentative="0">
      <w:start w:val="2"/>
      <w:numFmt w:val="chineseCounting"/>
      <w:suff w:val="nothing"/>
      <w:lvlText w:val="（%1）"/>
      <w:lvlJc w:val="left"/>
      <w:rPr>
        <w:rFonts w:hint="eastAsia"/>
      </w:rPr>
    </w:lvl>
  </w:abstractNum>
  <w:abstractNum w:abstractNumId="1">
    <w:nsid w:val="5E68489B"/>
    <w:multiLevelType w:val="singleLevel"/>
    <w:tmpl w:val="5E68489B"/>
    <w:lvl w:ilvl="0" w:tentative="0">
      <w:start w:val="1"/>
      <w:numFmt w:val="chineseCounting"/>
      <w:suff w:val="nothing"/>
      <w:lvlText w:val="（%1）"/>
      <w:lvlJc w:val="left"/>
      <w:rPr>
        <w:rFonts w:ascii="楷体" w:hAnsi="楷体" w:eastAsia="楷体"/>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9"/>
  <w:bordersDoNotSurroundHeader w:val="1"/>
  <w:bordersDoNotSurroundFooter w:val="1"/>
  <w:doNotTrackMoves/>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commondata" w:val="eyJoZGlkIjoiYmIyMmFhNzM4ODA4NDM1ZGNjYTE5ZGQ1ODgxYTM5ZDYifQ=="/>
  </w:docVars>
  <w:rsids>
    <w:rsidRoot w:val="0EBD2122"/>
    <w:rsid w:val="000B0260"/>
    <w:rsid w:val="007E6C1F"/>
    <w:rsid w:val="00956A93"/>
    <w:rsid w:val="009E575C"/>
    <w:rsid w:val="00AF167E"/>
    <w:rsid w:val="00AF566A"/>
    <w:rsid w:val="00B478EA"/>
    <w:rsid w:val="00B6553A"/>
    <w:rsid w:val="00BC6576"/>
    <w:rsid w:val="00CE06BA"/>
    <w:rsid w:val="00F441CC"/>
    <w:rsid w:val="01B104CA"/>
    <w:rsid w:val="02106AB0"/>
    <w:rsid w:val="02B43A28"/>
    <w:rsid w:val="046F331E"/>
    <w:rsid w:val="05F55380"/>
    <w:rsid w:val="07956271"/>
    <w:rsid w:val="08CE0E3F"/>
    <w:rsid w:val="09721397"/>
    <w:rsid w:val="0BB63BED"/>
    <w:rsid w:val="0EB97A43"/>
    <w:rsid w:val="0EBD2122"/>
    <w:rsid w:val="0F214EAE"/>
    <w:rsid w:val="11B71E6A"/>
    <w:rsid w:val="1AAF0063"/>
    <w:rsid w:val="1BE140DE"/>
    <w:rsid w:val="20A3249B"/>
    <w:rsid w:val="22137CD4"/>
    <w:rsid w:val="248C197D"/>
    <w:rsid w:val="252959AF"/>
    <w:rsid w:val="277A6671"/>
    <w:rsid w:val="292D35B7"/>
    <w:rsid w:val="2DC9097A"/>
    <w:rsid w:val="33EB6CFF"/>
    <w:rsid w:val="351D7C7D"/>
    <w:rsid w:val="35A12947"/>
    <w:rsid w:val="37387040"/>
    <w:rsid w:val="3B625C0A"/>
    <w:rsid w:val="3CEE1963"/>
    <w:rsid w:val="41E579D9"/>
    <w:rsid w:val="436B78D3"/>
    <w:rsid w:val="481C0CDA"/>
    <w:rsid w:val="4C9C27FE"/>
    <w:rsid w:val="512260B4"/>
    <w:rsid w:val="52BD6ACB"/>
    <w:rsid w:val="55537534"/>
    <w:rsid w:val="561A74F1"/>
    <w:rsid w:val="597244E8"/>
    <w:rsid w:val="5EA60102"/>
    <w:rsid w:val="5EB71C30"/>
    <w:rsid w:val="5FF5483B"/>
    <w:rsid w:val="65005C72"/>
    <w:rsid w:val="66AF0CE5"/>
    <w:rsid w:val="6A245B45"/>
    <w:rsid w:val="6AC537CF"/>
    <w:rsid w:val="6E5B14A6"/>
    <w:rsid w:val="711B255E"/>
    <w:rsid w:val="7BB51E06"/>
    <w:rsid w:val="7C387F7C"/>
    <w:rsid w:val="7FE83423"/>
  </w:rsids>
  <m:mathPr>
    <m:mathFont m:val="Cambria Math"/>
    <m:brkBin m:val="before"/>
    <m:brkBinSub m:val="--"/>
    <m:smallFrac m:val="1"/>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qFormat="1"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1"/>
      <w:szCs w:val="22"/>
      <w:lang w:val="en-US" w:eastAsia="zh-CN" w:bidi="ar-SA"/>
    </w:rPr>
  </w:style>
  <w:style w:type="character" w:default="1" w:styleId="7">
    <w:name w:val="Default Paragraph Font"/>
    <w:semiHidden/>
    <w:unhideWhenUsed/>
    <w:qFormat/>
    <w:uiPriority w:val="1"/>
  </w:style>
  <w:style w:type="table" w:default="1" w:styleId="6">
    <w:name w:val="Normal Table"/>
    <w:autoRedefine/>
    <w:semiHidden/>
    <w:unhideWhenUsed/>
    <w:qFormat/>
    <w:uiPriority w:val="99"/>
    <w:tblPr>
      <w:tblCellMar>
        <w:top w:w="0" w:type="dxa"/>
        <w:left w:w="108" w:type="dxa"/>
        <w:bottom w:w="0" w:type="dxa"/>
        <w:right w:w="108" w:type="dxa"/>
      </w:tblCellMar>
    </w:tblPr>
  </w:style>
  <w:style w:type="paragraph" w:styleId="2">
    <w:name w:val="Body Text Indent"/>
    <w:basedOn w:val="1"/>
    <w:unhideWhenUsed/>
    <w:qFormat/>
    <w:uiPriority w:val="0"/>
    <w:pPr>
      <w:spacing w:after="120"/>
      <w:ind w:left="420" w:leftChars="200"/>
    </w:p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rFonts w:ascii="Times New Roman" w:hAnsi="Times New Roman"/>
      <w:sz w:val="18"/>
    </w:rPr>
  </w:style>
  <w:style w:type="paragraph" w:styleId="5">
    <w:name w:val="Body Text First Indent 2"/>
    <w:basedOn w:val="2"/>
    <w:next w:val="1"/>
    <w:qFormat/>
    <w:uiPriority w:val="0"/>
    <w:pPr>
      <w:widowControl/>
      <w:adjustRightInd w:val="0"/>
      <w:snapToGrid w:val="0"/>
      <w:spacing w:after="200"/>
      <w:ind w:left="0" w:leftChars="0" w:firstLine="420" w:firstLineChars="200"/>
      <w:jc w:val="left"/>
    </w:pPr>
    <w:rPr>
      <w:rFonts w:ascii="Tahoma" w:hAnsi="Tahoma" w:eastAsia="仿宋_GB2312" w:cs="Times New Roman"/>
      <w:kern w:val="0"/>
      <w:sz w:val="28"/>
    </w:rPr>
  </w:style>
  <w:style w:type="paragraph" w:customStyle="1" w:styleId="8">
    <w:name w:val="插入文本样式-插入总体目标文件"/>
    <w:basedOn w:val="1"/>
    <w:qFormat/>
    <w:uiPriority w:val="0"/>
    <w:pPr>
      <w:spacing w:line="500" w:lineRule="exact"/>
      <w:ind w:firstLine="560"/>
    </w:pPr>
    <w:rPr>
      <w:rFonts w:eastAsia="方正仿宋_GBK"/>
      <w:sz w:val="28"/>
    </w:rPr>
  </w:style>
  <w:style w:type="paragraph" w:customStyle="1" w:styleId="9">
    <w:name w:val="插入文本样式-插入职责分类绩效目标文件"/>
    <w:basedOn w:val="1"/>
    <w:qFormat/>
    <w:uiPriority w:val="0"/>
    <w:pPr>
      <w:spacing w:line="500" w:lineRule="exact"/>
      <w:ind w:firstLine="560"/>
    </w:pPr>
    <w:rPr>
      <w:rFonts w:eastAsia="方正仿宋_GBK"/>
      <w:sz w:val="2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409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11</Pages>
  <Words>5600</Words>
  <Characters>5709</Characters>
  <Lines>4</Lines>
  <Paragraphs>1</Paragraphs>
  <TotalTime>9</TotalTime>
  <ScaleCrop>false</ScaleCrop>
  <LinksUpToDate>false</LinksUpToDate>
  <CharactersWithSpaces>5751</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2020-02-04T03:46:00Z</dcterms:created>
  <dc:creator>欣欣大人</dc:creator>
  <cp:lastModifiedBy>zzy</cp:lastModifiedBy>
  <cp:lastPrinted>2024-04-20T06:47:00Z</cp:lastPrinted>
  <dcterms:modified xsi:type="dcterms:W3CDTF">2026-09-20T03:35:49Z</dcterms:modified>
  <dc:title>附件3：</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96934721B1514D3FBAA28020338CE855_12</vt:lpwstr>
  </property>
  <property fmtid="{D5CDD505-2E9C-101B-9397-08002B2CF9AE}" pid="4" name="KSOTemplateDocerSaveRecord">
    <vt:lpwstr>eyJoZGlkIjoiYmIyMmFhNzM4ODA4NDM1ZGNjYTE5ZGQ1ODgxYTM5ZDYifQ==</vt:lpwstr>
  </property>
</Properties>
</file>