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99A3ED">
      <w:pPr>
        <w:adjustRightInd w:val="0"/>
        <w:snapToGrid w:val="0"/>
        <w:spacing w:line="560" w:lineRule="exact"/>
        <w:rPr>
          <w:rFonts w:hint="eastAsia" w:ascii="黑体" w:hAnsi="黑体" w:eastAsia="黑体" w:cs="黑体"/>
          <w:sz w:val="32"/>
          <w:szCs w:val="32"/>
        </w:rPr>
      </w:pPr>
      <w:r>
        <w:rPr>
          <w:rFonts w:hint="eastAsia" w:ascii="黑体" w:hAnsi="黑体" w:eastAsia="黑体" w:cs="黑体"/>
          <w:sz w:val="32"/>
          <w:szCs w:val="32"/>
        </w:rPr>
        <w:t>附件4</w:t>
      </w:r>
    </w:p>
    <w:p w14:paraId="289377C7">
      <w:pPr>
        <w:spacing w:line="560" w:lineRule="exact"/>
        <w:jc w:val="center"/>
        <w:rPr>
          <w:rFonts w:ascii="宋体" w:hAnsi="宋体" w:cs="宋体"/>
          <w:b/>
          <w:bCs/>
          <w:sz w:val="44"/>
          <w:szCs w:val="44"/>
        </w:rPr>
      </w:pPr>
    </w:p>
    <w:p w14:paraId="537AC772">
      <w:pPr>
        <w:spacing w:line="560" w:lineRule="exact"/>
        <w:jc w:val="center"/>
        <w:rPr>
          <w:rFonts w:hint="eastAsia" w:ascii="宋体" w:hAnsi="宋体" w:cs="宋体"/>
          <w:b/>
          <w:bCs/>
          <w:sz w:val="44"/>
          <w:szCs w:val="44"/>
        </w:rPr>
      </w:pPr>
      <w:r>
        <w:rPr>
          <w:rFonts w:hint="eastAsia" w:ascii="宋体" w:hAnsi="宋体" w:cs="宋体"/>
          <w:b/>
          <w:bCs/>
          <w:sz w:val="44"/>
          <w:szCs w:val="44"/>
        </w:rPr>
        <w:t>政协石家庄市委员会办公室</w:t>
      </w:r>
    </w:p>
    <w:p w14:paraId="262E6658">
      <w:pPr>
        <w:spacing w:line="560" w:lineRule="exact"/>
        <w:jc w:val="center"/>
        <w:rPr>
          <w:rFonts w:ascii="宋体" w:hAnsi="宋体" w:cs="宋体"/>
          <w:b/>
          <w:bCs/>
          <w:sz w:val="44"/>
          <w:szCs w:val="44"/>
        </w:rPr>
      </w:pPr>
      <w:r>
        <w:rPr>
          <w:rFonts w:hint="eastAsia" w:ascii="宋体" w:hAnsi="宋体" w:cs="宋体"/>
          <w:b/>
          <w:bCs/>
          <w:sz w:val="44"/>
          <w:szCs w:val="44"/>
        </w:rPr>
        <w:t>202</w:t>
      </w:r>
      <w:r>
        <w:rPr>
          <w:rFonts w:hint="eastAsia" w:ascii="宋体" w:hAnsi="宋体" w:cs="宋体"/>
          <w:b/>
          <w:bCs/>
          <w:sz w:val="44"/>
          <w:szCs w:val="44"/>
          <w:lang w:val="en-US" w:eastAsia="zh-CN"/>
        </w:rPr>
        <w:t>5</w:t>
      </w:r>
      <w:r>
        <w:rPr>
          <w:rFonts w:hint="eastAsia" w:ascii="宋体" w:hAnsi="宋体" w:cs="宋体"/>
          <w:b/>
          <w:bCs/>
          <w:sz w:val="44"/>
          <w:szCs w:val="44"/>
        </w:rPr>
        <w:t>年度整体支出绩效自评报告</w:t>
      </w:r>
    </w:p>
    <w:p w14:paraId="6B2C6F47">
      <w:pPr>
        <w:spacing w:line="560" w:lineRule="exact"/>
        <w:jc w:val="center"/>
        <w:rPr>
          <w:rFonts w:ascii="华文楷体" w:eastAsia="华文楷体"/>
          <w:sz w:val="32"/>
          <w:szCs w:val="32"/>
        </w:rPr>
      </w:pPr>
    </w:p>
    <w:p w14:paraId="01EECE3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贯彻落实市委市政府《关于全面落实预算绩效管理的实施意见》（石发﹝2019﹞8号）文件精神，遵循“科学性、规范性、客观性和公正性”的原则，对政协石家庄市委员会办公室202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年整体支出情况实施了财政支出绩效自评价，形成本评价报告。</w:t>
      </w:r>
    </w:p>
    <w:p w14:paraId="1DA608BD">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ascii="黑体" w:hAnsi="黑体" w:eastAsia="黑体"/>
          <w:b/>
          <w:bCs/>
          <w:sz w:val="32"/>
          <w:szCs w:val="36"/>
        </w:rPr>
      </w:pPr>
      <w:r>
        <w:rPr>
          <w:rFonts w:hint="eastAsia" w:ascii="黑体" w:hAnsi="黑体" w:eastAsia="黑体"/>
          <w:sz w:val="32"/>
          <w:szCs w:val="32"/>
        </w:rPr>
        <w:t xml:space="preserve">     一、部门</w:t>
      </w:r>
      <w:r>
        <w:rPr>
          <w:rFonts w:hint="eastAsia" w:ascii="黑体" w:hAnsi="黑体" w:eastAsia="黑体"/>
          <w:sz w:val="32"/>
          <w:szCs w:val="36"/>
        </w:rPr>
        <w:t>基本情况</w:t>
      </w:r>
    </w:p>
    <w:p w14:paraId="1CBD677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楷体" w:hAnsi="楷体" w:eastAsia="楷体" w:cs="楷体_GB2312"/>
          <w:bCs/>
          <w:sz w:val="32"/>
          <w:szCs w:val="32"/>
        </w:rPr>
      </w:pPr>
      <w:r>
        <w:rPr>
          <w:rFonts w:hint="eastAsia" w:ascii="楷体" w:hAnsi="楷体" w:eastAsia="楷体" w:cs="楷体_GB2312"/>
          <w:bCs/>
          <w:sz w:val="32"/>
          <w:szCs w:val="32"/>
        </w:rPr>
        <w:t>（一）部门概况</w:t>
      </w:r>
    </w:p>
    <w:p w14:paraId="58777AE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政协石家庄市委员会（以下简称“市政协”）主要职责是就本市大政方针以及政治、经济、文化、社会和生态文明中的重要问题在决策之前进行协商和就决策执行过程中的重要问题进行协商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完善各项会议制度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规范会议程序，提高会议质量，提高政治协商水平</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根据形势、任务和党委政府统一部署，安排协商活动，召开专题协商会、协商民主会、专题座谈会、意见听取会、工作研讨会和学习座谈会等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有效履行民主监督职责，发挥好协调关系、汇聚力量、建言献策、服务大局的作用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市政协根据宪法及《中国人民政治协商会议章程》要求开展工作。</w:t>
      </w:r>
    </w:p>
    <w:p w14:paraId="5F842CD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年底，市政协共有1个独立核算单位，为正厅级财政拨款的行政单位。实有在职人员</w:t>
      </w:r>
      <w:r>
        <w:rPr>
          <w:rFonts w:hint="eastAsia" w:ascii="仿宋_GB2312" w:hAnsi="仿宋_GB2312" w:eastAsia="仿宋_GB2312" w:cs="仿宋_GB2312"/>
          <w:sz w:val="32"/>
          <w:szCs w:val="32"/>
          <w:lang w:val="en-US" w:eastAsia="zh-CN"/>
        </w:rPr>
        <w:t>117</w:t>
      </w:r>
      <w:r>
        <w:rPr>
          <w:rFonts w:hint="eastAsia" w:ascii="仿宋_GB2312" w:hAnsi="仿宋_GB2312" w:eastAsia="仿宋_GB2312" w:cs="仿宋_GB2312"/>
          <w:sz w:val="32"/>
          <w:szCs w:val="32"/>
        </w:rPr>
        <w:t>人。</w:t>
      </w:r>
    </w:p>
    <w:p w14:paraId="3B51C7DB">
      <w:pPr>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firstLine="640" w:firstLineChars="200"/>
        <w:textAlignment w:val="auto"/>
        <w:rPr>
          <w:rFonts w:hint="eastAsia" w:ascii="楷体" w:hAnsi="楷体" w:eastAsia="楷体" w:cs="楷体_GB2312"/>
          <w:bCs/>
          <w:sz w:val="32"/>
          <w:szCs w:val="32"/>
        </w:rPr>
      </w:pPr>
      <w:r>
        <w:rPr>
          <w:rFonts w:hint="eastAsia" w:ascii="楷体" w:hAnsi="楷体" w:eastAsia="楷体" w:cs="楷体_GB2312"/>
          <w:bCs/>
          <w:sz w:val="32"/>
          <w:szCs w:val="32"/>
        </w:rPr>
        <w:t>部门收支预决算情况</w:t>
      </w:r>
    </w:p>
    <w:p w14:paraId="0D6EB124">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楷体" w:hAnsi="楷体" w:eastAsia="仿宋" w:cs="楷体_GB2312"/>
          <w:bCs/>
          <w:sz w:val="32"/>
          <w:szCs w:val="32"/>
          <w:lang w:eastAsia="zh-CN"/>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年预算调整资金</w:t>
      </w:r>
      <w:r>
        <w:rPr>
          <w:rFonts w:hint="eastAsia" w:ascii="仿宋_GB2312" w:hAnsi="仿宋_GB2312" w:eastAsia="仿宋_GB2312" w:cs="仿宋_GB2312"/>
          <w:sz w:val="32"/>
          <w:szCs w:val="32"/>
          <w:lang w:val="en-US" w:eastAsia="zh-CN"/>
        </w:rPr>
        <w:t>1326.25</w:t>
      </w:r>
      <w:r>
        <w:rPr>
          <w:rFonts w:hint="eastAsia" w:ascii="仿宋_GB2312" w:hAnsi="仿宋_GB2312" w:eastAsia="仿宋_GB2312" w:cs="仿宋_GB2312"/>
          <w:sz w:val="32"/>
          <w:szCs w:val="32"/>
        </w:rPr>
        <w:t>万元，共</w:t>
      </w:r>
      <w:r>
        <w:rPr>
          <w:rFonts w:hint="eastAsia" w:ascii="仿宋_GB2312" w:hAnsi="仿宋_GB2312" w:eastAsia="仿宋_GB2312" w:cs="仿宋_GB2312"/>
          <w:sz w:val="32"/>
          <w:szCs w:val="32"/>
          <w:lang w:val="en-US" w:eastAsia="zh-CN"/>
        </w:rPr>
        <w:t>24</w:t>
      </w:r>
      <w:r>
        <w:rPr>
          <w:rFonts w:hint="eastAsia" w:ascii="仿宋_GB2312" w:hAnsi="仿宋_GB2312" w:eastAsia="仿宋_GB2312" w:cs="仿宋_GB2312"/>
          <w:sz w:val="32"/>
          <w:szCs w:val="32"/>
        </w:rPr>
        <w:t>个项目，评价项目资金到位</w:t>
      </w:r>
      <w:r>
        <w:rPr>
          <w:rFonts w:hint="eastAsia" w:ascii="仿宋_GB2312" w:hAnsi="仿宋_GB2312" w:eastAsia="仿宋_GB2312" w:cs="仿宋_GB2312"/>
          <w:sz w:val="32"/>
          <w:szCs w:val="32"/>
          <w:lang w:val="en-US" w:eastAsia="zh-CN"/>
        </w:rPr>
        <w:t>1326.25</w:t>
      </w:r>
      <w:r>
        <w:rPr>
          <w:rFonts w:hint="eastAsia" w:ascii="仿宋_GB2312" w:hAnsi="仿宋_GB2312" w:eastAsia="仿宋_GB2312" w:cs="仿宋_GB2312"/>
          <w:sz w:val="32"/>
          <w:szCs w:val="32"/>
        </w:rPr>
        <w:t>万元，评价项目资金支出</w:t>
      </w:r>
      <w:r>
        <w:rPr>
          <w:rFonts w:hint="eastAsia" w:ascii="仿宋_GB2312" w:hAnsi="仿宋_GB2312" w:eastAsia="仿宋_GB2312" w:cs="仿宋_GB2312"/>
          <w:sz w:val="32"/>
          <w:szCs w:val="32"/>
          <w:lang w:val="en-US" w:eastAsia="zh-CN"/>
        </w:rPr>
        <w:t>867.11</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w:t>
      </w:r>
    </w:p>
    <w:p w14:paraId="664B7EB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楷体" w:hAnsi="楷体" w:eastAsia="楷体" w:cs="楷体_GB2312"/>
          <w:bCs/>
          <w:sz w:val="32"/>
          <w:szCs w:val="32"/>
        </w:rPr>
      </w:pPr>
      <w:r>
        <w:rPr>
          <w:rFonts w:hint="eastAsia" w:ascii="楷体" w:hAnsi="楷体" w:eastAsia="楷体" w:cs="楷体_GB2312"/>
          <w:bCs/>
          <w:sz w:val="32"/>
          <w:szCs w:val="32"/>
        </w:rPr>
        <w:t>（三）部门整体支出绩效目标、指标</w:t>
      </w:r>
    </w:p>
    <w:p w14:paraId="689433EA">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2025年要深入学习贯彻党的二十大，二十届二中、三中全会精神，坚决贯彻中央和省委、市委决策部署，把深入</w:t>
      </w:r>
      <w:bookmarkStart w:id="0" w:name="_GoBack"/>
      <w:bookmarkEnd w:id="0"/>
      <w:r>
        <w:rPr>
          <w:rFonts w:hint="eastAsia" w:ascii="仿宋_GB2312" w:hAnsi="仿宋_GB2312" w:eastAsia="仿宋_GB2312" w:cs="仿宋_GB2312"/>
          <w:sz w:val="32"/>
          <w:szCs w:val="32"/>
          <w:lang w:val="en-US" w:eastAsia="zh-CN"/>
        </w:rPr>
        <w:t>学习贯彻习近平新时代中国特色社会主义思想作为统揽政协工作的总纲，把坚持和发展中国特色社会主义作为巩固共同思想政治基础的主轴，把为加快建设现代化、国际化美丽省会城市献计出力作为工作的主线，坚持完整准确全面贯彻新发展理念，坚持以人民为中心的发展思想，坚持团结和民主两大主题，坚持建言资政和凝聚共识双向发力，认真履行政治协商、民主监督、参政议政职能，更好凝聚共识，为推动省会建设和高质量发展作出新贡献。</w:t>
      </w:r>
    </w:p>
    <w:p w14:paraId="01DF4BC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黑体" w:hAnsi="黑体" w:eastAsia="黑体"/>
          <w:sz w:val="32"/>
          <w:szCs w:val="32"/>
        </w:rPr>
      </w:pPr>
      <w:r>
        <w:rPr>
          <w:rFonts w:hint="eastAsia" w:ascii="黑体" w:hAnsi="黑体" w:eastAsia="黑体"/>
          <w:sz w:val="32"/>
          <w:szCs w:val="32"/>
        </w:rPr>
        <w:t>二、自评工作开展情况</w:t>
      </w:r>
    </w:p>
    <w:p w14:paraId="7485C74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楷体" w:hAnsi="楷体" w:eastAsia="楷体" w:cs="楷体_GB2312"/>
          <w:bCs/>
          <w:sz w:val="32"/>
          <w:szCs w:val="32"/>
          <w:highlight w:val="none"/>
        </w:rPr>
      </w:pPr>
      <w:r>
        <w:rPr>
          <w:rFonts w:hint="eastAsia" w:ascii="楷体" w:hAnsi="楷体" w:eastAsia="楷体" w:cs="楷体_GB2312"/>
          <w:bCs/>
          <w:sz w:val="32"/>
          <w:szCs w:val="32"/>
          <w:highlight w:val="none"/>
        </w:rPr>
        <w:t>（一）自评的组织工作</w:t>
      </w:r>
    </w:p>
    <w:p w14:paraId="617153E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前期工作准备</w:t>
      </w:r>
    </w:p>
    <w:p w14:paraId="47C52A5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（1）成立自评工作组</w:t>
      </w:r>
    </w:p>
    <w:p w14:paraId="1C743B3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根据石家庄市财政局《关于开展202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年绩效自评工作的通知》要求，成立由各委、办、室，财务部门共同组成的绩效评价小组，工作组组长由自评工作承担单位主管领导担任，成员包括项目主管部门、财务主管部门和实施单位相关人员</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事先制定了绩效评价方案，根据预算绩效指标，通过收集整理政策文件、账本凭证等相关资料，制定具体评价方案，依照工作计划安排对委员活动经费的使用情况进行严格审核，重点关注项目实施情况、资金拨付情况、服务对象满意度等环节。</w:t>
      </w:r>
    </w:p>
    <w:p w14:paraId="40EC59B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（2）制定自评工作方案</w:t>
      </w:r>
    </w:p>
    <w:p w14:paraId="22A2AEA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石家庄市市级部门项目绩效自评管理办法》（石财绩〔2020〕5号）文件要求，结合项目具体情况，制定自评工作方案，包括：项目概况、项目绩效目标、评价政策依据及数据资料、评价原则和方法、绩效评价指标体系及评价标准方法、自评工作流程和时间步骤等内容。</w:t>
      </w:r>
    </w:p>
    <w:p w14:paraId="589CD1C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项目评价资料准备</w:t>
      </w:r>
    </w:p>
    <w:p w14:paraId="59B3DE9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根据评价工作要求，要求项目实施涉及相关</w:t>
      </w:r>
      <w:r>
        <w:rPr>
          <w:rFonts w:hint="eastAsia" w:ascii="仿宋_GB2312" w:hAnsi="仿宋_GB2312" w:eastAsia="仿宋_GB2312" w:cs="仿宋_GB2312"/>
          <w:sz w:val="32"/>
          <w:szCs w:val="32"/>
          <w:lang w:eastAsia="zh-CN"/>
        </w:rPr>
        <w:t>委</w:t>
      </w:r>
      <w:r>
        <w:rPr>
          <w:rFonts w:hint="eastAsia" w:ascii="仿宋_GB2312" w:hAnsi="仿宋_GB2312" w:eastAsia="仿宋_GB2312" w:cs="仿宋_GB2312"/>
          <w:sz w:val="32"/>
          <w:szCs w:val="32"/>
        </w:rPr>
        <w:t>室准备评价所需基础信息资料，包括被评价单位的基本概况、项目请示、实施方案、预算资金使用情况、合同、项目相关财务账簿及凭证等资料、</w:t>
      </w:r>
      <w:r>
        <w:rPr>
          <w:rFonts w:hint="eastAsia" w:ascii="仿宋_GB2312" w:hAnsi="仿宋_GB2312" w:eastAsia="仿宋_GB2312" w:cs="仿宋_GB2312"/>
          <w:sz w:val="32"/>
          <w:szCs w:val="32"/>
          <w:lang w:val="en-US" w:eastAsia="zh-CN"/>
        </w:rPr>
        <w:t>审批资料</w:t>
      </w:r>
      <w:r>
        <w:rPr>
          <w:rFonts w:hint="eastAsia" w:ascii="仿宋_GB2312" w:hAnsi="仿宋_GB2312" w:eastAsia="仿宋_GB2312" w:cs="仿宋_GB2312"/>
          <w:sz w:val="32"/>
          <w:szCs w:val="32"/>
        </w:rPr>
        <w:t>等。</w:t>
      </w:r>
    </w:p>
    <w:p w14:paraId="1F70291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资料收集及核查</w:t>
      </w:r>
    </w:p>
    <w:p w14:paraId="139781E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评价工作组对资料核查核实采取档案核查和现场调查取证相结合的方式，全面收集、系统整理项目绩效完成信息，并对资料进行分类整理分析。</w:t>
      </w:r>
    </w:p>
    <w:p w14:paraId="0BFB5B2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综合分析</w:t>
      </w:r>
    </w:p>
    <w:p w14:paraId="49E690E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熟悉相关基础数据和资料的基础上，确认各项绩效指标实际完成值和实现程度，审查对数据和资料的全面性、真实性、合理性和规范性，以及指标口径的一致性，主要包括项目资金使用管理情况、项目产出、效益和满意度等。</w:t>
      </w:r>
    </w:p>
    <w:p w14:paraId="011C844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评价阶段</w:t>
      </w:r>
    </w:p>
    <w:p w14:paraId="1E50E96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（1）填写项目绩效自评表基础信息</w:t>
      </w:r>
    </w:p>
    <w:p w14:paraId="2EF2818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评价小组经对收集的项目评价资料及现场核查取得的相关数据和信息进行整理分析，准确填写各项评价信息。</w:t>
      </w:r>
    </w:p>
    <w:p w14:paraId="318510A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（2）绩效评价打分</w:t>
      </w:r>
    </w:p>
    <w:p w14:paraId="77EDE29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按照工作方案确定的评价指标体系、评价标准和评价方法，依据所收集的资料，按要求填写《部门预算项目绩效自评表》，对评价对象的绩效情况进行</w:t>
      </w:r>
      <w:r>
        <w:rPr>
          <w:rFonts w:hint="eastAsia" w:ascii="仿宋_GB2312" w:hAnsi="仿宋_GB2312" w:eastAsia="仿宋_GB2312" w:cs="仿宋_GB2312"/>
          <w:sz w:val="32"/>
          <w:szCs w:val="32"/>
          <w:lang w:val="en-US" w:eastAsia="zh-CN"/>
        </w:rPr>
        <w:t>定</w:t>
      </w:r>
      <w:r>
        <w:rPr>
          <w:rFonts w:hint="eastAsia" w:ascii="仿宋_GB2312" w:hAnsi="仿宋_GB2312" w:eastAsia="仿宋_GB2312" w:cs="仿宋_GB2312"/>
          <w:sz w:val="32"/>
          <w:szCs w:val="32"/>
        </w:rPr>
        <w:t>量、定性分析和综合评价，完成项目的绩效评价打分。</w:t>
      </w:r>
    </w:p>
    <w:p w14:paraId="4C369C0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（3）形成绩效评价结论</w:t>
      </w:r>
    </w:p>
    <w:p w14:paraId="5DE0681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评价工作组对采集的评价基础数据资料进行整理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汇总</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总结</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归纳项目实施取得</w:t>
      </w:r>
      <w:r>
        <w:rPr>
          <w:rFonts w:hint="eastAsia" w:ascii="仿宋_GB2312" w:hAnsi="仿宋_GB2312" w:eastAsia="仿宋_GB2312" w:cs="仿宋_GB2312"/>
          <w:sz w:val="32"/>
          <w:szCs w:val="32"/>
          <w:lang w:val="en-US" w:eastAsia="zh-CN"/>
        </w:rPr>
        <w:t>的</w:t>
      </w:r>
      <w:r>
        <w:rPr>
          <w:rFonts w:hint="eastAsia" w:ascii="仿宋_GB2312" w:hAnsi="仿宋_GB2312" w:eastAsia="仿宋_GB2312" w:cs="仿宋_GB2312"/>
          <w:sz w:val="32"/>
          <w:szCs w:val="32"/>
        </w:rPr>
        <w:t>主要成果，分析存在的问题并提出改进建议，形成绩效评价结论。</w:t>
      </w:r>
    </w:p>
    <w:p w14:paraId="5932F0E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编写项目自评报告</w:t>
      </w:r>
    </w:p>
    <w:p w14:paraId="6CDBC6D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根据石家庄市财政局《关于开展202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年绩效自评工作的通知》规定格式，撰写项目自评报告，并提交领导小组审定。</w:t>
      </w:r>
    </w:p>
    <w:p w14:paraId="6FB0DB9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楷体" w:hAnsi="楷体" w:eastAsia="楷体" w:cs="楷体_GB2312"/>
          <w:bCs/>
          <w:sz w:val="32"/>
          <w:szCs w:val="32"/>
          <w:highlight w:val="none"/>
        </w:rPr>
      </w:pPr>
      <w:r>
        <w:rPr>
          <w:rFonts w:hint="eastAsia" w:ascii="楷体" w:hAnsi="楷体" w:eastAsia="楷体" w:cs="楷体_GB2312"/>
          <w:bCs/>
          <w:kern w:val="2"/>
          <w:sz w:val="32"/>
          <w:szCs w:val="32"/>
          <w:lang w:val="en-US" w:eastAsia="zh-CN" w:bidi="ar-SA"/>
        </w:rPr>
        <w:t>（二）</w:t>
      </w:r>
      <w:r>
        <w:rPr>
          <w:rFonts w:hint="eastAsia" w:ascii="楷体" w:hAnsi="楷体" w:eastAsia="楷体" w:cs="楷体_GB2312"/>
          <w:bCs/>
          <w:sz w:val="32"/>
          <w:szCs w:val="32"/>
          <w:highlight w:val="none"/>
        </w:rPr>
        <w:t>自评的方法和过程</w:t>
      </w:r>
    </w:p>
    <w:p w14:paraId="3EDE133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次绩效评价以评价指标体系为基础，主要采用因素分析法、比较分析法、综合指数评价法，具体指标评价采用百分制评分的形式来评定政策在制定、实施和效果各环节的实施和达成程度，在指标评价的基础上，由评价工作组综合分析，确定绩效整体的评价结论。</w:t>
      </w:r>
    </w:p>
    <w:p w14:paraId="3AEDEF6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成本效益分析法。是指将一定时期内总成本与总效益进行对比分析，以评价绩效目标实现程度。</w:t>
      </w:r>
    </w:p>
    <w:p w14:paraId="5E1685F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比较法。是指通过对绩效目标与实施效果、历史与当期情况、不同部门和地区同类支出的比较，综合分析绩效目标实现程度。</w:t>
      </w:r>
    </w:p>
    <w:p w14:paraId="77750D0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因素分析法。是指通过综合分析影响绩效目标实现、实施效果的内外因素，计算投入产出比的方法。</w:t>
      </w:r>
    </w:p>
    <w:p w14:paraId="5F0A7CA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综合指数评价法。是指把各项绩效指标的实际水平，对照评价标准值，分别计算各项指标评价得分，再按照设定的各项指标权数计算出综合评价得分，分析评价绩效目标实现情况的评价方法。</w:t>
      </w:r>
    </w:p>
    <w:p w14:paraId="3CA707E6">
      <w:pPr>
        <w:keepNext w:val="0"/>
        <w:keepLines w:val="0"/>
        <w:pageBreakBefore w:val="0"/>
        <w:widowControl w:val="0"/>
        <w:kinsoku/>
        <w:wordWrap/>
        <w:overflowPunct/>
        <w:topLinePunct w:val="0"/>
        <w:autoSpaceDE/>
        <w:autoSpaceDN/>
        <w:bidi w:val="0"/>
        <w:spacing w:line="560" w:lineRule="exact"/>
        <w:textAlignment w:val="auto"/>
        <w:rPr>
          <w:rFonts w:ascii="黑体" w:hAnsi="黑体" w:eastAsia="黑体"/>
          <w:b/>
          <w:bCs/>
          <w:sz w:val="32"/>
          <w:szCs w:val="32"/>
        </w:rPr>
      </w:pPr>
      <w:r>
        <w:rPr>
          <w:rFonts w:hint="eastAsia" w:ascii="黑体" w:hAnsi="黑体" w:eastAsia="黑体"/>
          <w:sz w:val="32"/>
          <w:szCs w:val="32"/>
        </w:rPr>
        <w:t xml:space="preserve">    三、部门整体支出绩效目标实现情况及指标分析</w:t>
      </w:r>
    </w:p>
    <w:p w14:paraId="23C26338">
      <w:pPr>
        <w:keepNext w:val="0"/>
        <w:keepLines w:val="0"/>
        <w:pageBreakBefore w:val="0"/>
        <w:widowControl w:val="0"/>
        <w:numPr>
          <w:ilvl w:val="0"/>
          <w:numId w:val="2"/>
        </w:numPr>
        <w:kinsoku/>
        <w:wordWrap/>
        <w:overflowPunct/>
        <w:topLinePunct w:val="0"/>
        <w:autoSpaceDE/>
        <w:autoSpaceDN/>
        <w:bidi w:val="0"/>
        <w:spacing w:line="560" w:lineRule="exact"/>
        <w:ind w:firstLine="640" w:firstLineChars="200"/>
        <w:textAlignment w:val="auto"/>
        <w:rPr>
          <w:rFonts w:ascii="楷体" w:hAnsi="楷体" w:eastAsia="楷体" w:cs="楷体_GB2312"/>
          <w:bCs/>
          <w:sz w:val="32"/>
          <w:szCs w:val="32"/>
        </w:rPr>
      </w:pPr>
      <w:r>
        <w:rPr>
          <w:rFonts w:hint="eastAsia" w:ascii="楷体" w:hAnsi="楷体" w:eastAsia="楷体" w:cs="楷体_GB2312"/>
          <w:bCs/>
          <w:sz w:val="32"/>
          <w:szCs w:val="32"/>
        </w:rPr>
        <w:t>总体绩效目标实现情况</w:t>
      </w:r>
    </w:p>
    <w:p w14:paraId="48325E8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市政协</w:t>
      </w:r>
      <w:r>
        <w:rPr>
          <w:rFonts w:hint="eastAsia" w:ascii="仿宋_GB2312" w:hAnsi="仿宋_GB2312" w:eastAsia="仿宋_GB2312" w:cs="仿宋_GB2312"/>
          <w:sz w:val="32"/>
          <w:szCs w:val="32"/>
        </w:rPr>
        <w:t>深入学习贯彻</w:t>
      </w:r>
      <w:r>
        <w:rPr>
          <w:rFonts w:hint="eastAsia" w:ascii="仿宋_GB2312" w:hAnsi="仿宋_GB2312" w:eastAsia="仿宋_GB2312" w:cs="仿宋_GB2312"/>
          <w:sz w:val="32"/>
          <w:szCs w:val="32"/>
          <w:lang w:eastAsia="zh-CN"/>
        </w:rPr>
        <w:t>党的</w:t>
      </w:r>
      <w:r>
        <w:rPr>
          <w:rFonts w:hint="eastAsia" w:ascii="仿宋_GB2312" w:hAnsi="仿宋_GB2312" w:eastAsia="仿宋_GB2312" w:cs="仿宋_GB2312"/>
          <w:sz w:val="32"/>
          <w:szCs w:val="32"/>
        </w:rPr>
        <w:t>二十大和二十届二中、三中全会精神，坚决贯彻中共中央和省委、市委决策部署，把深入学习贯彻习近平新时代中国特色社会主义思想作为统揽政协工作的总纲，把坚持和发展中国特色社会主义作为巩固共同思想政治基础的主轴，把为加快建设现代化、国际化美丽省会城市献计出力作为工作的主线，坚持完整准确全面贯彻新发展理念，坚持以人民为中心</w:t>
      </w:r>
      <w:r>
        <w:rPr>
          <w:rFonts w:hint="eastAsia" w:ascii="仿宋_GB2312" w:hAnsi="仿宋_GB2312" w:eastAsia="仿宋_GB2312" w:cs="仿宋_GB2312"/>
          <w:sz w:val="32"/>
          <w:szCs w:val="32"/>
          <w:lang w:eastAsia="zh-CN"/>
        </w:rPr>
        <w:t>，以协商民主体现全过程人民民主本质要求，围绕中心服务大局，建良言献良策，广泛凝聚共识，认真履职尽责，为加快建设现代化、国际化美丽省会城市作出积极贡献，</w:t>
      </w:r>
      <w:r>
        <w:rPr>
          <w:rFonts w:hint="eastAsia" w:ascii="仿宋_GB2312" w:hAnsi="仿宋_GB2312" w:eastAsia="仿宋_GB2312" w:cs="仿宋_GB2312"/>
          <w:sz w:val="32"/>
          <w:szCs w:val="32"/>
        </w:rPr>
        <w:t>圆满完成了总体绩效目标。</w:t>
      </w:r>
    </w:p>
    <w:p w14:paraId="2D8F1FE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全会影响与政协职能再凸显</w:t>
      </w:r>
    </w:p>
    <w:p w14:paraId="7FBD55B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绩效目标：顺利召开市政协十四届五次全体会议，做好全会筹备及组织服务工作，紧紧围绕市委决策部署，积极履职尽责、议政建言，放大优势能量，凝聚担当实干共识，以实际行动为加快建设现代化、国际化美丽省会城市作出应有贡献。强化协调调度，实行精细管理，对标对表省两会，研究制定了大会总体方案和运程表，各项服务保障任务落实到组、到人，确保了环环紧扣、有条不紊、顺畅衔接、规范有序。</w:t>
      </w:r>
    </w:p>
    <w:p w14:paraId="7DCA680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绩效指标：市政协十四届</w:t>
      </w:r>
      <w:r>
        <w:rPr>
          <w:rFonts w:hint="eastAsia" w:ascii="仿宋_GB2312" w:hAnsi="仿宋_GB2312" w:eastAsia="仿宋_GB2312" w:cs="仿宋_GB2312"/>
          <w:sz w:val="32"/>
          <w:szCs w:val="32"/>
          <w:lang w:eastAsia="zh-CN"/>
        </w:rPr>
        <w:t>五</w:t>
      </w:r>
      <w:r>
        <w:rPr>
          <w:rFonts w:hint="eastAsia" w:ascii="仿宋_GB2312" w:hAnsi="仿宋_GB2312" w:eastAsia="仿宋_GB2312" w:cs="仿宋_GB2312"/>
          <w:sz w:val="32"/>
          <w:szCs w:val="32"/>
        </w:rPr>
        <w:t>次会议参会委员人数达到590人，比例占应到会人数的90%，委员提出提案数量380件左右，在全市受到广大受众的充分认可，委员满意度达到95%。</w:t>
      </w:r>
    </w:p>
    <w:p w14:paraId="122D2FB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力行为民之举</w:t>
      </w:r>
    </w:p>
    <w:p w14:paraId="29D1C16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绩效目标：在全面增进民生福祉中彰显政协价值。要深入基层察民情，带着问题、带着感情、带着责任深入基层一线，畅通社情民意表达渠道，筑牢党委政府和人民群众的“连心桥”。要春风化雨暖民心，协助市委、市政府做好宣传引导、解疑释惑、化解矛盾等工作，把市委、市政府的决策主张准确地传递到社会各个阶层，夯实最广泛、最深厚的群众基础。要多办实事惠民利，把项目建设和产业发展作为履职的主阵地，把服务和改善民生作为履职的出发点和落脚点，开展全方位、多层次的调查研究，提出务实管用的新招实招硬招，有效解决群众的急难愁盼问题。</w:t>
      </w:r>
    </w:p>
    <w:p w14:paraId="08AE98D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绩效指标：</w:t>
      </w:r>
    </w:p>
    <w:p w14:paraId="5F15832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政协常务委员会议每季度1次，必要时可临时举行。</w:t>
      </w:r>
    </w:p>
    <w:p w14:paraId="5FF5CB9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各专门委员会组织界别活动30次，3次集体视察，委员覆盖率达到60%以上；开展专题协商座谈10次，交流活动3次，形成3篇高质量专题协商报告。</w:t>
      </w:r>
    </w:p>
    <w:p w14:paraId="462B1EE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开展驻石知名人士活动1次。</w:t>
      </w:r>
    </w:p>
    <w:p w14:paraId="5E71C72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办好《石家庄政协》、《社情民意》2本内部刊物。</w:t>
      </w:r>
    </w:p>
    <w:p w14:paraId="62D6BB7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加强提案督办落实，办好《提案追踪》栏目和“提案回音壁”专栏，使协商议政更具成效。</w:t>
      </w:r>
    </w:p>
    <w:p w14:paraId="72971B7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提高委员履职能力</w:t>
      </w:r>
    </w:p>
    <w:p w14:paraId="0ED4B14B">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绩效目标：要增强委员履职能力，积极学习党的二十大</w:t>
      </w:r>
      <w:r>
        <w:rPr>
          <w:rFonts w:hint="eastAsia" w:ascii="仿宋_GB2312" w:hAnsi="仿宋_GB2312" w:eastAsia="仿宋_GB2312" w:cs="仿宋_GB2312"/>
          <w:sz w:val="32"/>
          <w:szCs w:val="32"/>
          <w:lang w:eastAsia="zh-CN"/>
        </w:rPr>
        <w:t>和</w:t>
      </w:r>
      <w:r>
        <w:rPr>
          <w:rFonts w:hint="eastAsia" w:ascii="仿宋_GB2312" w:hAnsi="仿宋_GB2312" w:eastAsia="仿宋_GB2312" w:cs="仿宋_GB2312"/>
          <w:sz w:val="32"/>
          <w:szCs w:val="32"/>
        </w:rPr>
        <w:t>二十届三中全会精神、中共党史、新中国史和统一战线历史、人民政协历史，全面增强履职本领，广泛学习专业知识，自觉担负起民主政治参与者、实践者、推动者的历史责任。要持续转变工作作风，树立“逢一必夺、逢旗必扛”的省会意识、争先意识，努力成为推动省会建设和高质量发展的一面旗帜；始终保持务实高效的工作作风，锐意进取、奋勇拼搏，攻坚克难、履职尽责，不断开创政协工作新局面。加紧界别工作站和委员工作室建设，为委员履职提供基础条件。</w:t>
      </w:r>
    </w:p>
    <w:p w14:paraId="35879E64">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 w:hAnsi="仿宋" w:eastAsia="仿宋" w:cs="楷体_GB2312"/>
          <w:b/>
          <w:bCs/>
          <w:sz w:val="32"/>
          <w:szCs w:val="32"/>
        </w:rPr>
      </w:pPr>
      <w:r>
        <w:rPr>
          <w:rFonts w:hint="eastAsia" w:ascii="仿宋_GB2312" w:hAnsi="仿宋_GB2312" w:eastAsia="仿宋_GB2312" w:cs="仿宋_GB2312"/>
          <w:sz w:val="32"/>
          <w:szCs w:val="32"/>
        </w:rPr>
        <w:t>绩效指标：新建、维护委员工作站（室）建设，搭建委员履职平台。</w:t>
      </w:r>
      <w:r>
        <w:rPr>
          <w:rFonts w:hint="eastAsia" w:ascii="仿宋" w:hAnsi="仿宋" w:eastAsia="仿宋" w:cs="楷体_GB2312"/>
          <w:b/>
          <w:bCs/>
          <w:sz w:val="32"/>
          <w:szCs w:val="32"/>
        </w:rPr>
        <w:t xml:space="preserve">    </w:t>
      </w:r>
    </w:p>
    <w:p w14:paraId="129C2784">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楷体" w:hAnsi="楷体" w:eastAsia="楷体"/>
          <w:bCs/>
          <w:sz w:val="32"/>
          <w:szCs w:val="32"/>
        </w:rPr>
      </w:pPr>
      <w:r>
        <w:rPr>
          <w:rFonts w:hint="eastAsia" w:ascii="楷体" w:hAnsi="楷体" w:eastAsia="楷体" w:cs="楷体_GB2312"/>
          <w:bCs/>
          <w:sz w:val="32"/>
          <w:szCs w:val="32"/>
        </w:rPr>
        <w:t>（二）分项绩效目标实现情况及指标分析</w:t>
      </w:r>
    </w:p>
    <w:p w14:paraId="226090C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全会影响与政协职能再凸显</w:t>
      </w:r>
    </w:p>
    <w:p w14:paraId="03D8D6F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市政协十四届五次会议应出席委员628名，实际出席委员602名，出席率96%。</w:t>
      </w:r>
      <w:r>
        <w:rPr>
          <w:rFonts w:hint="eastAsia" w:ascii="仿宋_GB2312" w:hAnsi="仿宋_GB2312" w:eastAsia="仿宋_GB2312" w:cs="仿宋_GB2312"/>
          <w:color w:val="auto"/>
          <w:sz w:val="32"/>
          <w:szCs w:val="32"/>
        </w:rPr>
        <w:t>大会发言是政协全会的特有内容、协商议政的重要形式，层次高、影响大，备受领导和社会各界关注。在时间紧、任务重的情况下，统一思想、同心协力，组织广大委员围绕市委中心工作和群众关心关切，撰写大会发言，提出务实建议，归纳整理委员发言材料辑印成册，其中1</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名委员作了大会口头发言，得到市委、市政府主要领导的高度认可</w:t>
      </w:r>
      <w:r>
        <w:rPr>
          <w:rFonts w:hint="eastAsia" w:ascii="仿宋_GB2312" w:hAnsi="仿宋_GB2312" w:eastAsia="仿宋_GB2312" w:cs="仿宋_GB2312"/>
          <w:color w:val="auto"/>
          <w:sz w:val="32"/>
          <w:szCs w:val="32"/>
          <w:lang w:eastAsia="zh-CN"/>
        </w:rPr>
        <w:t>。</w:t>
      </w:r>
    </w:p>
    <w:p w14:paraId="7C775FA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FF"/>
          <w:sz w:val="32"/>
          <w:szCs w:val="32"/>
        </w:rPr>
      </w:pPr>
      <w:r>
        <w:rPr>
          <w:rFonts w:hint="eastAsia" w:ascii="仿宋_GB2312" w:hAnsi="仿宋_GB2312" w:eastAsia="仿宋_GB2312" w:cs="仿宋_GB2312"/>
          <w:color w:val="auto"/>
          <w:sz w:val="32"/>
          <w:szCs w:val="32"/>
          <w:lang w:val="en-US" w:eastAsia="zh-CN"/>
        </w:rPr>
        <w:t>448件提案、17件市领导领办重点提案全部办结，评选好提案19件，弘扬进藏英雄李狄三事迹成为全国政协提案。</w:t>
      </w:r>
    </w:p>
    <w:p w14:paraId="589EEBA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力行为民之举</w:t>
      </w:r>
    </w:p>
    <w:p w14:paraId="509047E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围绕市委八方面“加力提效”，聚焦经济总量过万亿、城市更新、五大产业发展、扩内需促消费、建言“十五五”等建言资政。672名委员参加各种履职活动，提出意见建议1096条，大会发言198篇。32批次委员参加法规条例修订和法检两院庭审、听证。17次参加全国、省政协视察调研、协商监督。</w:t>
      </w:r>
    </w:p>
    <w:p w14:paraId="3FF6CDE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组织895名全国省市县政协委员视察观摩城市更新、产业发展、文化传承、民生改善等，在感受巨大变化中凝聚奋进力量。开展普法宣讲131场次、“三下乡”活动4批次，受益群众1.7万人。做好文史工作，征编文史资料256篇，完成城市更新、农村人居环境整治提升专辑辑审和《政协史志》修订，3.4万册文史资料对外开放，43.2万人次参观文史馆。33批次全国政协、外省市政协来石调研参观，对我市发生的巨变高度赞扬。</w:t>
      </w:r>
    </w:p>
    <w:p w14:paraId="2950EC6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认真做好市委交办工作，抓好现代食品产业发展、农村人居环境整治提升，做好包联县（市、区）重点工作，两个驻村工作队帮扶工作受到表彰。</w:t>
      </w:r>
    </w:p>
    <w:p w14:paraId="132236C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提高委员履职能力</w:t>
      </w:r>
    </w:p>
    <w:p w14:paraId="21C60129">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巩固学习教育成果，落实“第一议题”制度，党组会、理论学习中心组会、主席会、常委会、委员学习小组集中学、交流学61次。弘扬正能量，褒扬62名委员在“实干兴石”中的贡献。广大委员积极发挥主体作用，672名委员参加各种履职活动，提出意见建议1096条，大会发言198篇，展现了常委、委员的使命担当、时代风采。</w:t>
      </w:r>
    </w:p>
    <w:p w14:paraId="3F97958B">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黑体" w:hAnsi="黑体" w:eastAsia="黑体"/>
          <w:sz w:val="32"/>
          <w:szCs w:val="32"/>
        </w:rPr>
      </w:pPr>
      <w:r>
        <w:rPr>
          <w:rFonts w:hint="eastAsia" w:ascii="黑体" w:hAnsi="黑体" w:eastAsia="黑体"/>
          <w:sz w:val="32"/>
          <w:szCs w:val="32"/>
        </w:rPr>
        <w:t>四、评价结论和评价等级</w:t>
      </w:r>
    </w:p>
    <w:p w14:paraId="47144F1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sz w:val="32"/>
          <w:szCs w:val="32"/>
          <w:highlight w:val="none"/>
        </w:rPr>
      </w:pPr>
      <w:r>
        <w:rPr>
          <w:rFonts w:hint="eastAsia" w:ascii="仿宋_GB2312" w:hAnsi="仿宋_GB2312" w:eastAsia="仿宋_GB2312" w:cs="仿宋_GB2312"/>
          <w:sz w:val="32"/>
          <w:szCs w:val="32"/>
        </w:rPr>
        <w:t>参与本次评价的项目共计</w:t>
      </w:r>
      <w:r>
        <w:rPr>
          <w:rFonts w:hint="eastAsia" w:ascii="仿宋_GB2312" w:hAnsi="仿宋_GB2312" w:eastAsia="仿宋_GB2312" w:cs="仿宋_GB2312"/>
          <w:sz w:val="32"/>
          <w:szCs w:val="32"/>
          <w:lang w:val="en-US" w:eastAsia="zh-CN"/>
        </w:rPr>
        <w:t>24</w:t>
      </w:r>
      <w:r>
        <w:rPr>
          <w:rFonts w:hint="eastAsia" w:ascii="仿宋_GB2312" w:hAnsi="仿宋_GB2312" w:eastAsia="仿宋_GB2312" w:cs="仿宋_GB2312"/>
          <w:sz w:val="32"/>
          <w:szCs w:val="32"/>
        </w:rPr>
        <w:t>个，</w:t>
      </w:r>
      <w:r>
        <w:rPr>
          <w:rFonts w:hint="eastAsia" w:ascii="仿宋_GB2312" w:hAnsi="仿宋_GB2312" w:eastAsia="仿宋_GB2312" w:cs="仿宋_GB2312"/>
          <w:sz w:val="32"/>
          <w:szCs w:val="32"/>
          <w:lang w:eastAsia="zh-CN"/>
        </w:rPr>
        <w:t>其中，</w:t>
      </w:r>
      <w:r>
        <w:rPr>
          <w:rFonts w:hint="eastAsia" w:ascii="仿宋_GB2312" w:hAnsi="仿宋_GB2312" w:eastAsia="仿宋_GB2312" w:cs="仿宋_GB2312"/>
          <w:sz w:val="32"/>
          <w:szCs w:val="32"/>
          <w:lang w:val="en-US" w:eastAsia="zh-CN"/>
        </w:rPr>
        <w:t>18</w:t>
      </w:r>
      <w:r>
        <w:rPr>
          <w:rFonts w:hint="eastAsia" w:ascii="仿宋_GB2312" w:hAnsi="仿宋_GB2312" w:eastAsia="仿宋_GB2312" w:cs="仿宋_GB2312"/>
          <w:sz w:val="32"/>
          <w:szCs w:val="32"/>
        </w:rPr>
        <w:t>个项目评价等级为“优秀”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6个项目评价等级为“良好”，总体评价为“优秀”</w:t>
      </w:r>
      <w:r>
        <w:rPr>
          <w:rFonts w:hint="eastAsia" w:ascii="仿宋_GB2312" w:hAnsi="仿宋_GB2312" w:eastAsia="仿宋_GB2312" w:cs="仿宋_GB2312"/>
          <w:sz w:val="32"/>
          <w:szCs w:val="32"/>
        </w:rPr>
        <w:t>。</w:t>
      </w:r>
    </w:p>
    <w:p w14:paraId="1748AA83">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黑体" w:hAnsi="黑体" w:eastAsia="黑体"/>
          <w:sz w:val="32"/>
          <w:szCs w:val="32"/>
        </w:rPr>
      </w:pPr>
      <w:r>
        <w:rPr>
          <w:rFonts w:hint="eastAsia" w:ascii="黑体" w:hAnsi="黑体" w:eastAsia="黑体"/>
          <w:sz w:val="32"/>
          <w:szCs w:val="32"/>
        </w:rPr>
        <w:t>五、存在的问题及改进措施</w:t>
      </w:r>
    </w:p>
    <w:p w14:paraId="69C38C57">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楷体" w:hAnsi="楷体" w:eastAsia="楷体"/>
          <w:bCs/>
          <w:sz w:val="32"/>
          <w:szCs w:val="32"/>
        </w:rPr>
      </w:pPr>
      <w:r>
        <w:rPr>
          <w:rFonts w:hint="eastAsia" w:ascii="楷体" w:hAnsi="楷体" w:eastAsia="楷体"/>
          <w:bCs/>
          <w:sz w:val="32"/>
          <w:szCs w:val="32"/>
        </w:rPr>
        <w:t>（一）存在的主要问题</w:t>
      </w:r>
    </w:p>
    <w:p w14:paraId="664F198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sz w:val="32"/>
          <w:szCs w:val="32"/>
          <w:lang w:val="en-US" w:eastAsia="zh-CN"/>
        </w:rPr>
      </w:pPr>
      <w:r>
        <w:rPr>
          <w:rFonts w:hint="eastAsia" w:ascii="仿宋_GB2312" w:hAnsi="仿宋_GB2312" w:eastAsia="仿宋_GB2312" w:cs="仿宋_GB2312"/>
          <w:sz w:val="32"/>
          <w:szCs w:val="32"/>
          <w:lang w:val="en-US" w:eastAsia="zh-CN"/>
        </w:rPr>
        <w:t>综合24个项目评价情况，主要存在预算不准确，实际支出与预算差异较大的情况。</w:t>
      </w:r>
    </w:p>
    <w:p w14:paraId="2B75FDF6">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楷体" w:hAnsi="楷体" w:eastAsia="楷体"/>
          <w:bCs/>
          <w:sz w:val="32"/>
          <w:szCs w:val="32"/>
        </w:rPr>
      </w:pPr>
      <w:r>
        <w:rPr>
          <w:rFonts w:hint="eastAsia" w:ascii="楷体" w:hAnsi="楷体" w:eastAsia="楷体"/>
          <w:bCs/>
          <w:sz w:val="32"/>
          <w:szCs w:val="32"/>
        </w:rPr>
        <w:t>（二）针对问题提出具体的改进措施或建议</w:t>
      </w:r>
    </w:p>
    <w:p w14:paraId="2ADD855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加强预算管理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要进一步加强事前、事中及事后预算的管理，充分评估工作安排的合理性，必要性，加大对预算编制与执行的监督管理力度，提高预算资金使用效率。项目年初预算编制前，要做好前期调研，设立绩效目标要充分考虑外界因素的影响；项目实施期间，要加强实时监控，及时纠正偏差，督促项目开展并要及时与相关部门沟通，减少资金闲置；项目实施后要总结历史经验，堵塞管理漏洞。</w:t>
      </w:r>
    </w:p>
    <w:p w14:paraId="7C5659C2">
      <w:pPr>
        <w:keepNext w:val="0"/>
        <w:keepLines w:val="0"/>
        <w:pageBreakBefore w:val="0"/>
        <w:widowControl w:val="0"/>
        <w:kinsoku/>
        <w:wordWrap/>
        <w:overflowPunct/>
        <w:topLinePunct w:val="0"/>
        <w:autoSpaceDE/>
        <w:autoSpaceDN/>
        <w:bidi w:val="0"/>
        <w:spacing w:line="560" w:lineRule="exact"/>
        <w:textAlignment w:val="auto"/>
        <w:rPr>
          <w:rFonts w:hint="eastAsia" w:ascii="仿宋" w:hAnsi="仿宋" w:eastAsia="仿宋"/>
          <w:lang w:val="en-US" w:eastAsia="zh-CN"/>
        </w:rPr>
      </w:pPr>
    </w:p>
    <w:p w14:paraId="29D2127B">
      <w:pPr>
        <w:keepNext w:val="0"/>
        <w:keepLines w:val="0"/>
        <w:pageBreakBefore w:val="0"/>
        <w:widowControl w:val="0"/>
        <w:kinsoku/>
        <w:wordWrap/>
        <w:overflowPunct/>
        <w:topLinePunct w:val="0"/>
        <w:autoSpaceDE/>
        <w:autoSpaceDN/>
        <w:bidi w:val="0"/>
        <w:spacing w:line="560" w:lineRule="exact"/>
        <w:textAlignment w:val="auto"/>
        <w:rPr>
          <w:rFonts w:hint="eastAsia" w:ascii="仿宋" w:hAnsi="仿宋" w:eastAsia="仿宋"/>
          <w:lang w:val="en-US" w:eastAsia="zh-CN"/>
        </w:rPr>
      </w:pPr>
    </w:p>
    <w:p w14:paraId="51DC953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 w:hAnsi="仿宋" w:eastAsia="仿宋" w:cs="Times New Roman"/>
          <w:sz w:val="32"/>
          <w:szCs w:val="24"/>
          <w:lang w:val="en-US" w:eastAsia="zh-CN"/>
        </w:rPr>
        <w:t xml:space="preserve">                      </w:t>
      </w:r>
      <w:r>
        <w:rPr>
          <w:rFonts w:hint="eastAsia" w:ascii="仿宋_GB2312" w:hAnsi="仿宋_GB2312" w:eastAsia="仿宋_GB2312" w:cs="仿宋_GB2312"/>
          <w:sz w:val="32"/>
          <w:szCs w:val="32"/>
        </w:rPr>
        <w:t>政协石家庄市委员会办公室</w:t>
      </w:r>
    </w:p>
    <w:p w14:paraId="26459276">
      <w:pPr>
        <w:keepNext w:val="0"/>
        <w:keepLines w:val="0"/>
        <w:pageBreakBefore w:val="0"/>
        <w:widowControl w:val="0"/>
        <w:kinsoku/>
        <w:wordWrap/>
        <w:overflowPunct/>
        <w:topLinePunct w:val="0"/>
        <w:autoSpaceDE/>
        <w:autoSpaceDN/>
        <w:bidi w:val="0"/>
        <w:adjustRightInd/>
        <w:snapToGrid/>
        <w:spacing w:line="560" w:lineRule="exact"/>
        <w:ind w:firstLine="5120" w:firstLineChars="1600"/>
        <w:jc w:val="both"/>
        <w:textAlignment w:val="auto"/>
        <w:rPr>
          <w:rFonts w:hint="default" w:ascii="仿宋" w:hAnsi="仿宋" w:eastAsia="仿宋"/>
          <w:lang w:val="en-US" w:eastAsia="zh-CN"/>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日</w:t>
      </w:r>
    </w:p>
    <w:sectPr>
      <w:footerReference r:id="rId3" w:type="default"/>
      <w:pgSz w:w="11906" w:h="16838"/>
      <w:pgMar w:top="2098" w:right="1474" w:bottom="1984"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auto"/>
    <w:pitch w:val="default"/>
    <w:sig w:usb0="00000001" w:usb1="080E0000" w:usb2="00000000" w:usb3="00000000" w:csb0="00040000" w:csb1="00000000"/>
  </w:font>
  <w:font w:name="方正仿宋_GBK">
    <w:altName w:val="微软雅黑"/>
    <w:panose1 w:val="02000000000000000000"/>
    <w:charset w:val="86"/>
    <w:family w:val="roman"/>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华文楷体">
    <w:altName w:val="楷体_GB2312"/>
    <w:panose1 w:val="02010600040101010101"/>
    <w:charset w:val="86"/>
    <w:family w:val="auto"/>
    <w:pitch w:val="default"/>
    <w:sig w:usb0="00000000" w:usb1="00000000" w:usb2="00000016" w:usb3="00000000" w:csb0="6006009F" w:csb1="DFD7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3E4568">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Quad Arrow 307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DE90DAE">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- 1 -</w:t>
                          </w:r>
                          <w:r>
                            <w:rPr>
                              <w:rFonts w:hint="eastAsia"/>
                              <w:sz w:val="18"/>
                            </w:rPr>
                            <w:fldChar w:fldCharType="end"/>
                          </w:r>
                        </w:p>
                      </w:txbxContent>
                    </wps:txbx>
                    <wps:bodyPr wrap="none" lIns="0" tIns="0" rIns="0" bIns="0" upright="1">
                      <a:spAutoFit/>
                    </wps:bodyPr>
                  </wps:wsp>
                </a:graphicData>
              </a:graphic>
            </wp:anchor>
          </w:drawing>
        </mc:Choice>
        <mc:Fallback>
          <w:pict>
            <v:shape id="Quad Arrow 307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DLZp0PwAEAAJ0DAAAOAAAAAAAAAAEAIAAAAB4BAABkcnMvZTJvRG9jLnhtbFBLBQYA&#10;AAAABgAGAFkBAABQBQAAAAA=&#10;">
              <v:fill on="f" focussize="0,0"/>
              <v:stroke on="f"/>
              <v:imagedata o:title=""/>
              <o:lock v:ext="edit" aspectratio="f"/>
              <v:textbox inset="0mm,0mm,0mm,0mm" style="mso-fit-shape-to-text:t;">
                <w:txbxContent>
                  <w:p w14:paraId="4DE90DAE">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- 1 -</w:t>
                    </w:r>
                    <w:r>
                      <w:rPr>
                        <w:rFonts w:hint="eastAsia"/>
                        <w:sz w:val="1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9B3F128"/>
    <w:multiLevelType w:val="singleLevel"/>
    <w:tmpl w:val="29B3F128"/>
    <w:lvl w:ilvl="0" w:tentative="0">
      <w:start w:val="2"/>
      <w:numFmt w:val="chineseCounting"/>
      <w:suff w:val="nothing"/>
      <w:lvlText w:val="（%1）"/>
      <w:lvlJc w:val="left"/>
      <w:rPr>
        <w:rFonts w:hint="eastAsia"/>
      </w:rPr>
    </w:lvl>
  </w:abstractNum>
  <w:abstractNum w:abstractNumId="1">
    <w:nsid w:val="5E68489B"/>
    <w:multiLevelType w:val="singleLevel"/>
    <w:tmpl w:val="5E68489B"/>
    <w:lvl w:ilvl="0" w:tentative="0">
      <w:start w:val="1"/>
      <w:numFmt w:val="chineseCounting"/>
      <w:suff w:val="nothing"/>
      <w:lvlText w:val="（%1）"/>
      <w:lvlJc w:val="left"/>
      <w:rPr>
        <w:rFonts w:ascii="楷体" w:hAnsi="楷体" w:eastAsia="楷体"/>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IyMmFhNzM4ODA4NDM1ZGNjYTE5ZGQ1ODgxYTM5ZDYifQ=="/>
  </w:docVars>
  <w:rsids>
    <w:rsidRoot w:val="0EBD2122"/>
    <w:rsid w:val="000B0260"/>
    <w:rsid w:val="007E6C1F"/>
    <w:rsid w:val="00956A93"/>
    <w:rsid w:val="009E575C"/>
    <w:rsid w:val="00AF167E"/>
    <w:rsid w:val="00AF566A"/>
    <w:rsid w:val="00B478EA"/>
    <w:rsid w:val="00B6553A"/>
    <w:rsid w:val="00BC6576"/>
    <w:rsid w:val="00CE06BA"/>
    <w:rsid w:val="00F441CC"/>
    <w:rsid w:val="01B104CA"/>
    <w:rsid w:val="02106AB0"/>
    <w:rsid w:val="02B43A28"/>
    <w:rsid w:val="046F331E"/>
    <w:rsid w:val="05F55380"/>
    <w:rsid w:val="07956271"/>
    <w:rsid w:val="08CE0E3F"/>
    <w:rsid w:val="09721397"/>
    <w:rsid w:val="0A286352"/>
    <w:rsid w:val="0BB63BED"/>
    <w:rsid w:val="0EB97A43"/>
    <w:rsid w:val="0EBD2122"/>
    <w:rsid w:val="0F214EAE"/>
    <w:rsid w:val="0FD269C5"/>
    <w:rsid w:val="11B71E6A"/>
    <w:rsid w:val="1AAF0063"/>
    <w:rsid w:val="1BE140DE"/>
    <w:rsid w:val="1F125588"/>
    <w:rsid w:val="20A3249B"/>
    <w:rsid w:val="248C197D"/>
    <w:rsid w:val="252959AF"/>
    <w:rsid w:val="25FF2A8B"/>
    <w:rsid w:val="277A6671"/>
    <w:rsid w:val="27D44FFA"/>
    <w:rsid w:val="292D35B7"/>
    <w:rsid w:val="2F6C61AD"/>
    <w:rsid w:val="32576CE0"/>
    <w:rsid w:val="33EB6CFF"/>
    <w:rsid w:val="346F7C09"/>
    <w:rsid w:val="3491604D"/>
    <w:rsid w:val="34FF240C"/>
    <w:rsid w:val="351D7C7D"/>
    <w:rsid w:val="35A12947"/>
    <w:rsid w:val="367F66A5"/>
    <w:rsid w:val="37387040"/>
    <w:rsid w:val="3B625C0A"/>
    <w:rsid w:val="3CDF1993"/>
    <w:rsid w:val="3CEE1963"/>
    <w:rsid w:val="41E579D9"/>
    <w:rsid w:val="436B78D3"/>
    <w:rsid w:val="481C0CDA"/>
    <w:rsid w:val="4ADA0BDD"/>
    <w:rsid w:val="4C9C27FE"/>
    <w:rsid w:val="512260B4"/>
    <w:rsid w:val="52BD6ACB"/>
    <w:rsid w:val="535C40EE"/>
    <w:rsid w:val="55537534"/>
    <w:rsid w:val="561A74F1"/>
    <w:rsid w:val="56204DBF"/>
    <w:rsid w:val="597244E8"/>
    <w:rsid w:val="5BDF50A8"/>
    <w:rsid w:val="5E530116"/>
    <w:rsid w:val="5EA60102"/>
    <w:rsid w:val="5EB71C30"/>
    <w:rsid w:val="5FF5483B"/>
    <w:rsid w:val="605051A7"/>
    <w:rsid w:val="632604EF"/>
    <w:rsid w:val="65005C72"/>
    <w:rsid w:val="66AF0CE5"/>
    <w:rsid w:val="680E0935"/>
    <w:rsid w:val="686E49F7"/>
    <w:rsid w:val="6A245B45"/>
    <w:rsid w:val="6AC537CF"/>
    <w:rsid w:val="6E5B14A6"/>
    <w:rsid w:val="70404539"/>
    <w:rsid w:val="711B255E"/>
    <w:rsid w:val="74A0572A"/>
    <w:rsid w:val="76E02B10"/>
    <w:rsid w:val="78DB3308"/>
    <w:rsid w:val="7BB51E06"/>
    <w:rsid w:val="7C2B53A1"/>
    <w:rsid w:val="7C387F7C"/>
    <w:rsid w:val="7FE83423"/>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Body Text Indent"/>
    <w:basedOn w:val="1"/>
    <w:unhideWhenUsed/>
    <w:qFormat/>
    <w:uiPriority w:val="0"/>
    <w:pPr>
      <w:spacing w:after="120"/>
      <w:ind w:left="420" w:leftChars="20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 w:type="paragraph" w:styleId="5">
    <w:name w:val="Body Text First Indent 2"/>
    <w:basedOn w:val="2"/>
    <w:next w:val="1"/>
    <w:qFormat/>
    <w:uiPriority w:val="0"/>
    <w:pPr>
      <w:widowControl/>
      <w:adjustRightInd w:val="0"/>
      <w:snapToGrid w:val="0"/>
      <w:spacing w:after="200"/>
      <w:ind w:left="0" w:leftChars="0" w:firstLine="420" w:firstLineChars="200"/>
      <w:jc w:val="left"/>
    </w:pPr>
    <w:rPr>
      <w:rFonts w:ascii="Tahoma" w:hAnsi="Tahoma" w:eastAsia="仿宋_GB2312" w:cs="Times New Roman"/>
      <w:kern w:val="0"/>
      <w:sz w:val="28"/>
    </w:rPr>
  </w:style>
  <w:style w:type="paragraph" w:customStyle="1" w:styleId="8">
    <w:name w:val="插入文本样式-插入总体目标文件"/>
    <w:basedOn w:val="1"/>
    <w:qFormat/>
    <w:uiPriority w:val="0"/>
    <w:pPr>
      <w:spacing w:line="500" w:lineRule="exact"/>
      <w:ind w:firstLine="560"/>
    </w:pPr>
    <w:rPr>
      <w:rFonts w:eastAsia="方正仿宋_GBK"/>
      <w:sz w:val="28"/>
    </w:rPr>
  </w:style>
  <w:style w:type="paragraph" w:customStyle="1" w:styleId="9">
    <w:name w:val="插入文本样式-插入职责分类绩效目标文件"/>
    <w:basedOn w:val="1"/>
    <w:qFormat/>
    <w:uiPriority w:val="0"/>
    <w:pPr>
      <w:spacing w:line="500" w:lineRule="exact"/>
      <w:ind w:firstLine="560"/>
    </w:pPr>
    <w:rPr>
      <w:rFonts w:eastAsia="方正仿宋_GBK"/>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4522</Words>
  <Characters>4651</Characters>
  <Lines>4</Lines>
  <Paragraphs>1</Paragraphs>
  <TotalTime>9</TotalTime>
  <ScaleCrop>false</ScaleCrop>
  <LinksUpToDate>false</LinksUpToDate>
  <CharactersWithSpaces>4712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2020-02-04T11:46:00Z</dcterms:created>
  <dc:creator>欣欣大人</dc:creator>
  <cp:lastModifiedBy>zzy</cp:lastModifiedBy>
  <cp:lastPrinted>2026-05-07T15:55:00Z</cp:lastPrinted>
  <dcterms:modified xsi:type="dcterms:W3CDTF">2026-09-20T01:09:22Z</dcterms:modified>
  <dc:title>附件3：</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89455CBBABE141FBB681AF8F2C806BB5_13</vt:lpwstr>
  </property>
  <property fmtid="{D5CDD505-2E9C-101B-9397-08002B2CF9AE}" pid="4" name="KSOTemplateDocerSaveRecord">
    <vt:lpwstr>eyJoZGlkIjoiYmMxM2FmMmI5YjE0YjY1M2RhZDM2NGExNzU5YjZkNGMiLCJ1c2VySWQiOiI3NDkwMjA5NDMifQ==</vt:lpwstr>
  </property>
</Properties>
</file>